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25,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RIGETTI COMPUTING,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001-40140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88-0950636</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ind w:left="1264"/>
        <w:spacing w:after="0"/>
        <w:rPr>
          <w:sz w:val="20"/>
          <w:szCs w:val="20"/>
          <w:color w:val="auto"/>
        </w:rPr>
      </w:pPr>
      <w:r>
        <w:rPr>
          <w:rFonts w:ascii="Times New Roman" w:cs="Times New Roman" w:eastAsia="Times New Roman" w:hAnsi="Times New Roman"/>
          <w:sz w:val="17"/>
          <w:szCs w:val="17"/>
          <w:b w:val="1"/>
          <w:bCs w:val="1"/>
          <w:color w:val="auto"/>
        </w:rPr>
        <w:t>775 Heinz Avenue, Berkeley, California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94710</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4"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(510) 210-5550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2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4" w:lineRule="exact"/>
        <w:rPr>
          <w:sz w:val="24"/>
          <w:szCs w:val="24"/>
          <w:color w:val="auto"/>
        </w:rPr>
      </w:pPr>
    </w:p>
    <w:p>
      <w:pPr>
        <w:ind w:left="4" w:right="4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94"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 w:right="2540" w:hanging="4"/>
        <w:spacing w:after="0" w:line="411"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RGTI</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Capital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Warrants, each whole warrant exercisable for one</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RGTIW</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share of Common Stock at an exercise price of</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$11.50 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6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73"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125095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3.01</w:t>
      </w:r>
      <w:r>
        <w:rPr>
          <w:sz w:val="20"/>
          <w:szCs w:val="20"/>
          <w:color w:val="auto"/>
        </w:rPr>
        <w:tab/>
      </w:r>
      <w:r>
        <w:rPr>
          <w:rFonts w:ascii="Times New Roman" w:cs="Times New Roman" w:eastAsia="Times New Roman" w:hAnsi="Times New Roman"/>
          <w:sz w:val="17"/>
          <w:szCs w:val="17"/>
          <w:b w:val="1"/>
          <w:bCs w:val="1"/>
          <w:color w:val="auto"/>
        </w:rPr>
        <w:t>Notice of Delisting or Failure to Satisfy a Continued Listing Rule or Standard; Transfer of Listing.</w:t>
      </w:r>
    </w:p>
    <w:p>
      <w:pPr>
        <w:spacing w:after="0" w:line="121" w:lineRule="exact"/>
        <w:rPr>
          <w:sz w:val="20"/>
          <w:szCs w:val="20"/>
          <w:color w:val="auto"/>
        </w:rPr>
      </w:pPr>
    </w:p>
    <w:p>
      <w:pPr>
        <w:ind w:right="20" w:firstLine="440"/>
        <w:spacing w:after="0" w:line="289" w:lineRule="auto"/>
        <w:rPr>
          <w:sz w:val="20"/>
          <w:szCs w:val="20"/>
          <w:color w:val="auto"/>
        </w:rPr>
      </w:pPr>
      <w:r>
        <w:rPr>
          <w:rFonts w:ascii="Times New Roman" w:cs="Times New Roman" w:eastAsia="Times New Roman" w:hAnsi="Times New Roman"/>
          <w:sz w:val="17"/>
          <w:szCs w:val="17"/>
          <w:color w:val="auto"/>
        </w:rPr>
        <w:t>On January 25, 2023, Rigetti Computing, Inc. (the “Company”) received a letter from the Listing Qualifications Department of The Nasdaq Stock Market, LLC, (“Nasdaq”), indicating that, based on the closing bid price for the previous 30 consecutive business days, the listing of the Company’s common stock was not in compliance with Nasdaq Listing Rule 5550(a)(2) to maintain a minimum bid price of $1.00 per share (the “Bid Price Rule”).</w:t>
      </w:r>
    </w:p>
    <w:p>
      <w:pPr>
        <w:spacing w:after="0" w:line="158"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Nasdaq Listing Rule 5810(c)(3)(A) provides a compliance period of 180 calendar days, or until July 24, 2023 (the “Compliance Date”), to regain compliance. If at any time during this 180-day period the closing bid price of the Company’s common stock is at least $1.00 for a minimum of ten consecutive business days, the Company will regain compliance. If the Company is unable to regain compliance before the Compliance Date, the Company may be eligible for an additional 180 calendar days to satisfy the Bid Price Rule. To qualify, the Company will be required to meet the continued listing requirement for market value of publicly held shares and all other initial listing standards for the Nasdaq Capital Market with the exception of the Bid Price Rule, and will need to provide written notice of its intention to cure the deficiency during such additional compliance period, by effecting a reverse stock split, if necessary. However, if it appears to Nasdaq staff that the Company will not be able to cure the deficiency, or if the Company is otherwise not eligible for the additional compliance period, and the Company does not regain compliance by the Compliance Date, the Nasdaq Capital Market will provide written notification to the Company that its common stock is subject to delisting. At that time, the Company may appeal the delisting determination to a hearings panel pursuant to the procedures set forth in the applicable Nasdaq Listing Rules. However, there can be no assurance that, if the Company does appeal the delisting determination by Nasdaq to the panel, such appeal would be successful.</w:t>
      </w:r>
    </w:p>
    <w:p>
      <w:pPr>
        <w:spacing w:after="0" w:line="192"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The Company intends to actively monitor the closing bid price of its common stock and, as appropriate, will consider available options to regain compliance with the Bid Price Rule, including potentially seeking to effect a reverse stock split. There can be no assurance that the Company will be able to regain compliance with Nasdaq’s Listing Rule 5550(a)(2) or will otherwise be in compliance with other Nasdaq listing criteria and that the Company will be able to maintain its listing with Nasdaq.</w:t>
      </w:r>
    </w:p>
    <w:p>
      <w:pPr>
        <w:sectPr>
          <w:pgSz w:w="11900" w:h="16838" w:orient="portrait"/>
          <w:cols w:equalWidth="0" w:num="1">
            <w:col w:w="10960"/>
          </w:cols>
          <w:pgMar w:left="440" w:top="293" w:right="49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27, 2023</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RIGETTI COMPUTING,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Brian Sereda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Brian Sereda</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2023-01-27T17:43:31Z</dcterms:created>
  <dcterms:modified xsi:type="dcterms:W3CDTF">2023-01-27T17:43:31Z</dcterms:modified>
</cp:coreProperties>
</file>