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0001910690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64"/>
        <w:gridCol w:w="3441"/>
      </w:tblGrid>
      <w:tr>
        <w:trPr/>
        <w:tc>
          <w:tcPr>
            <w:tcW w:w="6764" w:type="dxa"/>
            <w:tcBorders/>
            <w:vAlign w:val="center"/>
          </w:tcPr>
          <w:p>
            <w:pPr>
              <w:pStyle w:val="TableContents"/>
              <w:bidi w:val="0"/>
              <w:spacing w:before="0" w:after="283"/>
              <w:jc w:val="left"/>
              <w:rPr/>
            </w:pPr>
            <w:r>
              <w:rPr/>
              <w:t>Name of Issuer</w:t>
            </w:r>
          </w:p>
        </w:tc>
        <w:tc>
          <w:tcPr>
            <w:tcW w:w="3441" w:type="dxa"/>
            <w:tcBorders/>
            <w:vAlign w:val="center"/>
          </w:tcPr>
          <w:p>
            <w:pPr>
              <w:pStyle w:val="TableContents"/>
              <w:bidi w:val="0"/>
              <w:spacing w:before="0" w:after="0"/>
              <w:jc w:val="left"/>
              <w:rPr/>
            </w:pPr>
            <w:r>
              <w:rPr/>
              <w:t>Rigetti Computing, Inc.</w:t>
            </w:r>
          </w:p>
        </w:tc>
      </w:tr>
      <w:tr>
        <w:trPr/>
        <w:tc>
          <w:tcPr>
            <w:tcW w:w="6764" w:type="dxa"/>
            <w:tcBorders/>
            <w:vAlign w:val="center"/>
          </w:tcPr>
          <w:p>
            <w:pPr>
              <w:pStyle w:val="TableContents"/>
              <w:bidi w:val="0"/>
              <w:spacing w:before="0" w:after="283"/>
              <w:jc w:val="left"/>
              <w:rPr/>
            </w:pPr>
            <w:r>
              <w:rPr/>
              <w:t>SEC File Number</w:t>
            </w:r>
          </w:p>
        </w:tc>
        <w:tc>
          <w:tcPr>
            <w:tcW w:w="3441" w:type="dxa"/>
            <w:tcBorders/>
            <w:vAlign w:val="center"/>
          </w:tcPr>
          <w:p>
            <w:pPr>
              <w:pStyle w:val="TableContents"/>
              <w:bidi w:val="0"/>
              <w:spacing w:before="0" w:after="0"/>
              <w:jc w:val="left"/>
              <w:rPr/>
            </w:pPr>
            <w:r>
              <w:rPr/>
              <w:t>001-40140</w:t>
            </w:r>
          </w:p>
        </w:tc>
      </w:tr>
      <w:tr>
        <w:trPr/>
        <w:tc>
          <w:tcPr>
            <w:tcW w:w="6764" w:type="dxa"/>
            <w:tcBorders/>
            <w:vAlign w:val="center"/>
          </w:tcPr>
          <w:p>
            <w:pPr>
              <w:pStyle w:val="TableContents"/>
              <w:bidi w:val="0"/>
              <w:spacing w:before="0" w:after="283"/>
              <w:jc w:val="left"/>
              <w:rPr/>
            </w:pPr>
            <w:r>
              <w:rPr/>
              <w:t>Address of Issuer</w:t>
            </w:r>
          </w:p>
        </w:tc>
        <w:tc>
          <w:tcPr>
            <w:tcW w:w="3441" w:type="dxa"/>
            <w:tcBorders/>
            <w:vAlign w:val="center"/>
          </w:tcPr>
          <w:p>
            <w:pPr>
              <w:pStyle w:val="TableContents"/>
              <w:bidi w:val="0"/>
              <w:spacing w:before="0" w:after="0"/>
              <w:jc w:val="left"/>
              <w:rPr/>
            </w:pPr>
            <w:r>
              <w:rPr/>
              <w:t>775 HEINZ AVENUE</w:t>
              <w:br/>
              <w:t>BERKELEY</w:t>
              <w:br/>
              <w:t xml:space="preserve">CALIFORNIA </w:t>
              <w:br/>
              <w:t>94710</w:t>
            </w:r>
          </w:p>
        </w:tc>
      </w:tr>
      <w:tr>
        <w:trPr/>
        <w:tc>
          <w:tcPr>
            <w:tcW w:w="6764" w:type="dxa"/>
            <w:tcBorders/>
            <w:vAlign w:val="center"/>
          </w:tcPr>
          <w:p>
            <w:pPr>
              <w:pStyle w:val="TableContents"/>
              <w:bidi w:val="0"/>
              <w:spacing w:before="0" w:after="283"/>
              <w:jc w:val="left"/>
              <w:rPr/>
            </w:pPr>
            <w:r>
              <w:rPr/>
              <w:t>Phone</w:t>
            </w:r>
          </w:p>
        </w:tc>
        <w:tc>
          <w:tcPr>
            <w:tcW w:w="3441" w:type="dxa"/>
            <w:tcBorders/>
            <w:vAlign w:val="center"/>
          </w:tcPr>
          <w:p>
            <w:pPr>
              <w:pStyle w:val="TableContents"/>
              <w:bidi w:val="0"/>
              <w:spacing w:before="0" w:after="0"/>
              <w:jc w:val="left"/>
              <w:rPr/>
            </w:pPr>
            <w:r>
              <w:rPr/>
              <w:t>(510) 210-5550</w:t>
            </w:r>
          </w:p>
        </w:tc>
      </w:tr>
      <w:tr>
        <w:trPr/>
        <w:tc>
          <w:tcPr>
            <w:tcW w:w="6764" w:type="dxa"/>
            <w:tcBorders/>
            <w:vAlign w:val="center"/>
          </w:tcPr>
          <w:p>
            <w:pPr>
              <w:pStyle w:val="TableContents"/>
              <w:bidi w:val="0"/>
              <w:spacing w:before="0" w:after="283"/>
              <w:jc w:val="left"/>
              <w:rPr/>
            </w:pPr>
            <w:r>
              <w:rPr/>
              <w:t>Name of Person for Whose Account the Securities are To Be Sold</w:t>
            </w:r>
          </w:p>
        </w:tc>
        <w:tc>
          <w:tcPr>
            <w:tcW w:w="3441" w:type="dxa"/>
            <w:tcBorders/>
            <w:vAlign w:val="center"/>
          </w:tcPr>
          <w:p>
            <w:pPr>
              <w:pStyle w:val="TableContents"/>
              <w:bidi w:val="0"/>
              <w:spacing w:before="0" w:after="0"/>
              <w:jc w:val="left"/>
              <w:rPr/>
            </w:pPr>
            <w:r>
              <w:rPr/>
              <w:t>Rivas David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64" w:type="dxa"/>
            <w:tcBorders/>
            <w:vAlign w:val="center"/>
          </w:tcPr>
          <w:p>
            <w:pPr>
              <w:pStyle w:val="TableContents"/>
              <w:bidi w:val="0"/>
              <w:spacing w:before="0" w:after="283"/>
              <w:jc w:val="left"/>
              <w:rPr/>
            </w:pPr>
            <w:r>
              <w:rPr/>
              <w:t>Relationship to Issuer</w:t>
            </w:r>
          </w:p>
        </w:tc>
        <w:tc>
          <w:tcPr>
            <w:tcW w:w="34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4"/>
        <w:gridCol w:w="1684"/>
        <w:gridCol w:w="1149"/>
        <w:gridCol w:w="1357"/>
        <w:gridCol w:w="1535"/>
        <w:gridCol w:w="1557"/>
        <w:gridCol w:w="1389"/>
      </w:tblGrid>
      <w:tr>
        <w:trPr/>
        <w:tc>
          <w:tcPr>
            <w:tcW w:w="1534" w:type="dxa"/>
            <w:tcBorders/>
            <w:vAlign w:val="center"/>
          </w:tcPr>
          <w:p>
            <w:pPr>
              <w:pStyle w:val="TableHeading"/>
              <w:suppressLineNumbers/>
              <w:bidi w:val="0"/>
              <w:spacing w:before="0" w:after="283"/>
              <w:jc w:val="center"/>
              <w:rPr/>
            </w:pPr>
            <w:r>
              <w:rPr/>
              <w:t>Title of the Class of Securities To Be Sold</w:t>
            </w:r>
          </w:p>
        </w:tc>
        <w:tc>
          <w:tcPr>
            <w:tcW w:w="1684" w:type="dxa"/>
            <w:tcBorders/>
            <w:vAlign w:val="center"/>
          </w:tcPr>
          <w:p>
            <w:pPr>
              <w:pStyle w:val="TableHeading"/>
              <w:suppressLineNumbers/>
              <w:bidi w:val="0"/>
              <w:spacing w:before="0" w:after="283"/>
              <w:jc w:val="center"/>
              <w:rPr/>
            </w:pPr>
            <w:r>
              <w:rPr/>
              <w:t>Name and Address of the Broker</w:t>
            </w:r>
          </w:p>
        </w:tc>
        <w:tc>
          <w:tcPr>
            <w:tcW w:w="1149" w:type="dxa"/>
            <w:tcBorders/>
            <w:vAlign w:val="center"/>
          </w:tcPr>
          <w:p>
            <w:pPr>
              <w:pStyle w:val="TableHeading"/>
              <w:suppressLineNumbers/>
              <w:bidi w:val="0"/>
              <w:spacing w:before="0" w:after="283"/>
              <w:jc w:val="center"/>
              <w:rPr/>
            </w:pPr>
            <w:r>
              <w:rPr/>
              <w:t>Number of Shares or Other Units To Be Sold</w:t>
            </w:r>
          </w:p>
        </w:tc>
        <w:tc>
          <w:tcPr>
            <w:tcW w:w="1357" w:type="dxa"/>
            <w:tcBorders/>
            <w:vAlign w:val="center"/>
          </w:tcPr>
          <w:p>
            <w:pPr>
              <w:pStyle w:val="TableHeading"/>
              <w:suppressLineNumbers/>
              <w:bidi w:val="0"/>
              <w:spacing w:before="0" w:after="283"/>
              <w:jc w:val="center"/>
              <w:rPr/>
            </w:pPr>
            <w:r>
              <w:rPr/>
              <w:t>Aggregate Market Value</w:t>
            </w:r>
          </w:p>
        </w:tc>
        <w:tc>
          <w:tcPr>
            <w:tcW w:w="1535"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34" w:type="dxa"/>
            <w:tcBorders/>
            <w:vAlign w:val="center"/>
          </w:tcPr>
          <w:p>
            <w:pPr>
              <w:pStyle w:val="TableContents"/>
              <w:bidi w:val="0"/>
              <w:spacing w:before="0" w:after="283"/>
              <w:jc w:val="left"/>
              <w:rPr/>
            </w:pPr>
            <w:r>
              <w:rPr/>
              <w:t xml:space="preserve">Common Stock </w:t>
            </w:r>
          </w:p>
        </w:tc>
        <w:tc>
          <w:tcPr>
            <w:tcW w:w="1684" w:type="dxa"/>
            <w:tcBorders/>
            <w:vAlign w:val="center"/>
          </w:tcPr>
          <w:p>
            <w:pPr>
              <w:pStyle w:val="TableContents"/>
              <w:bidi w:val="0"/>
              <w:spacing w:before="0" w:after="0"/>
              <w:jc w:val="left"/>
              <w:rPr/>
            </w:pPr>
            <w:r>
              <w:rPr/>
              <w:t>Piper Sandler</w:t>
              <w:br/>
              <w:t>350 North 5th Street</w:t>
              <w:br/>
              <w:t>Minneapolis   MN   55401</w:t>
            </w:r>
          </w:p>
        </w:tc>
        <w:tc>
          <w:tcPr>
            <w:tcW w:w="1149" w:type="dxa"/>
            <w:tcBorders/>
            <w:vAlign w:val="center"/>
          </w:tcPr>
          <w:p>
            <w:pPr>
              <w:pStyle w:val="TableContents"/>
              <w:bidi w:val="0"/>
              <w:spacing w:before="0" w:after="283"/>
              <w:jc w:val="left"/>
              <w:rPr/>
            </w:pPr>
            <w:r>
              <w:rPr/>
              <w:t>9038</w:t>
            </w:r>
          </w:p>
        </w:tc>
        <w:tc>
          <w:tcPr>
            <w:tcW w:w="1357" w:type="dxa"/>
            <w:tcBorders/>
            <w:vAlign w:val="center"/>
          </w:tcPr>
          <w:p>
            <w:pPr>
              <w:pStyle w:val="TableContents"/>
              <w:bidi w:val="0"/>
              <w:spacing w:before="0" w:after="283"/>
              <w:jc w:val="left"/>
              <w:rPr/>
            </w:pPr>
            <w:r>
              <w:rPr/>
              <w:t>153646.00</w:t>
            </w:r>
          </w:p>
        </w:tc>
        <w:tc>
          <w:tcPr>
            <w:tcW w:w="1535" w:type="dxa"/>
            <w:tcBorders/>
            <w:vAlign w:val="center"/>
          </w:tcPr>
          <w:p>
            <w:pPr>
              <w:pStyle w:val="TableContents"/>
              <w:bidi w:val="0"/>
              <w:spacing w:before="0" w:after="283"/>
              <w:jc w:val="left"/>
              <w:rPr/>
            </w:pPr>
            <w:r>
              <w:rPr/>
              <w:t>333768747</w:t>
            </w:r>
          </w:p>
        </w:tc>
        <w:tc>
          <w:tcPr>
            <w:tcW w:w="1557" w:type="dxa"/>
            <w:tcBorders/>
            <w:vAlign w:val="center"/>
          </w:tcPr>
          <w:p>
            <w:pPr>
              <w:pStyle w:val="TableContents"/>
              <w:bidi w:val="0"/>
              <w:spacing w:before="0" w:after="283"/>
              <w:jc w:val="left"/>
              <w:rPr/>
            </w:pPr>
            <w:r>
              <w:rPr/>
              <w:t>08/20/2026</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 xml:space="preserve">Common Stock </w:t>
            </w:r>
          </w:p>
        </w:tc>
        <w:tc>
          <w:tcPr>
            <w:tcW w:w="1135" w:type="dxa"/>
            <w:tcBorders/>
            <w:vAlign w:val="center"/>
          </w:tcPr>
          <w:p>
            <w:pPr>
              <w:pStyle w:val="TableContents"/>
              <w:bidi w:val="0"/>
              <w:spacing w:before="0" w:after="283"/>
              <w:jc w:val="left"/>
              <w:rPr/>
            </w:pPr>
            <w:r>
              <w:rPr/>
              <w:t>08/20/2026</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Jesus David Rivas</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9038</w:t>
            </w:r>
          </w:p>
        </w:tc>
        <w:tc>
          <w:tcPr>
            <w:tcW w:w="1078" w:type="dxa"/>
            <w:tcBorders/>
            <w:vAlign w:val="center"/>
          </w:tcPr>
          <w:p>
            <w:pPr>
              <w:pStyle w:val="TableContents"/>
              <w:bidi w:val="0"/>
              <w:spacing w:before="0" w:after="283"/>
              <w:jc w:val="left"/>
              <w:rPr/>
            </w:pPr>
            <w:r>
              <w:rPr/>
              <w:t>08/20/2026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51"/>
        <w:gridCol w:w="2927"/>
        <w:gridCol w:w="942"/>
        <w:gridCol w:w="1558"/>
        <w:gridCol w:w="1927"/>
      </w:tblGrid>
      <w:tr>
        <w:trPr/>
        <w:tc>
          <w:tcPr>
            <w:tcW w:w="2851" w:type="dxa"/>
            <w:tcBorders/>
            <w:vAlign w:val="center"/>
          </w:tcPr>
          <w:p>
            <w:pPr>
              <w:pStyle w:val="TableHeading"/>
              <w:suppressLineNumbers/>
              <w:bidi w:val="0"/>
              <w:spacing w:before="0" w:after="283"/>
              <w:jc w:val="center"/>
              <w:rPr/>
            </w:pPr>
            <w:r>
              <w:rPr/>
              <w:t>Name and Address of Seller</w:t>
            </w:r>
          </w:p>
        </w:tc>
        <w:tc>
          <w:tcPr>
            <w:tcW w:w="2927"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927" w:type="dxa"/>
            <w:tcBorders/>
            <w:vAlign w:val="center"/>
          </w:tcPr>
          <w:p>
            <w:pPr>
              <w:pStyle w:val="TableHeading"/>
              <w:suppressLineNumbers/>
              <w:bidi w:val="0"/>
              <w:spacing w:before="0" w:after="283"/>
              <w:jc w:val="center"/>
              <w:rPr/>
            </w:pPr>
            <w:r>
              <w:rPr/>
              <w:t>Gross Proceeds</w:t>
            </w:r>
          </w:p>
        </w:tc>
      </w:tr>
      <w:tr>
        <w:trPr/>
        <w:tc>
          <w:tcPr>
            <w:tcW w:w="2851" w:type="dxa"/>
            <w:tcBorders/>
            <w:vAlign w:val="center"/>
          </w:tcPr>
          <w:p>
            <w:pPr>
              <w:pStyle w:val="TableContents"/>
              <w:bidi w:val="0"/>
              <w:spacing w:before="0" w:after="283"/>
              <w:jc w:val="left"/>
              <w:rPr/>
            </w:pPr>
            <w:r>
              <w:rPr/>
              <w:t>Jesus David Rivas</w:t>
              <w:br/>
              <w:t>775 Heinz Avenue</w:t>
              <w:br/>
              <w:t>Berkeley   CA   94710</w:t>
            </w:r>
          </w:p>
        </w:tc>
        <w:tc>
          <w:tcPr>
            <w:tcW w:w="2927" w:type="dxa"/>
            <w:tcBorders/>
            <w:vAlign w:val="center"/>
          </w:tcPr>
          <w:p>
            <w:pPr>
              <w:pStyle w:val="TableContents"/>
              <w:bidi w:val="0"/>
              <w:spacing w:before="0" w:after="283"/>
              <w:jc w:val="left"/>
              <w:rPr/>
            </w:pPr>
            <w:r>
              <w:rPr/>
              <w:t xml:space="preserve">Common Stock </w:t>
            </w:r>
          </w:p>
        </w:tc>
        <w:tc>
          <w:tcPr>
            <w:tcW w:w="942" w:type="dxa"/>
            <w:tcBorders/>
            <w:vAlign w:val="center"/>
          </w:tcPr>
          <w:p>
            <w:pPr>
              <w:pStyle w:val="TableContents"/>
              <w:bidi w:val="0"/>
              <w:spacing w:before="0" w:after="283"/>
              <w:jc w:val="left"/>
              <w:rPr/>
            </w:pPr>
            <w:r>
              <w:rPr/>
              <w:t>05/29/2026</w:t>
            </w:r>
          </w:p>
        </w:tc>
        <w:tc>
          <w:tcPr>
            <w:tcW w:w="1558" w:type="dxa"/>
            <w:tcBorders/>
            <w:vAlign w:val="center"/>
          </w:tcPr>
          <w:p>
            <w:pPr>
              <w:pStyle w:val="TableContents"/>
              <w:bidi w:val="0"/>
              <w:spacing w:before="0" w:after="283"/>
              <w:jc w:val="left"/>
              <w:rPr/>
            </w:pPr>
            <w:r>
              <w:rPr/>
              <w:t>499328</w:t>
            </w:r>
          </w:p>
        </w:tc>
        <w:tc>
          <w:tcPr>
            <w:tcW w:w="1927" w:type="dxa"/>
            <w:tcBorders/>
            <w:vAlign w:val="center"/>
          </w:tcPr>
          <w:p>
            <w:pPr>
              <w:pStyle w:val="TableContents"/>
              <w:bidi w:val="0"/>
              <w:spacing w:before="0" w:after="283"/>
              <w:jc w:val="left"/>
              <w:rPr/>
            </w:pPr>
            <w:r>
              <w:rPr/>
              <w:t>12660699.54</w:t>
            </w:r>
          </w:p>
        </w:tc>
      </w:tr>
      <w:tr>
        <w:trPr/>
        <w:tc>
          <w:tcPr>
            <w:tcW w:w="2851" w:type="dxa"/>
            <w:tcBorders/>
            <w:vAlign w:val="center"/>
          </w:tcPr>
          <w:p>
            <w:pPr>
              <w:pStyle w:val="TableContents"/>
              <w:bidi w:val="0"/>
              <w:spacing w:before="0" w:after="283"/>
              <w:jc w:val="left"/>
              <w:rPr/>
            </w:pPr>
            <w:r>
              <w:rPr/>
              <w:t>Jesus David Rivas</w:t>
              <w:br/>
              <w:t>775 Heinz Avenue</w:t>
              <w:br/>
              <w:t>Berkeley   CA   94710</w:t>
            </w:r>
          </w:p>
        </w:tc>
        <w:tc>
          <w:tcPr>
            <w:tcW w:w="2927" w:type="dxa"/>
            <w:tcBorders/>
            <w:vAlign w:val="center"/>
          </w:tcPr>
          <w:p>
            <w:pPr>
              <w:pStyle w:val="TableContents"/>
              <w:bidi w:val="0"/>
              <w:spacing w:before="0" w:after="283"/>
              <w:jc w:val="left"/>
              <w:rPr/>
            </w:pPr>
            <w:r>
              <w:rPr/>
              <w:t xml:space="preserve">Common Stock </w:t>
            </w:r>
          </w:p>
        </w:tc>
        <w:tc>
          <w:tcPr>
            <w:tcW w:w="942" w:type="dxa"/>
            <w:tcBorders/>
            <w:vAlign w:val="center"/>
          </w:tcPr>
          <w:p>
            <w:pPr>
              <w:pStyle w:val="TableContents"/>
              <w:bidi w:val="0"/>
              <w:spacing w:before="0" w:after="283"/>
              <w:jc w:val="left"/>
              <w:rPr/>
            </w:pPr>
            <w:r>
              <w:rPr/>
              <w:t>05/22/2026</w:t>
            </w:r>
          </w:p>
        </w:tc>
        <w:tc>
          <w:tcPr>
            <w:tcW w:w="1558" w:type="dxa"/>
            <w:tcBorders/>
            <w:vAlign w:val="center"/>
          </w:tcPr>
          <w:p>
            <w:pPr>
              <w:pStyle w:val="TableContents"/>
              <w:bidi w:val="0"/>
              <w:spacing w:before="0" w:after="283"/>
              <w:jc w:val="left"/>
              <w:rPr/>
            </w:pPr>
            <w:r>
              <w:rPr/>
              <w:t>18759</w:t>
            </w:r>
          </w:p>
        </w:tc>
        <w:tc>
          <w:tcPr>
            <w:tcW w:w="1927" w:type="dxa"/>
            <w:tcBorders/>
            <w:vAlign w:val="center"/>
          </w:tcPr>
          <w:p>
            <w:pPr>
              <w:pStyle w:val="TableContents"/>
              <w:bidi w:val="0"/>
              <w:spacing w:before="0" w:after="283"/>
              <w:jc w:val="left"/>
              <w:rPr/>
            </w:pPr>
            <w:r>
              <w:rPr/>
              <w:t>429883.62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667"/>
        <w:gridCol w:w="8538"/>
      </w:tblGrid>
      <w:tr>
        <w:trPr/>
        <w:tc>
          <w:tcPr>
            <w:tcW w:w="1667" w:type="dxa"/>
            <w:tcBorders/>
            <w:vAlign w:val="center"/>
          </w:tcPr>
          <w:p>
            <w:pPr>
              <w:pStyle w:val="TableContents"/>
              <w:bidi w:val="0"/>
              <w:spacing w:before="0" w:after="283"/>
              <w:jc w:val="left"/>
              <w:rPr/>
            </w:pPr>
            <w:r>
              <w:rPr/>
              <w:t>Remarks</w:t>
            </w:r>
          </w:p>
        </w:tc>
        <w:tc>
          <w:tcPr>
            <w:tcW w:w="8538" w:type="dxa"/>
            <w:tcBorders/>
            <w:vAlign w:val="center"/>
          </w:tcPr>
          <w:p>
            <w:pPr>
              <w:pStyle w:val="TableContents"/>
              <w:bidi w:val="0"/>
              <w:spacing w:before="0" w:after="283"/>
              <w:jc w:val="left"/>
              <w:rPr>
                <w:sz w:val="4"/>
                <w:szCs w:val="4"/>
              </w:rPr>
            </w:pPr>
            <w:r>
              <w:rPr>
                <w:sz w:val="4"/>
                <w:szCs w:val="4"/>
              </w:rPr>
            </w:r>
          </w:p>
        </w:tc>
      </w:tr>
      <w:tr>
        <w:trPr/>
        <w:tc>
          <w:tcPr>
            <w:tcW w:w="1667" w:type="dxa"/>
            <w:tcBorders/>
            <w:vAlign w:val="center"/>
          </w:tcPr>
          <w:p>
            <w:pPr>
              <w:pStyle w:val="TableContents"/>
              <w:bidi w:val="0"/>
              <w:spacing w:before="0" w:after="283"/>
              <w:jc w:val="left"/>
              <w:rPr/>
            </w:pPr>
            <w:r>
              <w:rPr/>
              <w:t>Date of Notice</w:t>
            </w:r>
          </w:p>
        </w:tc>
        <w:tc>
          <w:tcPr>
            <w:tcW w:w="8538"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67" w:type="dxa"/>
            <w:tcBorders/>
            <w:vAlign w:val="center"/>
          </w:tcPr>
          <w:p>
            <w:pPr>
              <w:pStyle w:val="TableContents"/>
              <w:bidi w:val="0"/>
              <w:spacing w:before="0" w:after="283"/>
              <w:jc w:val="left"/>
              <w:rPr/>
            </w:pPr>
            <w:r>
              <w:rPr/>
              <w:t>Signature</w:t>
            </w:r>
          </w:p>
        </w:tc>
        <w:tc>
          <w:tcPr>
            <w:tcW w:w="8538" w:type="dxa"/>
            <w:tcBorders/>
            <w:vAlign w:val="center"/>
          </w:tcPr>
          <w:p>
            <w:pPr>
              <w:pStyle w:val="TableContents"/>
              <w:bidi w:val="0"/>
              <w:spacing w:before="0" w:after="0"/>
              <w:jc w:val="left"/>
              <w:rPr/>
            </w:pPr>
            <w:r>
              <w:rPr/>
              <w:t>Will Britton, a duly authorized representative of Piper Sandler &amp; Co Corporate &amp; Venture Services FA, as attorney-in-fact for Jesus David Rivas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3202</Characters>
  <CharactersWithSpaces>3778</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