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0002149948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0"/>
        <w:gridCol w:w="3565"/>
      </w:tblGrid>
      <w:tr>
        <w:trPr/>
        <w:tc>
          <w:tcPr>
            <w:tcW w:w="6640" w:type="dxa"/>
            <w:tcBorders/>
            <w:vAlign w:val="center"/>
          </w:tcPr>
          <w:p>
            <w:pPr>
              <w:pStyle w:val="TableContents"/>
              <w:bidi w:val="0"/>
              <w:spacing w:before="0" w:after="283"/>
              <w:jc w:val="left"/>
              <w:rPr/>
            </w:pPr>
            <w:r>
              <w:rPr/>
              <w:t>Name of Issuer</w:t>
            </w:r>
          </w:p>
        </w:tc>
        <w:tc>
          <w:tcPr>
            <w:tcW w:w="3565" w:type="dxa"/>
            <w:tcBorders/>
            <w:vAlign w:val="center"/>
          </w:tcPr>
          <w:p>
            <w:pPr>
              <w:pStyle w:val="TableContents"/>
              <w:bidi w:val="0"/>
              <w:spacing w:before="0" w:after="0"/>
              <w:jc w:val="left"/>
              <w:rPr/>
            </w:pPr>
            <w:r>
              <w:rPr/>
              <w:t>Rigetti Computing, Inc.</w:t>
            </w:r>
          </w:p>
        </w:tc>
      </w:tr>
      <w:tr>
        <w:trPr/>
        <w:tc>
          <w:tcPr>
            <w:tcW w:w="6640" w:type="dxa"/>
            <w:tcBorders/>
            <w:vAlign w:val="center"/>
          </w:tcPr>
          <w:p>
            <w:pPr>
              <w:pStyle w:val="TableContents"/>
              <w:bidi w:val="0"/>
              <w:spacing w:before="0" w:after="283"/>
              <w:jc w:val="left"/>
              <w:rPr/>
            </w:pPr>
            <w:r>
              <w:rPr/>
              <w:t>SEC File Number</w:t>
            </w:r>
          </w:p>
        </w:tc>
        <w:tc>
          <w:tcPr>
            <w:tcW w:w="3565" w:type="dxa"/>
            <w:tcBorders/>
            <w:vAlign w:val="center"/>
          </w:tcPr>
          <w:p>
            <w:pPr>
              <w:pStyle w:val="TableContents"/>
              <w:bidi w:val="0"/>
              <w:spacing w:before="0" w:after="0"/>
              <w:jc w:val="left"/>
              <w:rPr/>
            </w:pPr>
            <w:r>
              <w:rPr/>
              <w:t>001-40140</w:t>
            </w:r>
          </w:p>
        </w:tc>
      </w:tr>
      <w:tr>
        <w:trPr/>
        <w:tc>
          <w:tcPr>
            <w:tcW w:w="6640" w:type="dxa"/>
            <w:tcBorders/>
            <w:vAlign w:val="center"/>
          </w:tcPr>
          <w:p>
            <w:pPr>
              <w:pStyle w:val="TableContents"/>
              <w:bidi w:val="0"/>
              <w:spacing w:before="0" w:after="283"/>
              <w:jc w:val="left"/>
              <w:rPr/>
            </w:pPr>
            <w:r>
              <w:rPr/>
              <w:t>Address of Issuer</w:t>
            </w:r>
          </w:p>
        </w:tc>
        <w:tc>
          <w:tcPr>
            <w:tcW w:w="3565" w:type="dxa"/>
            <w:tcBorders/>
            <w:vAlign w:val="center"/>
          </w:tcPr>
          <w:p>
            <w:pPr>
              <w:pStyle w:val="TableContents"/>
              <w:bidi w:val="0"/>
              <w:spacing w:before="0" w:after="0"/>
              <w:jc w:val="left"/>
              <w:rPr/>
            </w:pPr>
            <w:r>
              <w:rPr/>
              <w:t>775 HEINZ AVENUE</w:t>
              <w:br/>
              <w:t>BERKELEY</w:t>
              <w:br/>
              <w:t xml:space="preserve">CALIFORNIA </w:t>
              <w:br/>
              <w:t>94710</w:t>
            </w:r>
          </w:p>
        </w:tc>
      </w:tr>
      <w:tr>
        <w:trPr/>
        <w:tc>
          <w:tcPr>
            <w:tcW w:w="6640" w:type="dxa"/>
            <w:tcBorders/>
            <w:vAlign w:val="center"/>
          </w:tcPr>
          <w:p>
            <w:pPr>
              <w:pStyle w:val="TableContents"/>
              <w:bidi w:val="0"/>
              <w:spacing w:before="0" w:after="283"/>
              <w:jc w:val="left"/>
              <w:rPr/>
            </w:pPr>
            <w:r>
              <w:rPr/>
              <w:t>Phone</w:t>
            </w:r>
          </w:p>
        </w:tc>
        <w:tc>
          <w:tcPr>
            <w:tcW w:w="3565" w:type="dxa"/>
            <w:tcBorders/>
            <w:vAlign w:val="center"/>
          </w:tcPr>
          <w:p>
            <w:pPr>
              <w:pStyle w:val="TableContents"/>
              <w:bidi w:val="0"/>
              <w:spacing w:before="0" w:after="0"/>
              <w:jc w:val="left"/>
              <w:rPr/>
            </w:pPr>
            <w:r>
              <w:rPr/>
              <w:t>(510) 210-5550</w:t>
            </w:r>
          </w:p>
        </w:tc>
      </w:tr>
      <w:tr>
        <w:trPr/>
        <w:tc>
          <w:tcPr>
            <w:tcW w:w="6640" w:type="dxa"/>
            <w:tcBorders/>
            <w:vAlign w:val="center"/>
          </w:tcPr>
          <w:p>
            <w:pPr>
              <w:pStyle w:val="TableContents"/>
              <w:bidi w:val="0"/>
              <w:spacing w:before="0" w:after="283"/>
              <w:jc w:val="left"/>
              <w:rPr/>
            </w:pPr>
            <w:r>
              <w:rPr/>
              <w:t>Name of Person for Whose Account the Securities are To Be Sold</w:t>
            </w:r>
          </w:p>
        </w:tc>
        <w:tc>
          <w:tcPr>
            <w:tcW w:w="3565" w:type="dxa"/>
            <w:tcBorders/>
            <w:vAlign w:val="center"/>
          </w:tcPr>
          <w:p>
            <w:pPr>
              <w:pStyle w:val="TableContents"/>
              <w:bidi w:val="0"/>
              <w:spacing w:before="0" w:after="0"/>
              <w:jc w:val="left"/>
              <w:rPr/>
            </w:pPr>
            <w:r>
              <w:rPr/>
              <w:t>Bestwick Andrew Joseph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0" w:type="dxa"/>
            <w:tcBorders/>
            <w:vAlign w:val="center"/>
          </w:tcPr>
          <w:p>
            <w:pPr>
              <w:pStyle w:val="TableContents"/>
              <w:bidi w:val="0"/>
              <w:spacing w:before="0" w:after="283"/>
              <w:jc w:val="left"/>
              <w:rPr/>
            </w:pPr>
            <w:r>
              <w:rPr/>
              <w:t>Relationship to Issuer</w:t>
            </w:r>
          </w:p>
        </w:tc>
        <w:tc>
          <w:tcPr>
            <w:tcW w:w="35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684"/>
        <w:gridCol w:w="1149"/>
        <w:gridCol w:w="1357"/>
        <w:gridCol w:w="1535"/>
        <w:gridCol w:w="1557"/>
        <w:gridCol w:w="1389"/>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684"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7"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 xml:space="preserve">Common Stock </w:t>
            </w:r>
          </w:p>
        </w:tc>
        <w:tc>
          <w:tcPr>
            <w:tcW w:w="1684" w:type="dxa"/>
            <w:tcBorders/>
            <w:vAlign w:val="center"/>
          </w:tcPr>
          <w:p>
            <w:pPr>
              <w:pStyle w:val="TableContents"/>
              <w:bidi w:val="0"/>
              <w:spacing w:before="0" w:after="0"/>
              <w:jc w:val="left"/>
              <w:rPr/>
            </w:pPr>
            <w:r>
              <w:rPr/>
              <w:t>Piper Sandler</w:t>
              <w:br/>
              <w:t>350 North 5th Street</w:t>
              <w:br/>
              <w:t>Minneapolis   MN   55401</w:t>
            </w:r>
          </w:p>
        </w:tc>
        <w:tc>
          <w:tcPr>
            <w:tcW w:w="1149" w:type="dxa"/>
            <w:tcBorders/>
            <w:vAlign w:val="center"/>
          </w:tcPr>
          <w:p>
            <w:pPr>
              <w:pStyle w:val="TableContents"/>
              <w:bidi w:val="0"/>
              <w:spacing w:before="0" w:after="283"/>
              <w:jc w:val="left"/>
              <w:rPr/>
            </w:pPr>
            <w:r>
              <w:rPr/>
              <w:t>5791</w:t>
            </w:r>
          </w:p>
        </w:tc>
        <w:tc>
          <w:tcPr>
            <w:tcW w:w="1357" w:type="dxa"/>
            <w:tcBorders/>
            <w:vAlign w:val="center"/>
          </w:tcPr>
          <w:p>
            <w:pPr>
              <w:pStyle w:val="TableContents"/>
              <w:bidi w:val="0"/>
              <w:spacing w:before="0" w:after="283"/>
              <w:jc w:val="left"/>
              <w:rPr/>
            </w:pPr>
            <w:r>
              <w:rPr/>
              <w:t>98447.00</w:t>
            </w:r>
          </w:p>
        </w:tc>
        <w:tc>
          <w:tcPr>
            <w:tcW w:w="1535" w:type="dxa"/>
            <w:tcBorders/>
            <w:vAlign w:val="center"/>
          </w:tcPr>
          <w:p>
            <w:pPr>
              <w:pStyle w:val="TableContents"/>
              <w:bidi w:val="0"/>
              <w:spacing w:before="0" w:after="283"/>
              <w:jc w:val="left"/>
              <w:rPr/>
            </w:pPr>
            <w:r>
              <w:rPr/>
              <w:t>333768747</w:t>
            </w:r>
          </w:p>
        </w:tc>
        <w:tc>
          <w:tcPr>
            <w:tcW w:w="1557" w:type="dxa"/>
            <w:tcBorders/>
            <w:vAlign w:val="center"/>
          </w:tcPr>
          <w:p>
            <w:pPr>
              <w:pStyle w:val="TableContents"/>
              <w:bidi w:val="0"/>
              <w:spacing w:before="0" w:after="283"/>
              <w:jc w:val="left"/>
              <w:rPr/>
            </w:pPr>
            <w:r>
              <w:rPr/>
              <w:t>08/20/2026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Andrew Bestwick</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5791</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64"/>
        <w:gridCol w:w="8541"/>
      </w:tblGrid>
      <w:tr>
        <w:trPr/>
        <w:tc>
          <w:tcPr>
            <w:tcW w:w="1664" w:type="dxa"/>
            <w:tcBorders/>
            <w:vAlign w:val="center"/>
          </w:tcPr>
          <w:p>
            <w:pPr>
              <w:pStyle w:val="TableContents"/>
              <w:bidi w:val="0"/>
              <w:spacing w:before="0" w:after="283"/>
              <w:jc w:val="left"/>
              <w:rPr/>
            </w:pPr>
            <w:r>
              <w:rPr/>
              <w:t>Remarks</w:t>
            </w:r>
          </w:p>
        </w:tc>
        <w:tc>
          <w:tcPr>
            <w:tcW w:w="8541" w:type="dxa"/>
            <w:tcBorders/>
            <w:vAlign w:val="center"/>
          </w:tcPr>
          <w:p>
            <w:pPr>
              <w:pStyle w:val="TableContents"/>
              <w:bidi w:val="0"/>
              <w:spacing w:before="0" w:after="283"/>
              <w:jc w:val="left"/>
              <w:rPr>
                <w:sz w:val="4"/>
                <w:szCs w:val="4"/>
              </w:rPr>
            </w:pPr>
            <w:r>
              <w:rPr>
                <w:sz w:val="4"/>
                <w:szCs w:val="4"/>
              </w:rPr>
            </w:r>
          </w:p>
        </w:tc>
      </w:tr>
      <w:tr>
        <w:trPr/>
        <w:tc>
          <w:tcPr>
            <w:tcW w:w="1664" w:type="dxa"/>
            <w:tcBorders/>
            <w:vAlign w:val="center"/>
          </w:tcPr>
          <w:p>
            <w:pPr>
              <w:pStyle w:val="TableContents"/>
              <w:bidi w:val="0"/>
              <w:spacing w:before="0" w:after="283"/>
              <w:jc w:val="left"/>
              <w:rPr/>
            </w:pPr>
            <w:r>
              <w:rPr/>
              <w:t>Date of Notice</w:t>
            </w:r>
          </w:p>
        </w:tc>
        <w:tc>
          <w:tcPr>
            <w:tcW w:w="8541"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64" w:type="dxa"/>
            <w:tcBorders/>
            <w:vAlign w:val="center"/>
          </w:tcPr>
          <w:p>
            <w:pPr>
              <w:pStyle w:val="TableContents"/>
              <w:bidi w:val="0"/>
              <w:spacing w:before="0" w:after="283"/>
              <w:jc w:val="left"/>
              <w:rPr/>
            </w:pPr>
            <w:r>
              <w:rPr/>
              <w:t>Signature</w:t>
            </w:r>
          </w:p>
        </w:tc>
        <w:tc>
          <w:tcPr>
            <w:tcW w:w="8541" w:type="dxa"/>
            <w:tcBorders/>
            <w:vAlign w:val="center"/>
          </w:tcPr>
          <w:p>
            <w:pPr>
              <w:pStyle w:val="TableContents"/>
              <w:bidi w:val="0"/>
              <w:spacing w:before="0" w:after="0"/>
              <w:jc w:val="left"/>
              <w:rPr/>
            </w:pPr>
            <w:r>
              <w:rPr/>
              <w:t xml:space="preserve">Will Britton, a duly authorized representative of Piper Sandler &amp; Co Corporate &amp; Venture Services FA, as attorney-in-fact for Andrew Bestwick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2975</Characters>
  <CharactersWithSpaces>3511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