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93342d10q.htm"/>
        <w:bookmarkStart w:id="1" w:name="ksd493342d10q"/>
        <w:bookmarkEnd w:id="0"/>
        <w:bookmarkEnd w:id="1"/>
        <w:r>
          <w:rPr>
            <w:rStyle w:val="InternetLink"/>
          </w:rPr>
          <w:t>Table of Contents</w:t>
        </w:r>
      </w:hyperlink>
    </w:p>
    <w:p>
      <w:pPr>
        <w:pStyle w:val="TextBody"/>
        <w:bidi w:val="0"/>
        <w:spacing w:lineRule="atLeast" w:line="142" w:before="0" w:after="40"/>
        <w:ind w:left="0" w:right="0" w:hanging="0"/>
        <w:jc w:val="left"/>
        <w:rPr>
          <w:spacing w:val="0"/>
        </w:rPr>
      </w:pPr>
      <w:r>
        <w:rPr>
          <w:spacing w:val="0"/>
        </w:rPr>
        <w:t> </w:t>
      </w:r>
    </w:p>
    <w:p>
      <w:pPr>
        <w:pStyle w:val="TextBody"/>
        <w:bidi w:val="0"/>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20549</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40" w:after="0"/>
        <w:ind w:left="0" w:right="0" w:hanging="0"/>
        <w:jc w:val="center"/>
        <w:rPr>
          <w:rFonts w:ascii="Times New Roman" w:hAnsi="Times New Roman"/>
          <w:b/>
          <w:spacing w:val="0"/>
          <w:sz w:val="36"/>
        </w:rPr>
      </w:pPr>
      <w:r>
        <w:rPr>
          <w:rFonts w:ascii="Times New Roman" w:hAnsi="Times New Roman"/>
          <w:b/>
          <w:spacing w:val="0"/>
          <w:sz w:val="36"/>
        </w:rPr>
        <w:t>FORM 10-Q</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For the quarterly period ended March 31, 2023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or</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TRANSITION PURSUANT TO SECTION 13 OR 15(D) OF THE SECURITIES EXCHANGE ACT </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For the transition period from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to </w:t>
      </w:r>
    </w:p>
    <w:p>
      <w:pPr>
        <w:pStyle w:val="TextBody"/>
        <w:bidi w:val="0"/>
        <w:spacing w:before="240" w:after="0"/>
        <w:jc w:val="center"/>
        <w:rPr>
          <w:spacing w:val="0"/>
          <w:u w:val="single"/>
        </w:rPr>
      </w:pPr>
      <w:r>
        <w:rPr>
          <w:spacing w:val="0"/>
          <w:u w:val="single"/>
        </w:rPr>
        <w:t>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(001-40140)</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40" w:after="0"/>
        <w:ind w:left="0" w:right="0" w:hanging="0"/>
        <w:jc w:val="center"/>
        <w:rPr>
          <w:rFonts w:ascii="Times New Roman" w:hAnsi="Times New Roman"/>
          <w:b/>
          <w:spacing w:val="0"/>
          <w:sz w:val="48"/>
        </w:rPr>
      </w:pPr>
      <w:r>
        <w:rPr>
          <w:rFonts w:ascii="Times New Roman" w:hAnsi="Times New Roman"/>
          <w:b/>
          <w:spacing w:val="0"/>
          <w:sz w:val="48"/>
        </w:rPr>
        <w:t xml:space="preserve">RIGETTI COMPUTING,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center"/>
              <w:rPr>
                <w:b/>
                <w:spacing w:val="0"/>
              </w:rPr>
            </w:pPr>
            <w:r>
              <w:rPr>
                <w:b/>
                <w:spacing w:val="0"/>
              </w:rPr>
              <w:t>88-0950636</w:t>
            </w:r>
          </w:p>
        </w:tc>
      </w:tr>
      <w:tr>
        <w:trPr/>
        <w:tc>
          <w:tcPr>
            <w:tcW w:w="39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775 Heinz Avenue</w:t>
              <w:br/>
              <w:t>Berkeley California</w:t>
            </w:r>
          </w:p>
        </w:tc>
        <w:tc>
          <w:tcPr>
            <w:tcW w:w="6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center"/>
              <w:rPr>
                <w:b/>
                <w:spacing w:val="0"/>
              </w:rPr>
            </w:pPr>
            <w:r>
              <w:rPr>
                <w:b/>
                <w:spacing w:val="0"/>
              </w:rPr>
              <w:t>94710</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(510) 210-5550 </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(Registrant’s telephone number, including area code)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pursuant to Section 12(b) of the Act: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183"/>
        <w:gridCol w:w="60"/>
        <w:gridCol w:w="875"/>
        <w:gridCol w:w="60"/>
        <w:gridCol w:w="2027"/>
      </w:tblGrid>
      <w:tr>
        <w:trPr/>
        <w:tc>
          <w:tcPr>
            <w:tcW w:w="7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7183"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vAlign w:val="center"/>
          </w:tcPr>
          <w:p>
            <w:pPr>
              <w:pStyle w:val="TableContents"/>
              <w:bidi w:val="0"/>
              <w:spacing w:before="0" w:after="0"/>
              <w:jc w:val="left"/>
              <w:rPr>
                <w:spacing w:val="0"/>
              </w:rPr>
            </w:pPr>
            <w:r>
              <w:rPr>
                <w:spacing w:val="0"/>
              </w:rPr>
              <w:t> </w:t>
            </w:r>
          </w:p>
        </w:tc>
        <w:tc>
          <w:tcPr>
            <w:tcW w:w="2027"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7183" w:type="dxa"/>
            <w:tcBorders/>
            <w:vAlign w:val="center"/>
          </w:tcPr>
          <w:p>
            <w:pPr>
              <w:pStyle w:val="TableContents"/>
              <w:bidi w:val="0"/>
              <w:spacing w:before="0" w:after="0"/>
              <w:jc w:val="center"/>
              <w:rPr>
                <w:b/>
                <w:spacing w:val="0"/>
              </w:rPr>
            </w:pPr>
            <w:r>
              <w:rPr>
                <w:b/>
                <w:spacing w:val="0"/>
              </w:rPr>
              <w:t>Common Stock, $0.0001 par value per share</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center"/>
              <w:rPr>
                <w:b/>
                <w:spacing w:val="0"/>
              </w:rPr>
            </w:pPr>
            <w:r>
              <w:rPr>
                <w:b/>
                <w:spacing w:val="0"/>
              </w:rPr>
              <w:t>RGTI</w:t>
            </w:r>
          </w:p>
        </w:tc>
        <w:tc>
          <w:tcPr>
            <w:tcW w:w="60" w:type="dxa"/>
            <w:tcBorders/>
            <w:vAlign w:val="center"/>
          </w:tcPr>
          <w:p>
            <w:pPr>
              <w:pStyle w:val="TableContents"/>
              <w:bidi w:val="0"/>
              <w:spacing w:before="0" w:after="0"/>
              <w:jc w:val="left"/>
              <w:rPr>
                <w:spacing w:val="0"/>
              </w:rPr>
            </w:pPr>
            <w:r>
              <w:rPr>
                <w:spacing w:val="0"/>
              </w:rPr>
              <w:t> </w:t>
            </w:r>
          </w:p>
        </w:tc>
        <w:tc>
          <w:tcPr>
            <w:tcW w:w="2027" w:type="dxa"/>
            <w:tcBorders/>
            <w:vAlign w:val="center"/>
          </w:tcPr>
          <w:p>
            <w:pPr>
              <w:pStyle w:val="TableContents"/>
              <w:bidi w:val="0"/>
              <w:spacing w:before="0" w:after="0"/>
              <w:jc w:val="center"/>
              <w:rPr>
                <w:b/>
                <w:spacing w:val="0"/>
              </w:rPr>
            </w:pPr>
            <w:r>
              <w:rPr>
                <w:b/>
                <w:spacing w:val="0"/>
              </w:rPr>
              <w:t>The Nasdaq Capital Market</w:t>
            </w:r>
          </w:p>
        </w:tc>
      </w:tr>
      <w:tr>
        <w:trPr/>
        <w:tc>
          <w:tcPr>
            <w:tcW w:w="7183" w:type="dxa"/>
            <w:tcBorders/>
            <w:vAlign w:val="center"/>
          </w:tcPr>
          <w:p>
            <w:pPr>
              <w:pStyle w:val="TableContents"/>
              <w:bidi w:val="0"/>
              <w:spacing w:before="0" w:after="0"/>
              <w:jc w:val="center"/>
              <w:rPr>
                <w:b/>
                <w:spacing w:val="0"/>
              </w:rPr>
            </w:pPr>
            <w:r>
              <w:rPr>
                <w:b/>
                <w:spacing w:val="0"/>
              </w:rPr>
              <w:t>Warrants, each whole warrant exercisable for one share of Common Stock at an exercise price of $11.50 per share</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center"/>
              <w:rPr>
                <w:b/>
                <w:spacing w:val="0"/>
              </w:rPr>
            </w:pPr>
            <w:r>
              <w:rPr>
                <w:b/>
                <w:spacing w:val="0"/>
              </w:rPr>
              <w:t>RGTIW</w:t>
            </w:r>
          </w:p>
        </w:tc>
        <w:tc>
          <w:tcPr>
            <w:tcW w:w="60" w:type="dxa"/>
            <w:tcBorders/>
            <w:vAlign w:val="center"/>
          </w:tcPr>
          <w:p>
            <w:pPr>
              <w:pStyle w:val="TableContents"/>
              <w:bidi w:val="0"/>
              <w:spacing w:before="0" w:after="0"/>
              <w:jc w:val="left"/>
              <w:rPr>
                <w:spacing w:val="0"/>
              </w:rPr>
            </w:pPr>
            <w:r>
              <w:rPr>
                <w:spacing w:val="0"/>
              </w:rPr>
              <w:t> </w:t>
            </w:r>
          </w:p>
        </w:tc>
        <w:tc>
          <w:tcPr>
            <w:tcW w:w="2027" w:type="dxa"/>
            <w:tcBorders/>
            <w:vAlign w:val="center"/>
          </w:tcPr>
          <w:p>
            <w:pPr>
              <w:pStyle w:val="TableContents"/>
              <w:bidi w:val="0"/>
              <w:spacing w:before="0" w:after="0"/>
              <w:jc w:val="center"/>
              <w:rPr>
                <w:b/>
                <w:spacing w:val="0"/>
              </w:rPr>
            </w:pPr>
            <w:r>
              <w:rPr>
                <w:b/>
                <w:spacing w:val="0"/>
              </w:rPr>
              <w:t>The Nasdaq Capital Market</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Yes    ☐  No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(§232.405 of this chapter) during the preceding 12 months (or for such shorter period that the registrant was required to submit such files).    ☑  Yes    ☐  No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filer, smaller reporting company, or an emerging growth company. See the definitions of “large accelerated filer”, “accelerated filer”, “smaller reporting company”, and “emerging growth company”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Rule 12b-2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 the Exchange Act. </w:t>
      </w:r>
    </w:p>
    <w:p>
      <w:pPr>
        <w:pStyle w:val="TextBody"/>
        <w:bidi w:val="0"/>
        <w:spacing w:before="0" w:after="0"/>
        <w:ind w:left="0" w:right="0" w:hanging="0"/>
        <w:jc w:val="left"/>
        <w:rPr>
          <w:spacing w:val="0"/>
        </w:rPr>
      </w:pPr>
      <w:r>
        <w:rPr>
          <w:spacing w:val="0"/>
        </w:rPr>
        <w:t> </w:t>
      </w:r>
    </w:p>
    <w:tbl>
      <w:tblPr>
        <w:tblW w:w="5720" w:type="dxa"/>
        <w:jc w:val="left"/>
        <w:tblInd w:w="0" w:type="dxa"/>
        <w:tblLayout w:type="fixed"/>
        <w:tblCellMar>
          <w:top w:w="0" w:type="dxa"/>
          <w:left w:w="0" w:type="dxa"/>
          <w:bottom w:w="0" w:type="dxa"/>
          <w:right w:w="0" w:type="dxa"/>
        </w:tblCellMar>
      </w:tblPr>
      <w:tblGrid>
        <w:gridCol w:w="2270"/>
        <w:gridCol w:w="60"/>
        <w:gridCol w:w="230"/>
        <w:gridCol w:w="120"/>
        <w:gridCol w:w="2735"/>
        <w:gridCol w:w="60"/>
        <w:gridCol w:w="2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0"/>
              <w:jc w:val="left"/>
              <w:rPr>
                <w:spacing w:val="0"/>
              </w:rPr>
            </w:pPr>
            <w:r>
              <w:rPr>
                <w:spacing w:val="0"/>
              </w:rPr>
              <w:t>Large Accelerated Filer</w:t>
            </w:r>
          </w:p>
        </w:tc>
        <w:tc>
          <w:tcPr>
            <w:tcW w:w="60" w:type="dxa"/>
            <w:tcBorders/>
            <w:vAlign w:val="center"/>
          </w:tcPr>
          <w:p>
            <w:pPr>
              <w:pStyle w:val="TableContents"/>
              <w:bidi w:val="0"/>
              <w:spacing w:before="0" w:after="0"/>
              <w:jc w:val="left"/>
              <w:rPr>
                <w:spacing w:val="0"/>
              </w:rPr>
            </w:pPr>
            <w:r>
              <w:rPr>
                <w:spacing w:val="0"/>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0"/>
              <w:jc w:val="left"/>
              <w:rPr>
                <w:spacing w:val="0"/>
              </w:rPr>
            </w:pPr>
            <w:r>
              <w:rPr>
                <w:spacing w:val="0"/>
              </w:rPr>
              <w:t>  </w:t>
            </w:r>
          </w:p>
        </w:tc>
        <w:tc>
          <w:tcPr>
            <w:tcW w:w="2735" w:type="dxa"/>
            <w:tcBorders/>
            <w:vAlign w:val="center"/>
          </w:tcPr>
          <w:p>
            <w:pPr>
              <w:pStyle w:val="TableContents"/>
              <w:bidi w:val="0"/>
              <w:spacing w:before="0" w:after="0"/>
              <w:jc w:val="left"/>
              <w:rPr>
                <w:spacing w:val="0"/>
              </w:rPr>
            </w:pPr>
            <w:r>
              <w:rPr>
                <w:spacing w:val="0"/>
              </w:rPr>
              <w:t>Accelerated Filer</w:t>
            </w:r>
          </w:p>
        </w:tc>
        <w:tc>
          <w:tcPr>
            <w:tcW w:w="60" w:type="dxa"/>
            <w:tcBorders/>
            <w:vAlign w:val="center"/>
          </w:tcPr>
          <w:p>
            <w:pPr>
              <w:pStyle w:val="TableContents"/>
              <w:bidi w:val="0"/>
              <w:spacing w:before="0" w:after="0"/>
              <w:jc w:val="left"/>
              <w:rPr>
                <w:spacing w:val="0"/>
              </w:rPr>
            </w:pPr>
            <w:r>
              <w:rPr>
                <w:spacing w:val="0"/>
              </w:rPr>
              <w:t> </w:t>
            </w:r>
          </w:p>
        </w:tc>
        <w:tc>
          <w:tcPr>
            <w:tcW w:w="245" w:type="dxa"/>
            <w:tcBorders/>
            <w:vAlign w:val="center"/>
          </w:tcPr>
          <w:p>
            <w:pPr>
              <w:pStyle w:val="TableContents"/>
              <w:bidi w:val="0"/>
              <w:spacing w:before="0" w:after="0"/>
              <w:jc w:val="left"/>
              <w:rPr>
                <w:spacing w:val="0"/>
              </w:rPr>
            </w:pPr>
            <w:r>
              <w:rPr>
                <w:spacing w:val="0"/>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0"/>
              <w:jc w:val="left"/>
              <w:rPr>
                <w:spacing w:val="0"/>
              </w:rPr>
            </w:pPr>
            <w:r>
              <w:rPr>
                <w:spacing w:val="0"/>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0"/>
              <w:jc w:val="left"/>
              <w:rPr>
                <w:spacing w:val="0"/>
              </w:rPr>
            </w:pPr>
            <w:r>
              <w:rPr>
                <w:spacing w:val="0"/>
              </w:rPr>
              <w:t>  </w:t>
            </w:r>
          </w:p>
        </w:tc>
        <w:tc>
          <w:tcPr>
            <w:tcW w:w="2735" w:type="dxa"/>
            <w:tcBorders/>
            <w:vAlign w:val="center"/>
          </w:tcPr>
          <w:p>
            <w:pPr>
              <w:pStyle w:val="TableContents"/>
              <w:bidi w:val="0"/>
              <w:spacing w:before="0" w:after="0"/>
              <w:jc w:val="left"/>
              <w:rPr>
                <w:spacing w:val="0"/>
              </w:rPr>
            </w:pPr>
            <w:r>
              <w:rPr>
                <w:spacing w:val="0"/>
              </w:rPr>
              <w:t>Smaller Reporting Company</w:t>
            </w:r>
          </w:p>
        </w:tc>
        <w:tc>
          <w:tcPr>
            <w:tcW w:w="60" w:type="dxa"/>
            <w:tcBorders/>
            <w:vAlign w:val="center"/>
          </w:tcPr>
          <w:p>
            <w:pPr>
              <w:pStyle w:val="TableContents"/>
              <w:bidi w:val="0"/>
              <w:spacing w:before="0" w:after="0"/>
              <w:jc w:val="left"/>
              <w:rPr>
                <w:spacing w:val="0"/>
              </w:rPr>
            </w:pPr>
            <w:r>
              <w:rPr>
                <w:spacing w:val="0"/>
              </w:rPr>
              <w:t> </w:t>
            </w:r>
          </w:p>
        </w:tc>
        <w:tc>
          <w:tcPr>
            <w:tcW w:w="24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2735" w:type="dxa"/>
            <w:tcBorders/>
            <w:vAlign w:val="center"/>
          </w:tcPr>
          <w:p>
            <w:pPr>
              <w:pStyle w:val="TableContents"/>
              <w:bidi w:val="0"/>
              <w:spacing w:before="0" w:after="0"/>
              <w:jc w:val="left"/>
              <w:rPr>
                <w:spacing w:val="0"/>
              </w:rPr>
            </w:pPr>
            <w:r>
              <w:rPr>
                <w:spacing w:val="0"/>
              </w:rPr>
              <w:t>Emerging Growth Company</w:t>
            </w:r>
          </w:p>
        </w:tc>
        <w:tc>
          <w:tcPr>
            <w:tcW w:w="60" w:type="dxa"/>
            <w:tcBorders/>
            <w:vAlign w:val="center"/>
          </w:tcPr>
          <w:p>
            <w:pPr>
              <w:pStyle w:val="TableContents"/>
              <w:bidi w:val="0"/>
              <w:spacing w:before="0" w:after="0"/>
              <w:jc w:val="left"/>
              <w:rPr>
                <w:spacing w:val="0"/>
              </w:rPr>
            </w:pPr>
            <w:r>
              <w:rPr>
                <w:spacing w:val="0"/>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 the Act).    ☐  Yes    ☑  No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May 5, 2023, there were 129,822,687 shares of the registrant’s Common Stock, no par value, issued and outstanding.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RIGETTI COMPUTING, INC. AND SUBSIDIARIES FORM 10-Q </w:t>
      </w:r>
    </w:p>
    <w:p>
      <w:pPr>
        <w:pStyle w:val="TextBody"/>
        <w:bidi w:val="0"/>
        <w:spacing w:before="240" w:after="0"/>
        <w:jc w:val="left"/>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745" w:type="dxa"/>
        <w:jc w:val="left"/>
        <w:tblInd w:w="0" w:type="dxa"/>
        <w:tblLayout w:type="fixed"/>
        <w:tblCellMar>
          <w:top w:w="0" w:type="dxa"/>
          <w:left w:w="0" w:type="dxa"/>
          <w:bottom w:w="0" w:type="dxa"/>
          <w:right w:w="0" w:type="dxa"/>
        </w:tblCellMar>
      </w:tblPr>
      <w:tblGrid>
        <w:gridCol w:w="725"/>
        <w:gridCol w:w="60"/>
        <w:gridCol w:w="7280"/>
        <w:gridCol w:w="120"/>
        <w:gridCol w:w="90"/>
        <w:gridCol w:w="395"/>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PAGE</w:t>
            </w:r>
          </w:p>
        </w:tc>
        <w:tc>
          <w:tcPr>
            <w:tcW w:w="75" w:type="dxa"/>
            <w:tcBorders/>
            <w:vAlign w:val="center"/>
          </w:tcPr>
          <w:p>
            <w:pPr>
              <w:pStyle w:val="TableContents"/>
              <w:bidi w:val="0"/>
              <w:spacing w:before="0" w:after="283"/>
              <w:jc w:val="left"/>
              <w:rPr/>
            </w:pPr>
            <w:r>
              <w:rPr/>
              <w:t> </w:t>
            </w:r>
          </w:p>
        </w:tc>
      </w:tr>
      <w:tr>
        <w:trPr/>
        <w:tc>
          <w:tcPr>
            <w:tcW w:w="8065" w:type="dxa"/>
            <w:gridSpan w:val="3"/>
            <w:tcBorders/>
            <w:vAlign w:val="center"/>
          </w:tcPr>
          <w:p>
            <w:pPr>
              <w:pStyle w:val="TableContents"/>
              <w:bidi w:val="0"/>
              <w:spacing w:before="0" w:after="0"/>
              <w:jc w:val="left"/>
              <w:rPr/>
            </w:pPr>
            <w:hyperlink w:anchor="fin493342_1">
              <w:r>
                <w:rPr>
                  <w:rStyle w:val="InternetLink"/>
                  <w:rFonts w:ascii="Times New Roman" w:hAnsi="Times New Roman"/>
                  <w:b/>
                  <w:sz w:val="20"/>
                </w:rPr>
                <w:t xml:space="preserve">CAUTIONARY NOTE REGARDING FORWARD-LOOKING STATEMENTS </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8065" w:type="dxa"/>
            <w:gridSpan w:val="3"/>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8065" w:type="dxa"/>
            <w:gridSpan w:val="3"/>
            <w:tcBorders/>
            <w:vAlign w:val="center"/>
          </w:tcPr>
          <w:p>
            <w:pPr>
              <w:pStyle w:val="TableContents"/>
              <w:bidi w:val="0"/>
              <w:spacing w:before="0" w:after="0"/>
              <w:jc w:val="left"/>
              <w:rPr/>
            </w:pPr>
            <w:hyperlink w:anchor="fin493342_2">
              <w:r>
                <w:rPr>
                  <w:rStyle w:val="InternetLink"/>
                  <w:rFonts w:ascii="Times New Roman" w:hAnsi="Times New Roman"/>
                  <w:b/>
                  <w:sz w:val="20"/>
                </w:rPr>
                <w:t xml:space="preserve">PART I — FINANCIAL INFORMATION </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fin493342_3">
              <w:r>
                <w:rPr>
                  <w:rStyle w:val="InternetLink"/>
                </w:rPr>
                <w:t>Financial Statements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fin493342_4">
              <w:r>
                <w:rPr>
                  <w:rStyle w:val="InternetLink"/>
                </w:rPr>
                <w:t>Condensed Consolidated Balance Sheets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fin493342_5">
              <w:r>
                <w:rPr>
                  <w:rStyle w:val="InternetLink"/>
                </w:rPr>
                <w:t>Condensed Consolidated Statements of Operations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fin493342_6">
              <w:r>
                <w:rPr>
                  <w:rStyle w:val="InternetLink"/>
                </w:rPr>
                <w:t>Condensed Consolidated Statements of Comprehensive Loss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fin493342_7">
              <w:r>
                <w:rPr>
                  <w:rStyle w:val="InternetLink"/>
                </w:rPr>
                <w:t>Condensed Consolidated Statements of Cash Flows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fin493342_8">
              <w:r>
                <w:rPr>
                  <w:rStyle w:val="InternetLink"/>
                </w:rPr>
                <w:t>Notes to Condensed Consolidated Financial Statements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9">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0">
              <w:r>
                <w:rPr>
                  <w:rStyle w:val="InternetLink"/>
                  <w:rFonts w:ascii="Times New Roman" w:hAnsi="Times New Roman"/>
                  <w:sz w:val="20"/>
                </w:rPr>
                <w:t>Quantitative and Qualitative Disclosures About Market Risks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1">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8065" w:type="dxa"/>
            <w:gridSpan w:val="3"/>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8065" w:type="dxa"/>
            <w:gridSpan w:val="3"/>
            <w:tcBorders/>
            <w:vAlign w:val="center"/>
          </w:tcPr>
          <w:p>
            <w:pPr>
              <w:pStyle w:val="TableContents"/>
              <w:bidi w:val="0"/>
              <w:spacing w:before="0" w:after="0"/>
              <w:jc w:val="left"/>
              <w:rPr/>
            </w:pPr>
            <w:hyperlink w:anchor="fin493342_12">
              <w:r>
                <w:rPr>
                  <w:rStyle w:val="InternetLink"/>
                  <w:rFonts w:ascii="Times New Roman" w:hAnsi="Times New Roman"/>
                  <w:b/>
                  <w:sz w:val="20"/>
                </w:rPr>
                <w:t xml:space="preserve">PART II — OTHER INFORMATION </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5">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6">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7">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8">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fin493342_19">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8065" w:type="dxa"/>
            <w:gridSpan w:val="3"/>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8065" w:type="dxa"/>
            <w:gridSpan w:val="3"/>
            <w:tcBorders/>
            <w:vAlign w:val="center"/>
          </w:tcPr>
          <w:p>
            <w:pPr>
              <w:pStyle w:val="TableContents"/>
              <w:bidi w:val="0"/>
              <w:spacing w:before="0" w:after="0"/>
              <w:jc w:val="left"/>
              <w:rPr/>
            </w:pPr>
            <w:hyperlink w:anchor="fin493342_20">
              <w:r>
                <w:rPr>
                  <w:rStyle w:val="InternetLink"/>
                  <w:rFonts w:ascii="Times New Roman" w:hAnsi="Times New Roman"/>
                  <w:b/>
                  <w:sz w:val="20"/>
                </w:rPr>
                <w:t xml:space="preserve">SIGNATURES </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fin493342_1"/>
      <w:bookmarkEnd w:id="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 </w:t>
      </w:r>
    </w:p>
    <w:p>
      <w:pPr>
        <w:pStyle w:val="TextBody"/>
        <w:bidi w:val="0"/>
        <w:spacing w:before="240" w:after="0"/>
        <w:jc w:val="left"/>
        <w:rPr>
          <w:rFonts w:ascii="Times New Roman" w:hAnsi="Times New Roman"/>
          <w:sz w:val="20"/>
        </w:rPr>
      </w:pPr>
      <w:r>
        <w:rPr>
          <w:rFonts w:ascii="Times New Roman" w:hAnsi="Times New Roman"/>
          <w:sz w:val="20"/>
        </w:rPr>
        <w:t xml:space="preserve">We caution you that these forward-looking statements are subject to numerous risks and uncertainties, most of which are difficult to predict and many of which are beyond our control. Forward-looking statements in this Quarterly Report on Form 10-Q may include, for example, statements about: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cash resources, our expectation that we will need to raise additional capital by late 2024 or early 2025 and our ability to raise additional capital when needed and on attractive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milestones, technological advancements, including with respect to executing on our technology roadmap and developing practical applications,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of quantum computing and estimated market size and market growth including with respect to our long-term business strategy for quantum computing as a service (“Quantum Computing as a Service,” or “QCaaS”),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partnerships and collaborations,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accelerate our development of multiple generations of quantum processors,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 concentration and the risk that a significant portion of our revenue currently depends on contracts with the public sector,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us or others with respect to the Business Combination (as defined herein) or other matters,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on our business strategy, including monetization of our products,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growth rate and market opportunity,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cure the current deficiency with respect to, and to regain compliance with and maintain, the listing of our common stock, par value $0.0001 per share (the “common stock”) and Public Warrants (as defined herein) on, the Nasdaq Capital Market (“Nasdaq”), and the potential liquidity and trading of such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recognize the anticipated benefits of the Business Combination, which may be affected by, among other things, competition, our ability to grow and manage growth profitably, maintain relationships with customers and suppliers and retain our management and key employees,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operating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remediate the material weaknesses in, and establish and maintain, effective internal controls over financial reporting;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or competitive factors,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evolution of the markets in which we compete,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our strategic initiatives, expansion plans and continue to innovate our existing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unfavorable conditions in our industry, the global economy or global supply chain (including any supply chain impacts from the ongoing military conflict involving Russia and Ukraine and sanctions related thereto), including inflation and financial and credit market fluctuations,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changes required in, our officers, key employees 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profitability, future revenue, capital requirements and needs for additional financing,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or decisions to expand or maintain our existing customer base;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effects of the COVID-19 pandemic and 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on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known and unknown risks, uncertainties and other factors include,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our estimates and current business plan, we expect that we will need to raise additional capital by late 2024 or early 2025 in order to continue our research and development efforts and achieve our business objectives. We cannot be sure that additional financing will be available. If we are unable to raise additional funding when needed and on attractive terms, we may be required to delay, limit or substantially reduce our quantum computing development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in our early stages and have a limited operating history, which makes it difficult to forecast our future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expect to incur significant expenses and continuing losses for the foreseeable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the market in which we compete achieves its anticipated growth levels, our business could fail to grow at similar rates, if at all.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net operating loss carryforwards and other tax attributes may be limited.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future generations of hardware, including any future generations developed to demonstrate narrow quantum advantage and broad quantum advantage and the anticipated release of an 84 qubit system, and 336 qubit system, each of which is an important anticipated milestone for our technology roadmap and commercialization, may not occur on our anticipated timeline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a limited number of customers for a significant percentage of our revenue and the loss or temporary loss of a major customer for any reason could harm our financial condition.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revenue depends on contracts with the public sector, and our failure to receive and maintain government contracts or changes in the contracting or fiscal policies of the public sector could have a material adverse effect on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currently dependent upon our relationship with our cloud providers. There are no assurances that we will be able to commercialize quantum computers from our relationships with cloud providers.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certain suppliers to source products. Failure to maintain our relationship with any of these suppliers, or a failure to replace any of these suppliers, could have a material adverse effect on our business, financial position, results of operations and cash flows.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we are successful in developing quantum computing systems and executing our strategy, competitors in the industry may achieve technological breakthroughs which render our quantum computing systems obsolete or inferior to other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reduce the cost of developing our quantum computers, which may prevent us from pricing our quantum systems competitively.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could suffer disruptions, outages, defects and other performance and quality problems with our quantum computing systems, our production technology partners or with the public cloud, data centers and internet infrastructure on which we rely.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obtain, maintain and protect our intellectual property rights could impair our ability to protect and commercialize our proprietary products and technology and cause us to lose our competitive advantage.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we will be able to regain compliance with the continued listing standards of Nasdaq. If we fail to cure our current deficiency and regain compliance with the listing requirements of the Nasdaq Capital Market or fail to comply with such listing requirements in the future or fail to cure any future deficiencies, we may be delisted and the price of our common stock and our ability to access the capital markets could be negatively impacted.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Delaware law and our Certificate of Incorporation and Bylaws contain certain provisions, including anti-takeover provisions, that limit the ability of stockholders to take certain actions and could delay or discourage takeover attempts that stockholders may consider favorable.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Unstable market and economic conditions, including the recent bank failure of Silicon Valley Bank, have had and may continue to have serious adverse consequences on our business, financial condition and share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warrants, including our Public Warrants, Private warrants and other warrants we have issued, are accounted for as liabilities and the changes in value of our Warrants could have a material effect on our financial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warrants are exercisable for Common Stock, the exercise of which would increase the number of shares eligible for future resale in the public market and result in dilution to our stockholders.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Warrants may never be in the money, and they may expire worthless.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discussion of the risks, uncertainties and other factors described above, as well as other risks material to our business, can be found under “Risk Factors” in Part I, Item 1A of our Annual Report on Form 10-K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Given these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should underlying assumptions prove incorrect, actual results and plans could differ materially from those expressed in any forward-looking statements. Also, these forward-looking statements represent our plans, objectives, estimates, expectations, assumptions, and intentions only as of the date of this filing.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PART I. 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shd w:fill="FFFFFF" w:val="clear"/>
        </w:rPr>
      </w:pPr>
      <w:r>
        <w:rPr>
          <w:spacing w:val="0"/>
          <w:shd w:fill="FFFFFF" w:val="clear"/>
        </w:rPr>
        <w:t> </w:t>
      </w:r>
    </w:p>
    <w:tbl>
      <w:tblPr>
        <w:tblW w:w="7285" w:type="dxa"/>
        <w:jc w:val="left"/>
        <w:tblInd w:w="0" w:type="dxa"/>
        <w:tblLayout w:type="fixed"/>
        <w:tblCellMar>
          <w:top w:w="0" w:type="dxa"/>
          <w:left w:w="0" w:type="dxa"/>
          <w:bottom w:w="0" w:type="dxa"/>
          <w:right w:w="0" w:type="dxa"/>
        </w:tblCellMar>
      </w:tblPr>
      <w:tblGrid>
        <w:gridCol w:w="980"/>
        <w:gridCol w:w="6305"/>
      </w:tblGrid>
      <w:tr>
        <w:trPr/>
        <w:tc>
          <w:tcPr>
            <w:tcW w:w="980" w:type="dxa"/>
            <w:tcBorders/>
            <w:vAlign w:val="center"/>
          </w:tcPr>
          <w:p>
            <w:pPr>
              <w:pStyle w:val="TableContents"/>
              <w:bidi w:val="0"/>
              <w:spacing w:before="0" w:after="0"/>
              <w:jc w:val="left"/>
              <w:rPr>
                <w:b/>
                <w:spacing w:val="0"/>
              </w:rPr>
            </w:pPr>
            <w:bookmarkStart w:id="4" w:name="fin493342_3"/>
            <w:bookmarkEnd w:id="4"/>
            <w:r>
              <w:rPr>
                <w:b/>
                <w:spacing w:val="0"/>
              </w:rPr>
              <w:t>ITEM 1. </w:t>
            </w:r>
          </w:p>
        </w:tc>
        <w:tc>
          <w:tcPr>
            <w:tcW w:w="63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INTERIM CONDENSED CONSOLIDATED FINANCIAL STATEMENTS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INTERIM CONDENSED CONSOLIDATED BALANCE SHEETS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RIGETTI COMPUTING, INC. </w:t>
      </w: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7215"/>
        <w:gridCol w:w="120"/>
        <w:gridCol w:w="147"/>
        <w:gridCol w:w="923"/>
        <w:gridCol w:w="155"/>
        <w:gridCol w:w="60"/>
        <w:gridCol w:w="195"/>
        <w:gridCol w:w="1220"/>
        <w:gridCol w:w="170"/>
      </w:tblGrid>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except share information)</w:t>
            </w:r>
          </w:p>
        </w:tc>
        <w:tc>
          <w:tcPr>
            <w:tcW w:w="120" w:type="dxa"/>
            <w:tcBorders/>
            <w:vAlign w:val="center"/>
          </w:tcPr>
          <w:p>
            <w:pPr>
              <w:pStyle w:val="TableContents"/>
              <w:bidi w:val="0"/>
              <w:spacing w:before="0" w:after="0"/>
              <w:jc w:val="left"/>
              <w:rPr>
                <w:spacing w:val="0"/>
              </w:rPr>
            </w:pPr>
            <w:r>
              <w:rPr>
                <w:spacing w:val="0"/>
              </w:rPr>
              <w:t>  </w:t>
            </w:r>
          </w:p>
        </w:tc>
        <w:tc>
          <w:tcPr>
            <w:tcW w:w="1070" w:type="dxa"/>
            <w:gridSpan w:val="2"/>
            <w:tcBorders/>
            <w:vAlign w:val="center"/>
          </w:tcPr>
          <w:p>
            <w:pPr>
              <w:pStyle w:val="TableContents"/>
              <w:bidi w:val="0"/>
              <w:spacing w:before="0" w:after="0"/>
              <w:jc w:val="center"/>
              <w:rPr>
                <w:b/>
                <w:spacing w:val="0"/>
              </w:rPr>
            </w:pPr>
            <w:r>
              <w:rPr>
                <w:b/>
                <w:spacing w:val="0"/>
              </w:rPr>
              <w:t>March 31,</w:t>
              <w:b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0"/>
              <w:jc w:val="left"/>
              <w:rPr>
                <w:spacing w:val="0"/>
              </w:rPr>
            </w:pPr>
            <w:r>
              <w:rPr>
                <w:spacing w:val="0"/>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26,117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57,888</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95,849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84,923</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5,320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6,235</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1,756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Forward contract—assets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2,229</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742</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130,265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154,467</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42,575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39,530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8,937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9,316</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181,907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203,442</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9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1,664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1,938</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8,731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8,205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559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961</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 current portion</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9,685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8,303</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liabilities—current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2,345</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22,989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21,752</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 net of current portion</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17,846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20,635</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 noncurrent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7,479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7,858</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warrant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2,640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1,767</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Earn-out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1,487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1,206</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52,441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53,218</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par value $0.0001 per share, 10,000,000 shares authorized, none outstanding</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$0.0001 per share, 1,000,000,000 shares authorized,</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129,171,170 shares issued and outstanding at March 31, 2023 and 125,257,233 shares</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issued and outstanding at December 31, 2022</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431,466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429,025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(161</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(302,006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(278,652</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129,466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150,224</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181,907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203,442</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9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SEE THE ACCOMPANYING NOTES TO UNAUDITED INTERIM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INTERIM CONDENSED 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RIGETTI COMPUTING, INC. </w:t>
      </w: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6618"/>
        <w:gridCol w:w="120"/>
        <w:gridCol w:w="217"/>
        <w:gridCol w:w="1250"/>
        <w:gridCol w:w="241"/>
        <w:gridCol w:w="186"/>
        <w:gridCol w:w="217"/>
        <w:gridCol w:w="1181"/>
        <w:gridCol w:w="175"/>
      </w:tblGrid>
      <w:tr>
        <w:trPr/>
        <w:tc>
          <w:tcPr>
            <w:tcW w:w="6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18"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9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175" w:type="dxa"/>
            <w:tcBorders/>
            <w:vAlign w:val="center"/>
          </w:tcPr>
          <w:p>
            <w:pPr>
              <w:pStyle w:val="TableContents"/>
              <w:bidi w:val="0"/>
              <w:spacing w:before="0" w:after="0"/>
              <w:jc w:val="left"/>
              <w:rPr>
                <w:spacing w:val="0"/>
              </w:rPr>
            </w:pPr>
            <w:r>
              <w:rPr>
                <w:spacing w:val="0"/>
              </w:rPr>
              <w:t> </w:t>
            </w:r>
          </w:p>
        </w:tc>
      </w:tr>
      <w:tr>
        <w:trPr/>
        <w:tc>
          <w:tcPr>
            <w:tcW w:w="6618"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except per share amounts)</w:t>
            </w:r>
          </w:p>
        </w:tc>
        <w:tc>
          <w:tcPr>
            <w:tcW w:w="120" w:type="dxa"/>
            <w:tcBorders/>
            <w:vAlign w:val="center"/>
          </w:tcPr>
          <w:p>
            <w:pPr>
              <w:pStyle w:val="TableContents"/>
              <w:bidi w:val="0"/>
              <w:spacing w:before="0" w:after="0"/>
              <w:jc w:val="left"/>
              <w:rPr>
                <w:spacing w:val="0"/>
              </w:rPr>
            </w:pPr>
            <w:r>
              <w:rPr>
                <w:spacing w:val="0"/>
              </w:rPr>
              <w:t>  </w:t>
            </w:r>
          </w:p>
        </w:tc>
        <w:tc>
          <w:tcPr>
            <w:tcW w:w="14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41" w:type="dxa"/>
            <w:tcBorders/>
            <w:vAlign w:val="center"/>
          </w:tcPr>
          <w:p>
            <w:pPr>
              <w:pStyle w:val="TableContents"/>
              <w:bidi w:val="0"/>
              <w:spacing w:before="0" w:after="0"/>
              <w:jc w:val="left"/>
              <w:rPr>
                <w:spacing w:val="0"/>
              </w:rPr>
            </w:pPr>
            <w:r>
              <w:rPr>
                <w:spacing w:val="0"/>
              </w:rPr>
              <w:t> </w:t>
            </w:r>
          </w:p>
        </w:tc>
        <w:tc>
          <w:tcPr>
            <w:tcW w:w="186" w:type="dxa"/>
            <w:tcBorders/>
            <w:vAlign w:val="center"/>
          </w:tcPr>
          <w:p>
            <w:pPr>
              <w:pStyle w:val="TableContents"/>
              <w:bidi w:val="0"/>
              <w:spacing w:before="0" w:after="0"/>
              <w:jc w:val="left"/>
              <w:rPr>
                <w:spacing w:val="0"/>
              </w:rPr>
            </w:pPr>
            <w:r>
              <w:rPr>
                <w:spacing w:val="0"/>
              </w:rPr>
              <w:t> </w:t>
            </w:r>
          </w:p>
        </w:tc>
        <w:tc>
          <w:tcPr>
            <w:tcW w:w="13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5" w:type="dxa"/>
            <w:tcBorders/>
            <w:vAlign w:val="center"/>
          </w:tcPr>
          <w:p>
            <w:pPr>
              <w:pStyle w:val="TableContents"/>
              <w:bidi w:val="0"/>
              <w:spacing w:before="0" w:after="0"/>
              <w:jc w:val="left"/>
              <w:rPr>
                <w:spacing w:val="0"/>
              </w:rPr>
            </w:pPr>
            <w:r>
              <w:rPr>
                <w:spacing w:val="0"/>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2,201</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2,104</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510</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414</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1,691</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1,690</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13,707</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13,927</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518</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1,475</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8,495</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11,560</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991</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23,711</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26,962</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(22,020</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(25,272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(1,464</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(1,205</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1,284</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(873</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3,771</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fair value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earn-out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(281</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5,991</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(927</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(1,334</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7,630</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(23,354</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(17,642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0" w:type="dxa"/>
            <w:tcBorders/>
            <w:vAlign w:val="center"/>
          </w:tcPr>
          <w:p>
            <w:pPr>
              <w:pStyle w:val="TableContents"/>
              <w:bidi w:val="0"/>
              <w:spacing w:before="0" w:after="0"/>
              <w:jc w:val="left"/>
              <w:rPr>
                <w:bdr w:val="single" w:sz="2" w:space="1" w:color="000000"/>
              </w:rPr>
            </w:pPr>
            <w:r>
              <w:rPr>
                <w:bdr w:val="single" w:sz="2"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(23,354</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(17,642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250" w:type="dxa"/>
            <w:tcBorders/>
            <w:vAlign w:val="center"/>
          </w:tcPr>
          <w:p>
            <w:pPr>
              <w:pStyle w:val="TableContents"/>
              <w:bidi w:val="0"/>
              <w:spacing w:before="0" w:after="0"/>
              <w:jc w:val="left"/>
              <w:rPr>
                <w:bdr w:val="double" w:sz="6" w:space="1" w:color="000000"/>
              </w:rPr>
            </w:pPr>
            <w:r>
              <w:rPr>
                <w:bdr w:val="double" w:sz="6"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 basic and diluted</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(0.19</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181" w:type="dxa"/>
            <w:tcBorders/>
            <w:vAlign w:val="center"/>
          </w:tcPr>
          <w:p>
            <w:pPr>
              <w:pStyle w:val="TableContents"/>
              <w:bidi w:val="0"/>
              <w:spacing w:before="0" w:after="283"/>
              <w:jc w:val="right"/>
              <w:rPr/>
            </w:pPr>
            <w:r>
              <w:rPr/>
              <w:t>(0.33</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250" w:type="dxa"/>
            <w:tcBorders/>
            <w:vAlign w:val="center"/>
          </w:tcPr>
          <w:p>
            <w:pPr>
              <w:pStyle w:val="TableContents"/>
              <w:bidi w:val="0"/>
              <w:spacing w:before="0" w:after="0"/>
              <w:jc w:val="left"/>
              <w:rPr>
                <w:bdr w:val="double" w:sz="6" w:space="1" w:color="000000"/>
              </w:rPr>
            </w:pPr>
            <w:r>
              <w:rPr>
                <w:bdr w:val="double" w:sz="6"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124,778</w:t>
            </w:r>
          </w:p>
        </w:tc>
        <w:tc>
          <w:tcPr>
            <w:tcW w:w="241"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53,692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250" w:type="dxa"/>
            <w:tcBorders/>
            <w:vAlign w:val="center"/>
          </w:tcPr>
          <w:p>
            <w:pPr>
              <w:pStyle w:val="TableContents"/>
              <w:bidi w:val="0"/>
              <w:spacing w:before="0" w:after="0"/>
              <w:jc w:val="left"/>
              <w:rPr>
                <w:bdr w:val="double" w:sz="6" w:space="1" w:color="000000"/>
              </w:rPr>
            </w:pPr>
            <w:r>
              <w:rPr>
                <w:bdr w:val="double" w:sz="6" w:space="1" w:color="000000"/>
              </w:rPr>
              <w:t> </w:t>
            </w:r>
          </w:p>
        </w:tc>
        <w:tc>
          <w:tcPr>
            <w:tcW w:w="24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SEE THE ACCOMPANYING NOTES TO UNAUDITED INTERIM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INTERIM CONDENSED CONSOLIDATED STATEMENTS OF COMPREHENSIVE LOSS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RIGETTI COMPUTING, INC. </w:t>
      </w: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(Unaudited) </w:t>
      </w:r>
    </w:p>
    <w:p>
      <w:pPr>
        <w:pStyle w:val="TextBody"/>
        <w:bidi w:val="0"/>
        <w:spacing w:before="0" w:after="0"/>
        <w:ind w:left="0" w:right="0" w:hanging="0"/>
        <w:jc w:val="left"/>
        <w:rPr>
          <w:spacing w:val="0"/>
          <w:shd w:fill="FFFFFF" w:val="clear"/>
        </w:rPr>
      </w:pPr>
      <w:r>
        <w:rPr>
          <w:spacing w:val="0"/>
          <w:shd w:fill="FFFFFF" w:val="clear"/>
        </w:rPr>
        <w:t> </w:t>
      </w:r>
    </w:p>
    <w:tbl>
      <w:tblPr>
        <w:tblW w:w="8127" w:type="dxa"/>
        <w:jc w:val="left"/>
        <w:tblInd w:w="0" w:type="dxa"/>
        <w:tblLayout w:type="fixed"/>
        <w:tblCellMar>
          <w:top w:w="0" w:type="dxa"/>
          <w:left w:w="0" w:type="dxa"/>
          <w:bottom w:w="0" w:type="dxa"/>
          <w:right w:w="0" w:type="dxa"/>
        </w:tblCellMar>
      </w:tblPr>
      <w:tblGrid>
        <w:gridCol w:w="4520"/>
        <w:gridCol w:w="120"/>
        <w:gridCol w:w="231"/>
        <w:gridCol w:w="1249"/>
        <w:gridCol w:w="256"/>
        <w:gridCol w:w="98"/>
        <w:gridCol w:w="231"/>
        <w:gridCol w:w="1252"/>
        <w:gridCol w:w="170"/>
      </w:tblGrid>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317" w:type="dxa"/>
            <w:gridSpan w:val="6"/>
            <w:tcBorders/>
            <w:vAlign w:val="center"/>
          </w:tcPr>
          <w:p>
            <w:pPr>
              <w:pStyle w:val="TableContents"/>
              <w:bidi w:val="0"/>
              <w:spacing w:before="0" w:after="0"/>
              <w:jc w:val="center"/>
              <w:rPr>
                <w:b/>
                <w:spacing w:val="0"/>
              </w:rPr>
            </w:pPr>
            <w:r>
              <w:rPr>
                <w:b/>
                <w:spacing w:val="0"/>
              </w:rPr>
              <w:t>Three Months Ended March 31,</w:t>
            </w:r>
          </w:p>
        </w:tc>
        <w:tc>
          <w:tcPr>
            <w:tcW w:w="170"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pPr>
            <w:r>
              <w:rPr/>
              <w:t>  </w:t>
            </w:r>
          </w:p>
        </w:tc>
        <w:tc>
          <w:tcPr>
            <w:tcW w:w="1480" w:type="dxa"/>
            <w:gridSpan w:val="2"/>
            <w:tcBorders/>
            <w:vAlign w:val="center"/>
          </w:tcPr>
          <w:p>
            <w:pPr>
              <w:pStyle w:val="TableContents"/>
              <w:bidi w:val="0"/>
              <w:spacing w:before="0" w:after="0"/>
              <w:jc w:val="center"/>
              <w:rPr>
                <w:b/>
                <w:spacing w:val="0"/>
              </w:rPr>
            </w:pPr>
            <w:r>
              <w:rPr>
                <w:b/>
                <w:spacing w:val="0"/>
              </w:rPr>
              <w:t>2023</w:t>
            </w:r>
          </w:p>
        </w:tc>
        <w:tc>
          <w:tcPr>
            <w:tcW w:w="256" w:type="dxa"/>
            <w:tcBorders/>
            <w:vAlign w:val="center"/>
          </w:tcPr>
          <w:p>
            <w:pPr>
              <w:pStyle w:val="TableContents"/>
              <w:bidi w:val="0"/>
              <w:spacing w:before="0" w:after="0"/>
              <w:jc w:val="left"/>
              <w:rPr/>
            </w:pPr>
            <w:r>
              <w:rPr/>
              <w:t> </w:t>
            </w:r>
          </w:p>
        </w:tc>
        <w:tc>
          <w:tcPr>
            <w:tcW w:w="98" w:type="dxa"/>
            <w:tcBorders/>
            <w:vAlign w:val="center"/>
          </w:tcPr>
          <w:p>
            <w:pPr>
              <w:pStyle w:val="TableContents"/>
              <w:bidi w:val="0"/>
              <w:spacing w:before="0" w:after="0"/>
              <w:jc w:val="left"/>
              <w:rPr/>
            </w:pPr>
            <w:r>
              <w:rPr/>
              <w:t> </w:t>
            </w:r>
          </w:p>
        </w:tc>
        <w:tc>
          <w:tcPr>
            <w:tcW w:w="1483"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(23,354</w:t>
            </w:r>
          </w:p>
        </w:tc>
        <w:tc>
          <w:tcPr>
            <w:tcW w:w="25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(17,642</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(83</w:t>
            </w:r>
          </w:p>
        </w:tc>
        <w:tc>
          <w:tcPr>
            <w:tcW w:w="25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gains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debt securities</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238</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before income taxes</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155</w:t>
            </w:r>
          </w:p>
        </w:tc>
        <w:tc>
          <w:tcPr>
            <w:tcW w:w="25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after income taxes</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155</w:t>
            </w:r>
          </w:p>
        </w:tc>
        <w:tc>
          <w:tcPr>
            <w:tcW w:w="25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1249" w:type="dxa"/>
            <w:tcBorders/>
            <w:vAlign w:val="center"/>
          </w:tcPr>
          <w:p>
            <w:pPr>
              <w:pStyle w:val="TableContents"/>
              <w:bidi w:val="0"/>
              <w:spacing w:before="0" w:after="0"/>
              <w:jc w:val="left"/>
              <w:rPr>
                <w:bdr w:val="single" w:sz="2" w:space="1" w:color="000000"/>
              </w:rPr>
            </w:pPr>
            <w:r>
              <w:rPr>
                <w:bdr w:val="single" w:sz="2" w:space="1" w:color="000000"/>
              </w:rPr>
              <w:t> </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(23,199</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(17,633</w:t>
            </w:r>
          </w:p>
        </w:tc>
        <w:tc>
          <w:tcPr>
            <w:tcW w:w="17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1249" w:type="dxa"/>
            <w:tcBorders/>
            <w:vAlign w:val="center"/>
          </w:tcPr>
          <w:p>
            <w:pPr>
              <w:pStyle w:val="TableContents"/>
              <w:bidi w:val="0"/>
              <w:spacing w:before="0" w:after="0"/>
              <w:jc w:val="left"/>
              <w:rPr>
                <w:bdr w:val="double" w:sz="6" w:space="1" w:color="000000"/>
              </w:rPr>
            </w:pPr>
            <w:r>
              <w:rPr>
                <w:bdr w:val="double" w:sz="6" w:space="1" w:color="000000"/>
              </w:rPr>
              <w:t> </w:t>
            </w:r>
          </w:p>
        </w:tc>
        <w:tc>
          <w:tcPr>
            <w:tcW w:w="2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125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SEE THE ACCOMPANYING NOTES TO UNAUDITED INTERIM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INTERIM 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RIGETTI COMPUTING INC. </w:t>
      </w:r>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(Unaudited)</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6602"/>
        <w:gridCol w:w="120"/>
        <w:gridCol w:w="218"/>
        <w:gridCol w:w="1185"/>
        <w:gridCol w:w="242"/>
        <w:gridCol w:w="187"/>
        <w:gridCol w:w="218"/>
        <w:gridCol w:w="1258"/>
        <w:gridCol w:w="175"/>
      </w:tblGrid>
      <w:tr>
        <w:trPr/>
        <w:tc>
          <w:tcPr>
            <w:tcW w:w="66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02"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0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175" w:type="dxa"/>
            <w:tcBorders/>
            <w:vAlign w:val="center"/>
          </w:tcPr>
          <w:p>
            <w:pPr>
              <w:pStyle w:val="TableContents"/>
              <w:bidi w:val="0"/>
              <w:spacing w:before="0" w:after="0"/>
              <w:jc w:val="left"/>
              <w:rPr>
                <w:spacing w:val="0"/>
              </w:rPr>
            </w:pPr>
            <w:r>
              <w:rPr>
                <w:spacing w:val="0"/>
              </w:rPr>
              <w:t> </w:t>
            </w:r>
          </w:p>
        </w:tc>
      </w:tr>
      <w:tr>
        <w:trPr/>
        <w:tc>
          <w:tcPr>
            <w:tcW w:w="6602"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4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42"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14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5" w:type="dxa"/>
            <w:tcBorders/>
            <w:vAlign w:val="center"/>
          </w:tcPr>
          <w:p>
            <w:pPr>
              <w:pStyle w:val="TableContents"/>
              <w:bidi w:val="0"/>
              <w:spacing w:before="0" w:after="0"/>
              <w:jc w:val="left"/>
              <w:rPr>
                <w:spacing w:val="0"/>
              </w:rPr>
            </w:pPr>
            <w:r>
              <w:rPr>
                <w:spacing w:val="0"/>
              </w:rPr>
              <w:t> </w:t>
            </w:r>
          </w:p>
        </w:tc>
      </w:tr>
      <w:tr>
        <w:trPr/>
        <w:tc>
          <w:tcPr>
            <w:tcW w:w="6602"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18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(23,354</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(17,642</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2,089</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1,390</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1,703</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11,481</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fair value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earn-out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281</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(5,991</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873</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(3,771</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forward contract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1,100</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(2,970</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Impairment of deferred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offering</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costs</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shd w:fill="CCEEFF" w:val="clear"/>
            <w:vAlign w:val="center"/>
          </w:tcPr>
          <w:p>
            <w:pPr>
              <w:pStyle w:val="TableContents"/>
              <w:bidi w:val="0"/>
              <w:spacing w:before="0" w:after="0"/>
              <w:jc w:val="left"/>
              <w:rPr/>
            </w:pPr>
            <w:r>
              <w:rPr/>
              <w:t> </w:t>
            </w:r>
          </w:p>
        </w:tc>
        <w:tc>
          <w:tcPr>
            <w:tcW w:w="218" w:type="dxa"/>
            <w:tcBorders/>
            <w:shd w:fill="CCEEFF" w:val="clear"/>
            <w:vAlign w:val="center"/>
          </w:tcPr>
          <w:p>
            <w:pPr>
              <w:pStyle w:val="TableContents"/>
              <w:bidi w:val="0"/>
              <w:spacing w:before="0" w:after="0"/>
              <w:jc w:val="left"/>
              <w:rPr/>
            </w:pPr>
            <w:r>
              <w:rPr/>
              <w:t> </w:t>
            </w:r>
          </w:p>
        </w:tc>
        <w:tc>
          <w:tcPr>
            <w:tcW w:w="1185" w:type="dxa"/>
            <w:tcBorders/>
            <w:shd w:fill="CCEEFF" w:val="clear"/>
            <w:vAlign w:val="center"/>
          </w:tcPr>
          <w:p>
            <w:pPr>
              <w:pStyle w:val="TableContents"/>
              <w:bidi w:val="0"/>
              <w:spacing w:before="0" w:after="0"/>
              <w:ind w:left="0" w:right="0" w:hanging="0"/>
              <w:jc w:val="right"/>
              <w:rPr>
                <w:spacing w:val="0"/>
              </w:rPr>
            </w:pPr>
            <w:r>
              <w:rPr>
                <w:spacing w:val="0"/>
              </w:rPr>
              <w:t>742</w:t>
            </w:r>
          </w:p>
          <w:p>
            <w:pPr>
              <w:pStyle w:val="TableContents"/>
              <w:bidi w:val="0"/>
              <w:spacing w:before="0" w:after="0"/>
              <w:jc w:val="right"/>
              <w:rPr/>
            </w:pPr>
            <w:r>
              <w:rPr/>
            </w:r>
          </w:p>
        </w:tc>
        <w:tc>
          <w:tcPr>
            <w:tcW w:w="242"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218" w:type="dxa"/>
            <w:tcBorders/>
            <w:shd w:fill="CCEEFF" w:val="clear"/>
            <w:vAlign w:val="center"/>
          </w:tcPr>
          <w:p>
            <w:pPr>
              <w:pStyle w:val="TableContents"/>
              <w:bidi w:val="0"/>
              <w:spacing w:before="0" w:after="0"/>
              <w:jc w:val="left"/>
              <w:rPr/>
            </w:pPr>
            <w:r>
              <w:rPr/>
              <w:t> </w:t>
            </w:r>
          </w:p>
        </w:tc>
        <w:tc>
          <w:tcPr>
            <w:tcW w:w="1258" w:type="dxa"/>
            <w:tcBorders/>
            <w:shd w:fill="CCEEFF" w:val="clear"/>
            <w:vAlign w:val="center"/>
          </w:tcPr>
          <w:p>
            <w:pPr>
              <w:pStyle w:val="TableContents"/>
              <w:bidi w:val="0"/>
              <w:spacing w:before="0" w:after="0"/>
              <w:ind w:left="0" w:right="0" w:hanging="0"/>
              <w:jc w:val="right"/>
              <w:rPr>
                <w:spacing w:val="0"/>
              </w:rPr>
            </w:pPr>
            <w:r>
              <w:rPr>
                <w:spacing w:val="0"/>
              </w:rPr>
              <w:t>—  </w:t>
            </w:r>
          </w:p>
          <w:p>
            <w:pPr>
              <w:pStyle w:val="TableContents"/>
              <w:bidi w:val="0"/>
              <w:spacing w:before="0" w:after="0"/>
              <w:jc w:val="right"/>
              <w:rPr/>
            </w:pPr>
            <w:r>
              <w:rPr/>
            </w:r>
          </w:p>
        </w:tc>
        <w:tc>
          <w:tcPr>
            <w:tcW w:w="175" w:type="dxa"/>
            <w:tcBorders/>
            <w:shd w:fill="CCEEFF" w:val="clear"/>
            <w:vAlign w:val="center"/>
          </w:tcPr>
          <w:p>
            <w:pPr>
              <w:pStyle w:val="TableContents"/>
              <w:bidi w:val="0"/>
              <w:spacing w:before="0" w:after="0"/>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237</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236</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Accretion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(506</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debt commitment fee asset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82</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46</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Accretion of debt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end-of-term</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72</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47</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379</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915</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282</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694</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(3,054</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(918</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(402</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(466</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(484</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1,482</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32</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4,084</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43</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(15,548</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(15,721</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(4,804</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(2,836</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(38,528</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Maturities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28,346</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(14,986</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(2,836</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Business Combination, net of transaction costs paid</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225,604</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 paid directly by Rigetti</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(16,731</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notes payable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5,000</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on principal of notes payable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(1,798</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Payments on deferred offering costs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(107</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on debt issuance costs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(30</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on loan and security agreement exit fees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(1,000</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upon exercise of stock options and warrants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751</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602</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(1,154</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213,445</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(83</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9</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(31,771</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194,897</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57,888</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12,046</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5" w:type="dxa"/>
            <w:tcBorders/>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26,117</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206,943</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1185"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1258" w:type="dxa"/>
            <w:tcBorders/>
            <w:shd w:fill="CCEEFF" w:val="clear"/>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1,072</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878</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Initial fair value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earn-out</w:t>
            </w:r>
          </w:p>
          <w:p>
            <w:pPr>
              <w:pStyle w:val="TableContents"/>
              <w:bidi w:val="0"/>
              <w:spacing w:before="0" w:after="0"/>
              <w:jc w:val="left"/>
              <w:rPr>
                <w:rFonts w:ascii="Times New Roman" w:hAnsi="Times New Roman"/>
                <w:sz w:val="20"/>
              </w:rPr>
            </w:pPr>
            <w:r>
              <w:rPr>
                <w:rFonts w:ascii="Times New Roman" w:hAnsi="Times New Roman"/>
                <w:sz w:val="20"/>
              </w:rPr>
              <w:t>liability acquired in merger</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20,413</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Initial fair value of private placement and public warrant liability acquired in merger</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22,932</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on short-term investments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238</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Capitalization of deferred costs to equity upon share issuance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13</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recorded in accounts payable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210</w:t>
            </w:r>
          </w:p>
        </w:tc>
        <w:tc>
          <w:tcPr>
            <w:tcW w:w="24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recorded in accrued expenses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120</w:t>
            </w:r>
          </w:p>
        </w:tc>
        <w:tc>
          <w:tcPr>
            <w:tcW w:w="24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SEE THE ACCOMPANYING NOTES TO UNAUDITED INTERIM CONDENSED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NOTES TO THE UNAUDITED INTERIM CONDENSED CONSOLIDATED FINANCIAL STATEMENTS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RIGETTI COMPUTING INC.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DESCRIPTION OF BUSINESS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Rigetti Computing, Inc. and its subsidiaries (collectively, the “Company” or “Rigetti”), builds quantum computers and the superconducting quantum processors that power them. Through the Company’s Quantum Computing as a Service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located and headquartered in Berkeley, California. The Company also operates in Fremont, California; London, United Kingdom; Adelaide, Australia; British Columbia, Canada and Munich, Germany. The Company’s revenue is derived primarily from operations in the United States and the United Kingdom.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of SNII Class A ordinary shares and SNII Class B ordinary shares automatically converted into shares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ommon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tock, par value $0.0001,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of the Company (the “Common Stock”) on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one-for-one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determined that Legacy Rigetti was the accounting acquirer in the Business Combination based on an analysis of the criteria outlined in Accounting Standards Codification (ASC) 805, Business Combination.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determination was primarily based on the following facts: </w:t>
      </w:r>
    </w:p>
    <w:p>
      <w:pPr>
        <w:pStyle w:val="TextBody"/>
        <w:bidi w:val="0"/>
        <w:spacing w:before="0" w:after="0"/>
        <w:jc w:val="left"/>
        <w:rPr>
          <w:shd w:fill="FFFFFF" w:val="clear"/>
        </w:rPr>
      </w:pPr>
      <w:r>
        <w:rPr>
          <w:shd w:fill="FFFFFF" w:val="clea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Former Legacy Rigetti stockholders have a controlling voting interest in the Company;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6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9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Company’s board of directors as of immediately after the closing was comprised of eight board members, six seats occupied by previous Rigetti board members and one seat being occupied by a previous Supernova representative. The final eighth seat was filled by an individual who did not have ties to either Rigetti or Supernova pre-Business Combination; and </w:t>
            </w:r>
          </w:p>
        </w:tc>
      </w:tr>
    </w:tbl>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Legacy Rigetti management continues to hold executive management roles for the post-combination company and be responsible for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day-to-day</w:t>
            </w:r>
          </w:p>
          <w:p>
            <w:pPr>
              <w:pStyle w:val="TableContents"/>
              <w:bidi w:val="0"/>
              <w:spacing w:before="0" w:after="0"/>
              <w:jc w:val="left"/>
              <w:rPr>
                <w:rFonts w:ascii="Times New Roman" w:hAnsi="Times New Roman"/>
                <w:sz w:val="20"/>
              </w:rPr>
            </w:pPr>
            <w:r>
              <w:rPr>
                <w:rFonts w:ascii="Times New Roman" w:hAnsi="Times New Roman"/>
                <w:sz w:val="20"/>
              </w:rPr>
              <w:t xml:space="preserve">operations.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Accordingly, for accounting purposes, the Business Combination was treated as the equivalent of Legacy Rigetti issuing stock for the net assets of SNII, accompanied by a recapitalization. The primary asset acquired from SNII was related to the cash amounts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As a result, the financial statements included in this report reflect (i) the historical operating results of Legacy Rigetti prior to the Business Combination; (ii) the combined results of SNII and Legacy Rigetti following the closing of the Business Combination; (iii) the assets and liabilities of Legacy Rigetti at their historical cost; and (iv) the Company’s equity structure for all periods presented.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equity structure has been retroactively restated in all comparative periods up to the Closing Date, to reflect the number of shares of the Company’s Common Stock, $0.0001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accompanying unaudited condensed consolidated financial statements of the Company and its subsidiaries have been prepared in accordance with accounting principles generally accepted in the United States (“U.S. GAAP”) and applicable rules and regulations of the U.S. Securities and Exchange Commission (“SEC”) regarding interim financial reporting. The unaudited interim condensed consolidated financial statements include the accounts of the Company and its wholly-owned subsidiaries. All intercompany transactions and balances have been eliminated in consolidation. All dollar amounts, except share and per share amounts, in the notes to the unaudited interim condensed consolidated financial statements are presented in thousands, unless otherwise specified.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condensed consolidated balance sheet as of December 31, 2022, included herein, was derived from the audited consolidated financial statements as of that date, but does not include all disclosures including certain notes required by U.S. GAAP on an annual reporting basis. Certain information and note disclosures normally included in the consolidated financial statements prepared in accordance with U.S. GAAP have been condensed or omitted pursuant to such rules and regulations. The unaudited interim condensed consolidated financial statements for this period are not necessarily indicative of the results for any future interim period or for the full fiscal year. Therefore, these unaudited condensed consolidated financial statements should be read in conjunction with the Company’s audited consolidated financial statements and notes included with the Company’s Annual Report on Form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unaudited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March 31, 2023, and the results of its operations and cash flows for the three-month periods ended March 31, 2023 and March 31, 2022. </w:t>
      </w:r>
    </w:p>
    <w:p>
      <w:pPr>
        <w:pStyle w:val="TextBody"/>
        <w:bidi w:val="0"/>
        <w:spacing w:before="24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Risks and Uncertainties</w:t>
      </w:r>
    </w:p>
    <w:p>
      <w:pPr>
        <w:pStyle w:val="TextBody"/>
        <w:bidi w:val="0"/>
        <w:spacing w:before="240" w:after="0"/>
        <w:jc w:val="left"/>
        <w:rPr>
          <w:spacing w:val="0"/>
          <w:shd w:fill="FFFFFF" w:val="clear"/>
        </w:rPr>
      </w:pPr>
      <w:r>
        <w:rPr>
          <w:spacing w:val="0"/>
          <w:shd w:fill="FFFFFF" w:val="clear"/>
        </w:rPr>
        <w:t xml:space="preserve">— </w:t>
      </w:r>
      <w:r>
        <w:rPr>
          <w:rFonts w:ascii="Times New Roman" w:hAnsi="Times New Roman"/>
          <w:spacing w:val="0"/>
          <w:sz w:val="20"/>
          <w:shd w:fill="FFFFFF" w:val="clear"/>
        </w:rPr>
        <w:t xml:space="preserve">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Based on our forecasts, we believe that our existing cash and cash equivalents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investments should be sufficient to meet our anticipated operating cash needs for at least the next 12 months from the issuance of these financial statements based on our current business plan and expectations and assumptions considering current macroeconomic conditions. </w:t>
      </w:r>
    </w:p>
    <w:p>
      <w:pPr>
        <w:pStyle w:val="TextBody"/>
        <w:bidi w:val="0"/>
        <w:spacing w:before="24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COVID-19</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and Macroeconomic Conditions</w:t>
      </w:r>
    </w:p>
    <w:p>
      <w:pPr>
        <w:pStyle w:val="TextBody"/>
        <w:bidi w:val="0"/>
        <w:spacing w:before="240" w:after="0"/>
        <w:jc w:val="left"/>
        <w:rPr>
          <w:shd w:fill="FFFFFF" w:val="clear"/>
        </w:rPr>
      </w:pPr>
      <w:r>
        <w:rPr>
          <w:shd w:fill="FFFFFF" w:val="clear"/>
        </w:rPr>
        <w:t xml:space="preserve">— </w:t>
      </w:r>
      <w:r>
        <w:rPr>
          <w:rFonts w:ascii="Times New Roman" w:hAnsi="Times New Roman"/>
          <w:sz w:val="20"/>
          <w:shd w:fill="FFFFFF" w:val="clear"/>
        </w:rPr>
        <w:t xml:space="preserve">As of March 31, 2023 and December 31, 2022, the Company’s financial position was not significantly impacted by the effects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World Health Organization has declared COVID-19 is no longer a global public emergency. However, any resulting disruption to the Company’s operations remains somewhat uncertain. Global economic conditions have been worsening, with disruptions to, and volatility in, the credit and financial markets, disruption to banking systems, and rising inflation and interest rates in the U.S. and worldwide resulting from the effects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COVID-19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otherwise. If these conditions persist and deepen, the Company could experience an inability to access additional capital, or our liquidity could otherwise be impacted. If the Company is unable to raise capital when needed and on attractive terms, it would be forced to delay, reduce or eliminate its research and development programs and other efforts. </w:t>
      </w:r>
    </w:p>
    <w:p>
      <w:pPr>
        <w:pStyle w:val="TextBody"/>
        <w:bidi w:val="0"/>
        <w:spacing w:before="24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Use of Estimates</w:t>
      </w:r>
    </w:p>
    <w:p>
      <w:pPr>
        <w:pStyle w:val="TextBody"/>
        <w:bidi w:val="0"/>
        <w:spacing w:before="240" w:after="0"/>
        <w:jc w:val="left"/>
        <w:rPr>
          <w:spacing w:val="0"/>
          <w:shd w:fill="FFFFFF" w:val="clear"/>
        </w:rPr>
      </w:pPr>
      <w:r>
        <w:rPr>
          <w:spacing w:val="0"/>
          <w:shd w:fill="FFFFFF" w:val="clear"/>
        </w:rPr>
        <w:t xml:space="preserve">— </w:t>
      </w:r>
      <w:r>
        <w:rPr>
          <w:rFonts w:ascii="Times New Roman" w:hAnsi="Times New Roman"/>
          <w:spacing w:val="0"/>
          <w:sz w:val="20"/>
          <w:shd w:fill="FFFFFF" w:val="clear"/>
        </w:rPr>
        <w:t xml:space="preserve">The preparation of the unaudited condensed consolidated financial statements in accordance with U.S. GAAP requires management to make estimates and assumptions that affect reported amounts and disclosures. Such management estimates include, but are not limited to, the fair value of share-based awards, fair value of the Forward Warrant Agreement (as defined below), the fair value of derivative warrant liabilities, the fair value of earnouts issued in connection with the Business Combination (See Note 3),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unaudited condensed consolidated financial statements; therefore, actual results could differ from those estimates.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2. RECENT ACCOUNTING DEVELOPMENTS </w:t>
      </w:r>
    </w:p>
    <w:p>
      <w:pPr>
        <w:pStyle w:val="TextBody"/>
        <w:bidi w:val="0"/>
        <w:spacing w:before="12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Recently Adopted Accounting Pronouncements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February 2016,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2016-02,</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Leases and related subsequently issued ASUs (collectively, “Topic 842”), which supersedes Topic 840. From a lessee perspective, the core principle of Topic 842 is that a lessee should recognize the assets and liabilities that arise from leases. A lessee should recognize in the statement of financial position a liability to make lease payments (the lease liability) and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(“ROU”) asset representing its right to use the underlying asset for the lease term. The Company adopted Topic 842 on December 31, 2022, effective as of January 1, 2022, using the modified retrospective transition option of applying the new standard at the adoption date for all leases with an original term greater than 12 months. Adoption of the standard resulted in the recognition of operating lease ROU assets and operating lease liabilities of $6.3 million and $6.6 million, respectively, and a $0.3 million adjustment to deferred rent, with no impact to accumulated deficit as of January 1, 2022. Adoption of the standard did not have an impact on the Company’s consolidated statement of operations or cash flows. The Company’s condensed consolidated financial statements for the three months ended March 31, 2022 continue to be presented in accordance with the presentation requirements of Topic 840.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April 2019,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2019-04,</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Codification Improvements to Topic 326, Financial Instruments—Credit Losses, Topic 815, Derivatives and Hedging, and Topic 825, Financial Instruments.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2019-04</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was issued as part of the FASB’s ongoing project to improve upon its Accounting Standards Codification (ASC), and to clarify and improve areas of guidance related to recently issued standards on credit losses, hedging, and recognition and measurement. For entities that have not yet adopted the guidance in Update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effective dates and the transition requirements for these amendments are the same as the effective date and transition requirements in Update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amendments related to ASC 326 were effective for the Company as of January 1, 2023. The adoption of the ASU did not have a material impact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Recently Issued Accounting Pronouncements Not Yet Adopted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 June 2022,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2022-03,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 August 2020,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2020-06,</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Debt—(Topic 815)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2020-06”),</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which simplifies an issuer’s accounting for convertible instruments and its application of the derivatives scope exception for contracts in its own equity. The amendments in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2020-06</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are effective for public companies, other than smaller reporting companies,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Company is still evaluating the impact of this pronouncement on the consolidated financial statements.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3. BUSINESS COMBINATION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As discussed in Note 1, on March 2, 2022, the Business Combination was completed. Pursuant to the Company’s certificate of incorporation, as amended on March 2, 2022, the Company is authorized to issue 1,000,000,000 shares of Common Stock and 10,000,000 shares of preferred stock, par value $0.0001, of the Company (the “Preferred Stock”). The holders of shares of Common Stock are entitled to one vote for each share of Common Stock held. The Preferred Stock 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No shares of Preferred Stock were issued and outstanding as of March 31, 2023 or December 31, 2022.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On March 1, 2022, prior to the Closing, as contemplated by that certain Agreement and Plan of Merger dated as of October 6, 2021, as amended on December 23, 2021 and January 10, 2022 (as amended, the “Merger Agreement”), by and among SNII, Supernova Merger Sub, Inc., Supernova Romeo Merger Sub, LLC and Legacy Rigetti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As a result of and upon the effective time of the Domestication (which occurred on March 1, 2022), among other things:(1) each then issued and outstanding Class A ordinary share, par value</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$0.0001 per share, of SNII (“SNII Class A ordinary share”) converted automatically,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one-for-one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into a share of Common Stock; (2) each then issued and outstanding Class B ordinary share, par value $0.0001 per share, of SNII (“SNII Class B ordinary share”) converted automatically,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one-for-one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into a share of Common Stock; (3) each then issued and outstanding whole warrant of SNII to purchase one SNII Class A ordinary shares converted automatically into a Public Warrant to acquire one share of Common Stock at an exercise price of $11.50 per share pursuant to the Warrant Agreement, dated March 1, 2021, between SNII and American Stock Transfer &amp; Trust Company, as warrant agent; (4) and each then issued and outstanding unit of SNII (the “SNII Units”) was separated and converted automatically into one share of Common Stock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one-fourth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one Warrant.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Immediately prior to the effective time of the Business Combination, each share of Legacy Rigetti’s Series C preferred stock and Series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converted based on the Exchange Ratio and other terms contained in the Merger Agreement.</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connection with the execution of the Merger Agreement, SNII entered into a sponsor support agreement (the “Sponsor Support Agreement”) with Supernova Partners II, LLC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2,479,000</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Common Stock held by the Sponsor Holders became unvested and subject to forfeiture as of the Closing and will only vest if, during the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five year</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period following the Closing, the volume weighted average price of Common Stock equals or exceeds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12.50</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for any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twenty trading days</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within a period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thirty consecutive trading days</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(such shares, the “Promote Sponsor Vesting Shares”), and (ii</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580,273</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Common Stock held by the Sponsor Holders became unvested and subject to forfeiture as of the Closing and will only vest if, during the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five year</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period following the Closing, the volume weighted average price of Common Stock equals or exceeds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15.00</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for any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twenty trading days</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within a period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thirty consecutive trading days</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(such shares, the “Sponsor Redemption-Based Vesting Shares,” and, collectively with the Promote Sponsor Vesting Shares, the “Sponsor Vesting Shares”). Any such shares held by the Sponsor Holders that remain unvested after the fifth anniversary of the Closing will be forfeited (Refer to Note 4 for related significant accounting policy for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Liability related to the Sponsor Vesting Shares).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PIPE Investors with certain registration rights with respect to the shares purchased as part of the PIPE Financing. The PIPE Financing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was consummated immediately prior to the Business Combination.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Business Combination is accounted for as a reverse recapitalization in accordance with U.S. GAAP. Under this method of accounting, SNII was treated as the “acquired” company for financial reporting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purposes.</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In accounting for the Business Combination and after redemptions, net proceeds received by the Company totaled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225.6</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million. The table below shows the net proceeds from business combination and PIPE financing:</w:t>
      </w:r>
    </w:p>
    <w:p>
      <w:pPr>
        <w:pStyle w:val="TextBody"/>
        <w:bidi w:val="0"/>
        <w:spacing w:before="0" w:after="0"/>
        <w:jc w:val="left"/>
        <w:rPr>
          <w:shd w:fill="FFFFFF" w:val="clear"/>
        </w:rPr>
      </w:pPr>
      <w:r>
        <w:rPr>
          <w:shd w:fill="FFFFFF" w:val="clear"/>
        </w:rPr>
        <w:t> </w:t>
      </w:r>
    </w:p>
    <w:tbl>
      <w:tblPr>
        <w:tblW w:w="5829" w:type="dxa"/>
        <w:jc w:val="left"/>
        <w:tblInd w:w="0" w:type="dxa"/>
        <w:tblLayout w:type="fixed"/>
        <w:tblCellMar>
          <w:top w:w="0" w:type="dxa"/>
          <w:left w:w="0" w:type="dxa"/>
          <w:bottom w:w="0" w:type="dxa"/>
          <w:right w:w="0" w:type="dxa"/>
        </w:tblCellMar>
      </w:tblPr>
      <w:tblGrid>
        <w:gridCol w:w="4175"/>
        <w:gridCol w:w="120"/>
        <w:gridCol w:w="217"/>
        <w:gridCol w:w="1242"/>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 SNII trust and cash (net of redemption)</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77,769</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 PIPE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147,510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 SNII operating account</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325</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124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from Business Combination and PIPE</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1242" w:type="dxa"/>
            <w:tcBorders/>
            <w:vAlign w:val="center"/>
          </w:tcPr>
          <w:p>
            <w:pPr>
              <w:pStyle w:val="TableContents"/>
              <w:bidi w:val="0"/>
              <w:spacing w:before="0" w:after="283"/>
              <w:jc w:val="right"/>
              <w:rPr/>
            </w:pPr>
            <w:r>
              <w:rPr/>
              <w:t>225,604</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double" w:sz="6" w:space="1" w:color="000000"/>
              </w:rPr>
            </w:pPr>
            <w:r>
              <w:rPr>
                <w:bdr w:val="double" w:sz="6" w:space="1" w:color="000000"/>
              </w:rPr>
              <w:t> </w:t>
            </w:r>
          </w:p>
        </w:tc>
        <w:tc>
          <w:tcPr>
            <w:tcW w:w="124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Transaction costs consist of direct legal, accounting and other fees relating to the consummation of the Business Combination. Legacy Rigetti transaction costs specific and directly attributable to the business combination totaled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$20.65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These costs were initially capitalized as incurred in deferred offering assets on the consolidated balance sheets. Upon the Closing, transaction costs related to the issuance of shares were recognized in stockholders’ equity (deficit) while costs associated with the Public Warrants, Private Warrants and the earnout related to the Sponsor Vesting Shares were expensed in the condensed consolidated statements of operations. Of the total transaction costs of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$20.65 million, $19.75 million was recorded to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capital as a reduction of proceeds and the remaining $0.9 million was expensed in the three months ended March 31, 2022. Cash transaction costs paid in the three months ended March 31, 2022 totaled $16.7 million. Bonuses paid to certain employees related to the business combination in the three months ended March 31, 2022 totaled $2.1 million.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amount recorded to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paid-in-capital</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was $159.55 million (as discussed in Note 1), comprised of $225.6 million net proceeds less $19.75 million transaction costs, $16.3 million recognized for the Public Warrant liabilities, $9.6 million (as discussed in Note 1) recognized for the Private Warrant liabilities, and $20.4 million recognized for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 liability related to the Sponsor Vesting Shares.</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The number of shares of Common Stock issued immediately following the consummation of the Business Combination was as follows:</w:t>
      </w:r>
    </w:p>
    <w:p>
      <w:pPr>
        <w:pStyle w:val="TextBody"/>
        <w:bidi w:val="0"/>
        <w:spacing w:before="0" w:after="0"/>
        <w:ind w:left="0" w:right="0" w:hanging="0"/>
        <w:jc w:val="left"/>
        <w:rPr>
          <w:shd w:fill="FFFFFF" w:val="clear"/>
        </w:rPr>
      </w:pPr>
      <w:r>
        <w:rPr>
          <w:shd w:fill="FFFFFF" w:val="clear"/>
        </w:rPr>
        <w:t> </w:t>
      </w:r>
    </w:p>
    <w:tbl>
      <w:tblPr>
        <w:tblW w:w="9195" w:type="dxa"/>
        <w:jc w:val="left"/>
        <w:tblInd w:w="0" w:type="dxa"/>
        <w:tblLayout w:type="fixed"/>
        <w:tblCellMar>
          <w:top w:w="0" w:type="dxa"/>
          <w:left w:w="0" w:type="dxa"/>
          <w:bottom w:w="0" w:type="dxa"/>
          <w:right w:w="0" w:type="dxa"/>
        </w:tblCellMar>
      </w:tblPr>
      <w:tblGrid>
        <w:gridCol w:w="7625"/>
        <w:gridCol w:w="120"/>
        <w:gridCol w:w="60"/>
        <w:gridCol w:w="1220"/>
        <w:gridCol w:w="170"/>
      </w:tblGrid>
      <w:tr>
        <w:trPr/>
        <w:tc>
          <w:tcPr>
            <w:tcW w:w="7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Stock—SNII Class A, outstanding prior to Business Combination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34,500,000</w:t>
            </w:r>
          </w:p>
        </w:tc>
        <w:tc>
          <w:tcPr>
            <w:tcW w:w="170" w:type="dxa"/>
            <w:tcBorders/>
            <w:shd w:fill="CCEE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redemption of SNII Class A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(22,915,538</w:t>
            </w:r>
          </w:p>
        </w:tc>
        <w:tc>
          <w:tcPr>
            <w:tcW w:w="17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Stock—SNII Class A ordinary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11,584,462</w:t>
            </w:r>
          </w:p>
        </w:tc>
        <w:tc>
          <w:tcPr>
            <w:tcW w:w="170" w:type="dxa"/>
            <w:tcBorders/>
            <w:shd w:fill="CCEE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Stock—SNII Class B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8,625,000</w:t>
            </w:r>
          </w:p>
        </w:tc>
        <w:tc>
          <w:tcPr>
            <w:tcW w:w="17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in PIPE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14,641,244</w:t>
            </w:r>
          </w:p>
        </w:tc>
        <w:tc>
          <w:tcPr>
            <w:tcW w:w="170" w:type="dxa"/>
            <w:tcBorders/>
            <w:shd w:fill="CCEE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Combination and PIPE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34,850,706</w:t>
            </w:r>
          </w:p>
        </w:tc>
        <w:tc>
          <w:tcPr>
            <w:tcW w:w="17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Stock—Legacy Rigetti**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18,221,069</w:t>
            </w:r>
          </w:p>
        </w:tc>
        <w:tc>
          <w:tcPr>
            <w:tcW w:w="170" w:type="dxa"/>
            <w:tcBorders/>
            <w:shd w:fill="CCEE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Stock—exercise of Legacy Rigetti stock options immediately prior to the closing**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1,123,539</w:t>
            </w:r>
          </w:p>
        </w:tc>
        <w:tc>
          <w:tcPr>
            <w:tcW w:w="17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Stock—exercise of Legacy Rigetti warrants immediately prior to the closing**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2,234,408</w:t>
            </w:r>
          </w:p>
        </w:tc>
        <w:tc>
          <w:tcPr>
            <w:tcW w:w="170" w:type="dxa"/>
            <w:tcBorders/>
            <w:shd w:fill="CCEE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Stock—upon conversion of Legacy Rigetti Series C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54,478,261</w:t>
            </w:r>
          </w:p>
        </w:tc>
        <w:tc>
          <w:tcPr>
            <w:tcW w:w="170"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Common Stock—upon conversion of Legacy Rigetti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C-1</w:t>
            </w:r>
          </w:p>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2,902,302</w:t>
            </w:r>
          </w:p>
        </w:tc>
        <w:tc>
          <w:tcPr>
            <w:tcW w:w="170" w:type="dxa"/>
            <w:tcBorders/>
            <w:shd w:fill="CCEE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Common Stock immediately after Business Combination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113,810,285</w:t>
            </w:r>
          </w:p>
        </w:tc>
        <w:tc>
          <w:tcPr>
            <w:tcW w:w="17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4720" w:type="dxa"/>
        <w:jc w:val="left"/>
        <w:tblInd w:w="0" w:type="dxa"/>
        <w:tblLayout w:type="fixed"/>
        <w:tblCellMar>
          <w:top w:w="0" w:type="dxa"/>
          <w:left w:w="0" w:type="dxa"/>
          <w:bottom w:w="0" w:type="dxa"/>
          <w:right w:w="0" w:type="dxa"/>
        </w:tblCellMar>
      </w:tblPr>
      <w:tblGrid>
        <w:gridCol w:w="155"/>
        <w:gridCol w:w="4565"/>
      </w:tblGrid>
      <w:tr>
        <w:trPr/>
        <w:tc>
          <w:tcPr>
            <w:tcW w:w="155" w:type="dxa"/>
            <w:tcBorders/>
            <w:vAlign w:val="center"/>
          </w:tcPr>
          <w:p>
            <w:pPr>
              <w:pStyle w:val="TableContents"/>
              <w:bidi w:val="0"/>
              <w:spacing w:before="0" w:after="0"/>
              <w:ind w:left="0" w:right="0" w:hanging="0"/>
              <w:jc w:val="left"/>
              <w:rPr>
                <w:spacing w:val="0"/>
              </w:rPr>
            </w:pPr>
            <w:r>
              <w:rPr>
                <w:spacing w:val="0"/>
              </w:rPr>
              <w:t>*</w:t>
            </w:r>
          </w:p>
        </w:tc>
        <w:tc>
          <w:tcPr>
            <w:tcW w:w="45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Includes (i) 2,479,000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shares of “Promote Sponsor Vesting Shares” and (ii)</w:t>
            </w:r>
          </w:p>
          <w:p>
            <w:pPr>
              <w:pStyle w:val="TableContents"/>
              <w:bidi w:val="0"/>
              <w:spacing w:before="0" w:after="0"/>
              <w:jc w:val="left"/>
              <w:rPr>
                <w:rFonts w:ascii="Times New Roman" w:hAnsi="Times New Roman"/>
                <w:sz w:val="20"/>
              </w:rPr>
            </w:pPr>
            <w:r>
              <w:rPr>
                <w:rFonts w:ascii="Times New Roman" w:hAnsi="Times New Roman"/>
                <w:sz w:val="20"/>
              </w:rPr>
              <w:t xml:space="preserve">580,273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shares of “Sponsor Redemption-Based Vesting Shares”.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spacing w:val="0"/>
              </w:rPr>
            </w:pPr>
            <w:r>
              <w:rPr>
                <w:spacing w:val="0"/>
              </w:rPr>
              <w:t>**</w:t>
            </w:r>
          </w:p>
        </w:tc>
        <w:tc>
          <w:tcPr>
            <w:tcW w:w="100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shares of Legacy Rigetti Common Stock as of immediately prior to the Closing (including Legacy Rigetti Common Stock resulting from the Legacy Rigetti Preferred Stock Conversion), were exchanged at an exchange ratio of 0.7870 (the “Exchange Ratio”). (ii) the conversion ratio to Legacy Rigetti Common Stock for the Legacy Series C Preferred Stock was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one-for-one</w:t>
            </w:r>
          </w:p>
          <w:p>
            <w:pPr>
              <w:pStyle w:val="TableContents"/>
              <w:bidi w:val="0"/>
              <w:spacing w:before="0" w:after="0"/>
              <w:jc w:val="left"/>
              <w:rPr>
                <w:rFonts w:ascii="Times New Roman" w:hAnsi="Times New Roman"/>
                <w:sz w:val="20"/>
              </w:rPr>
            </w:pPr>
            <w:r>
              <w:rPr>
                <w:rFonts w:ascii="Times New Roman" w:hAnsi="Times New Roman"/>
                <w:sz w:val="20"/>
              </w:rPr>
              <w:t xml:space="preserve">and for Legacy Series C-1 Preferred Stock was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eight-for-one.</w:t>
            </w:r>
          </w:p>
        </w:tc>
      </w:tr>
    </w:tbl>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4.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EARN-OUT</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LIABILITY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At the closing of the Business Combination, the Sponsor subjected the Sponsor Vesting Shares to forfeiture as of the Closing Date for a five-year period following the Closing, with vesting occurring only if thresholds related to the weighted average price of Common Stock are met as described above in Note 3. Business Combination (the “Earn-Out Triggering Events”). Any such shares held by the Sponsor that have not vested by the fifth anniversary of the Closing will be forfeited.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Sponsor Vesting Shares are accounted for as liability classified instruments because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and was determined to be $20.4 million at the Closing Date.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liability is adjusted to fair value each reporting period using the Monte Carlo simulation model until such time as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Triggering Events are achieved or the Sponsor Vesting Shares are forfeited.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calculated fair value of the Earn-out liability with respect to the Sponsor Vesting Shares at March 31, 2023 and December 31, 2022</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was</w:t>
      </w:r>
    </w:p>
    <w:p>
      <w:pPr>
        <w:pStyle w:val="TextBody"/>
        <w:bidi w:val="0"/>
        <w:spacing w:before="240" w:after="0"/>
        <w:jc w:val="left"/>
        <w:rPr>
          <w:spacing w:val="0"/>
        </w:rPr>
      </w:pPr>
      <w:r>
        <w:rPr>
          <w:spacing w:val="0"/>
        </w:rPr>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1.5</w:t>
      </w:r>
    </w:p>
    <w:p>
      <w:pPr>
        <w:pStyle w:val="TextBody"/>
        <w:bidi w:val="0"/>
        <w:spacing w:before="240" w:after="0"/>
        <w:jc w:val="left"/>
        <w:rPr>
          <w:spacing w:val="0"/>
          <w:shd w:fill="FFFFFF" w:val="clear"/>
        </w:rPr>
      </w:pPr>
      <w:r>
        <w:rPr>
          <w:spacing w:val="0"/>
          <w:shd w:fill="FFFFFF" w:val="clear"/>
        </w:rPr>
        <w:t> </w:t>
      </w:r>
      <w:r>
        <w:rPr>
          <w:rFonts w:ascii="Times New Roman" w:hAnsi="Times New Roman"/>
          <w:spacing w:val="0"/>
          <w:sz w:val="20"/>
          <w:shd w:fill="FFFFFF" w:val="clear"/>
        </w:rPr>
        <w:t>million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respectively. The change in the fair value of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liabilit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y included in the condensed consolidated statements of operations in the three months ended March 31, 2023 and March 31, 2022 was a loss of $0.3 million and a gain of $6.0 million, respectively.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Significant inputs into the Monte Carlo simulation models at March 31, 2023, December 31, 2022 and March 2, 2022 (the initial recognition) are as follows: </w:t>
      </w:r>
    </w:p>
    <w:p>
      <w:pPr>
        <w:pStyle w:val="TextBody"/>
        <w:bidi w:val="0"/>
        <w:spacing w:before="0" w:after="0"/>
        <w:jc w:val="left"/>
        <w:rPr>
          <w:shd w:fill="FFFFFF" w:val="clear"/>
        </w:rPr>
      </w:pPr>
      <w:r>
        <w:rPr>
          <w:shd w:fill="FFFFFF" w:val="clear"/>
        </w:rPr>
        <w:t> </w:t>
      </w:r>
    </w:p>
    <w:tbl>
      <w:tblPr>
        <w:tblW w:w="9065" w:type="dxa"/>
        <w:jc w:val="left"/>
        <w:tblInd w:w="0" w:type="dxa"/>
        <w:tblLayout w:type="fixed"/>
        <w:tblCellMar>
          <w:top w:w="0" w:type="dxa"/>
          <w:left w:w="0" w:type="dxa"/>
          <w:bottom w:w="0" w:type="dxa"/>
          <w:right w:w="0" w:type="dxa"/>
        </w:tblCellMar>
      </w:tblPr>
      <w:tblGrid>
        <w:gridCol w:w="2930"/>
        <w:gridCol w:w="120"/>
        <w:gridCol w:w="322"/>
        <w:gridCol w:w="1288"/>
        <w:gridCol w:w="275"/>
        <w:gridCol w:w="60"/>
        <w:gridCol w:w="333"/>
        <w:gridCol w:w="1622"/>
        <w:gridCol w:w="275"/>
        <w:gridCol w:w="60"/>
        <w:gridCol w:w="298"/>
        <w:gridCol w:w="1192"/>
        <w:gridCol w:w="29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Valuation Assumptions</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2, 2022</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0.72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0.73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9.43</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Simulated trading days</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988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1,198</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Annual volatility</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130.7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109.30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30.50</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3.68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4.04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1.74</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time to expiration (years)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3.92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5. CHANGES IN STOCKHOLDERS’ EQUITY(DEFICIT)</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A reconciliation of the changes in stockholders’ equity (deficit)</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is as follows:</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Three Months Ended March 31, 2023: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2064"/>
        <w:gridCol w:w="120"/>
        <w:gridCol w:w="60"/>
        <w:gridCol w:w="802"/>
        <w:gridCol w:w="60"/>
        <w:gridCol w:w="120"/>
        <w:gridCol w:w="231"/>
        <w:gridCol w:w="629"/>
        <w:gridCol w:w="60"/>
        <w:gridCol w:w="120"/>
        <w:gridCol w:w="163"/>
        <w:gridCol w:w="937"/>
        <w:gridCol w:w="155"/>
        <w:gridCol w:w="60"/>
        <w:gridCol w:w="266"/>
        <w:gridCol w:w="870"/>
        <w:gridCol w:w="155"/>
        <w:gridCol w:w="60"/>
        <w:gridCol w:w="188"/>
        <w:gridCol w:w="1182"/>
        <w:gridCol w:w="155"/>
        <w:gridCol w:w="60"/>
        <w:gridCol w:w="225"/>
        <w:gridCol w:w="1289"/>
        <w:gridCol w:w="174"/>
      </w:tblGrid>
      <w:tr>
        <w:trPr/>
        <w:tc>
          <w:tcPr>
            <w:tcW w:w="20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64"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0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36"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Accumulated</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Other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Comprehensive</w:t>
            </w:r>
          </w:p>
        </w:tc>
        <w:tc>
          <w:tcPr>
            <w:tcW w:w="155"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514"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 (Deficit)</w:t>
            </w:r>
          </w:p>
        </w:tc>
        <w:tc>
          <w:tcPr>
            <w:tcW w:w="174" w:type="dxa"/>
            <w:vMerge w:val="restart"/>
            <w:tcBorders/>
            <w:vAlign w:val="center"/>
          </w:tcPr>
          <w:p>
            <w:pPr>
              <w:pStyle w:val="TableContents"/>
              <w:bidi w:val="0"/>
              <w:spacing w:before="0" w:after="0"/>
              <w:jc w:val="left"/>
              <w:rPr>
                <w:spacing w:val="0"/>
              </w:rPr>
            </w:pPr>
            <w:r>
              <w:rPr>
                <w:spacing w:val="0"/>
              </w:rPr>
              <w:t> </w:t>
            </w:r>
          </w:p>
        </w:tc>
      </w:tr>
      <w:tr>
        <w:trPr/>
        <w:tc>
          <w:tcPr>
            <w:tcW w:w="2064"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86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spacing w:val="0"/>
              </w:rPr>
            </w:pPr>
            <w:r>
              <w:rPr>
                <w:spacing w:val="0"/>
              </w:rPr>
              <w:t> </w:t>
            </w:r>
          </w:p>
        </w:tc>
        <w:tc>
          <w:tcPr>
            <w:tcW w:w="113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w:t>
            </w:r>
          </w:p>
        </w:tc>
        <w:tc>
          <w:tcPr>
            <w:tcW w:w="155"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514" w:type="dxa"/>
            <w:gridSpan w:val="2"/>
            <w:vMerge w:val="continue"/>
            <w:tcBorders/>
            <w:vAlign w:val="center"/>
          </w:tcPr>
          <w:p>
            <w:pPr>
              <w:pStyle w:val="Normal"/>
              <w:bidi w:val="0"/>
              <w:jc w:val="left"/>
              <w:rPr/>
            </w:pPr>
            <w:r>
              <w:rPr/>
            </w:r>
          </w:p>
        </w:tc>
        <w:tc>
          <w:tcPr>
            <w:tcW w:w="174" w:type="dxa"/>
            <w:vMerge w:val="continue"/>
            <w:tcBorders/>
            <w:vAlign w:val="center"/>
          </w:tcPr>
          <w:p>
            <w:pPr>
              <w:pStyle w:val="Normal"/>
              <w:bidi w:val="0"/>
              <w:jc w:val="left"/>
              <w:rPr/>
            </w:pPr>
            <w:r>
              <w:rPr/>
            </w:r>
          </w:p>
        </w:tc>
      </w:tr>
      <w:tr>
        <w:trPr/>
        <w:tc>
          <w:tcPr>
            <w:tcW w:w="20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6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125,257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429,025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(278,652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150,224</w:t>
            </w:r>
          </w:p>
        </w:tc>
        <w:tc>
          <w:tcPr>
            <w:tcW w:w="174" w:type="dxa"/>
            <w:tcBorders/>
            <w:shd w:fill="CCEEFF" w:val="clear"/>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2,860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750</w:t>
            </w:r>
          </w:p>
        </w:tc>
        <w:tc>
          <w:tcPr>
            <w:tcW w:w="174" w:type="dxa"/>
            <w:tcBorders/>
            <w:vAlign w:val="center"/>
          </w:tcPr>
          <w:p>
            <w:pPr>
              <w:pStyle w:val="TableContents"/>
              <w:bidi w:val="0"/>
              <w:spacing w:before="0" w:after="283"/>
              <w:jc w:val="left"/>
              <w:rPr/>
            </w:pPr>
            <w:r>
              <w:rPr/>
              <w:t> </w:t>
            </w:r>
          </w:p>
        </w:tc>
      </w:tr>
      <w:tr>
        <w:trPr/>
        <w:tc>
          <w:tcPr>
            <w:tcW w:w="206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upon exercise of common stock </w:t>
              <w:br/>
              <w:t>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w:t>
            </w:r>
          </w:p>
        </w:tc>
        <w:tc>
          <w:tcPr>
            <w:tcW w:w="174" w:type="dxa"/>
            <w:tcBorders/>
            <w:shd w:fill="CCEEFF" w:val="clear"/>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upon release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927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06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Capitalization of deferred costs to equity upon share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(13</w:t>
            </w:r>
          </w:p>
        </w:tc>
        <w:tc>
          <w:tcPr>
            <w:tcW w:w="174" w:type="dxa"/>
            <w:tcBorders/>
            <w:shd w:fill="CCEEFF" w:val="clear"/>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1,703</w:t>
            </w:r>
          </w:p>
        </w:tc>
        <w:tc>
          <w:tcPr>
            <w:tcW w:w="174" w:type="dxa"/>
            <w:tcBorders/>
            <w:vAlign w:val="center"/>
          </w:tcPr>
          <w:p>
            <w:pPr>
              <w:pStyle w:val="TableContents"/>
              <w:bidi w:val="0"/>
              <w:spacing w:before="0" w:after="283"/>
              <w:jc w:val="left"/>
              <w:rPr/>
            </w:pPr>
            <w:r>
              <w:rPr/>
              <w:t> </w:t>
            </w:r>
          </w:p>
        </w:tc>
      </w:tr>
      <w:tr>
        <w:trPr/>
        <w:tc>
          <w:tcPr>
            <w:tcW w:w="206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(83</w:t>
            </w:r>
          </w:p>
        </w:tc>
        <w:tc>
          <w:tcPr>
            <w:tcW w:w="174" w:type="dxa"/>
            <w:tcBorders/>
            <w:shd w:fill="CCEEFF" w:val="clear"/>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unrealized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238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238</w:t>
            </w:r>
          </w:p>
        </w:tc>
        <w:tc>
          <w:tcPr>
            <w:tcW w:w="174" w:type="dxa"/>
            <w:tcBorders/>
            <w:vAlign w:val="center"/>
          </w:tcPr>
          <w:p>
            <w:pPr>
              <w:pStyle w:val="TableContents"/>
              <w:bidi w:val="0"/>
              <w:spacing w:before="0" w:after="283"/>
              <w:jc w:val="left"/>
              <w:rPr/>
            </w:pPr>
            <w:r>
              <w:rPr/>
              <w:t> </w:t>
            </w:r>
          </w:p>
        </w:tc>
      </w:tr>
      <w:tr>
        <w:trPr/>
        <w:tc>
          <w:tcPr>
            <w:tcW w:w="206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(23,354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(23,354</w:t>
            </w:r>
          </w:p>
        </w:tc>
        <w:tc>
          <w:tcPr>
            <w:tcW w:w="174" w:type="dxa"/>
            <w:tcBorders/>
            <w:shd w:fill="CCEEFF" w:val="clear"/>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8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289"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129,171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431,466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(302,006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283"/>
              <w:jc w:val="right"/>
              <w:rPr/>
            </w:pPr>
            <w:r>
              <w:rPr/>
              <w:t>129,466</w:t>
            </w:r>
          </w:p>
        </w:tc>
        <w:tc>
          <w:tcPr>
            <w:tcW w:w="174" w:type="dxa"/>
            <w:tcBorders/>
            <w:vAlign w:val="center"/>
          </w:tcPr>
          <w:p>
            <w:pPr>
              <w:pStyle w:val="TableContents"/>
              <w:bidi w:val="0"/>
              <w:spacing w:before="0" w:after="283"/>
              <w:jc w:val="left"/>
              <w:rPr/>
            </w:pPr>
            <w:r>
              <w:rPr/>
              <w:t> </w:t>
            </w:r>
          </w:p>
        </w:tc>
      </w:tr>
      <w:tr>
        <w:trPr/>
        <w:tc>
          <w:tcPr>
            <w:tcW w:w="206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8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289"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Three Months Ended March 31, 2022: </w:t>
      </w:r>
    </w:p>
    <w:p>
      <w:pPr>
        <w:pStyle w:val="TextBody"/>
        <w:bidi w:val="0"/>
        <w:spacing w:before="0" w:after="0"/>
        <w:ind w:left="0" w:right="0" w:hanging="0"/>
        <w:jc w:val="left"/>
        <w:rPr>
          <w:spacing w:val="0"/>
          <w:shd w:fill="FFFFFF" w:val="clear"/>
        </w:rPr>
      </w:pPr>
      <w:r>
        <w:rPr>
          <w:spacing w:val="0"/>
          <w:shd w:fill="FFFFFF" w:val="clear"/>
        </w:rPr>
        <w:t> </w:t>
      </w:r>
    </w:p>
    <w:tbl>
      <w:tblPr>
        <w:tblW w:w="12865" w:type="dxa"/>
        <w:jc w:val="left"/>
        <w:tblInd w:w="0" w:type="dxa"/>
        <w:tblLayout w:type="fixed"/>
        <w:tblCellMar>
          <w:top w:w="0" w:type="dxa"/>
          <w:left w:w="0" w:type="dxa"/>
          <w:bottom w:w="0" w:type="dxa"/>
          <w:right w:w="0" w:type="dxa"/>
        </w:tblCellMar>
      </w:tblPr>
      <w:tblGrid>
        <w:gridCol w:w="1595"/>
        <w:gridCol w:w="120"/>
        <w:gridCol w:w="78"/>
        <w:gridCol w:w="990"/>
        <w:gridCol w:w="203"/>
        <w:gridCol w:w="78"/>
        <w:gridCol w:w="183"/>
        <w:gridCol w:w="993"/>
        <w:gridCol w:w="155"/>
        <w:gridCol w:w="60"/>
        <w:gridCol w:w="60"/>
        <w:gridCol w:w="800"/>
        <w:gridCol w:w="60"/>
        <w:gridCol w:w="120"/>
        <w:gridCol w:w="231"/>
        <w:gridCol w:w="629"/>
        <w:gridCol w:w="60"/>
        <w:gridCol w:w="120"/>
        <w:gridCol w:w="163"/>
        <w:gridCol w:w="937"/>
        <w:gridCol w:w="60"/>
        <w:gridCol w:w="120"/>
        <w:gridCol w:w="433"/>
        <w:gridCol w:w="1177"/>
        <w:gridCol w:w="60"/>
        <w:gridCol w:w="120"/>
        <w:gridCol w:w="188"/>
        <w:gridCol w:w="1182"/>
        <w:gridCol w:w="155"/>
        <w:gridCol w:w="60"/>
        <w:gridCol w:w="224"/>
        <w:gridCol w:w="1281"/>
        <w:gridCol w:w="170"/>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Redeemable Convertible</w:t>
              <w:br/>
              <w:t>Preferred Stock*</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Gain (Loss)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 (Deficit)</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159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06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203" w:type="dxa"/>
            <w:tcBorders/>
            <w:vAlign w:val="center"/>
          </w:tcPr>
          <w:p>
            <w:pPr>
              <w:pStyle w:val="TableContents"/>
              <w:bidi w:val="0"/>
              <w:spacing w:before="0" w:after="0"/>
              <w:jc w:val="left"/>
              <w:rPr>
                <w:spacing w:val="0"/>
              </w:rPr>
            </w:pPr>
            <w:r>
              <w:rPr>
                <w:spacing w:val="0"/>
              </w:rPr>
              <w:t> </w:t>
            </w:r>
          </w:p>
        </w:tc>
        <w:tc>
          <w:tcPr>
            <w:tcW w:w="78" w:type="dxa"/>
            <w:tcBorders/>
            <w:vAlign w:val="center"/>
          </w:tcPr>
          <w:p>
            <w:pPr>
              <w:pStyle w:val="TableContents"/>
              <w:bidi w:val="0"/>
              <w:spacing w:before="0" w:after="0"/>
              <w:jc w:val="left"/>
              <w:rPr>
                <w:spacing w:val="0"/>
              </w:rPr>
            </w:pPr>
            <w:r>
              <w:rPr>
                <w:spacing w:val="0"/>
              </w:rPr>
              <w:t> </w:t>
            </w:r>
          </w:p>
        </w:tc>
        <w:tc>
          <w:tcPr>
            <w:tcW w:w="11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50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December 31, 2021</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77,697</w:t>
            </w:r>
          </w:p>
        </w:tc>
        <w:tc>
          <w:tcPr>
            <w:tcW w:w="20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81,523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135,549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(207,131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(71,528</w:t>
            </w:r>
          </w:p>
        </w:tc>
        <w:tc>
          <w:tcPr>
            <w:tcW w:w="17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upon</w:t>
              <w:br/>
              <w:t xml:space="preserve">conversion of Legacy Series C and C-1 preferred stock in connection with the </w:t>
              <w:br/>
              <w:t>Business Combination (Note3)</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(77,697</w:t>
            </w:r>
          </w:p>
        </w:tc>
        <w:tc>
          <w:tcPr>
            <w:tcW w:w="20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(81,523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81,517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81,523</w:t>
            </w:r>
          </w:p>
        </w:tc>
        <w:tc>
          <w:tcPr>
            <w:tcW w:w="17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Issuance of common stock through </w:t>
              <w:br/>
              <w:t xml:space="preserve">Business Combination and PIPE </w:t>
              <w:br/>
              <w:t>Financing, net of transaction costs and derivative liabilities (Note 3)</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159,535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159,538</w:t>
            </w:r>
          </w:p>
        </w:tc>
        <w:tc>
          <w:tcPr>
            <w:tcW w:w="17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upon exercise </w:t>
              <w:br/>
              <w:t>of stock options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574</w:t>
            </w:r>
          </w:p>
        </w:tc>
        <w:tc>
          <w:tcPr>
            <w:tcW w:w="17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upon exercise </w:t>
              <w:br/>
              <w:t>of common stock warrants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11,481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11,481</w:t>
            </w:r>
          </w:p>
        </w:tc>
        <w:tc>
          <w:tcPr>
            <w:tcW w:w="17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gain</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(17,642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right"/>
              <w:rPr/>
            </w:pPr>
            <w:r>
              <w:rPr/>
              <w:t>(17,642</w:t>
            </w:r>
          </w:p>
        </w:tc>
        <w:tc>
          <w:tcPr>
            <w:tcW w:w="17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9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20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9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77"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28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CCEE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March 31, 2022</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113,810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388,684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(224,773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163,983</w:t>
            </w:r>
          </w:p>
        </w:tc>
        <w:tc>
          <w:tcPr>
            <w:tcW w:w="170"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990" w:type="dxa"/>
            <w:tcBorders/>
            <w:vAlign w:val="center"/>
          </w:tcPr>
          <w:p>
            <w:pPr>
              <w:pStyle w:val="TableContents"/>
              <w:bidi w:val="0"/>
              <w:spacing w:before="0" w:after="0"/>
              <w:jc w:val="left"/>
              <w:rPr>
                <w:bdr w:val="double" w:sz="6" w:space="1" w:color="000000"/>
              </w:rPr>
            </w:pPr>
            <w:r>
              <w:rPr>
                <w:bdr w:val="double" w:sz="6" w:space="1" w:color="000000"/>
              </w:rPr>
              <w:t> </w:t>
            </w:r>
          </w:p>
        </w:tc>
        <w:tc>
          <w:tcPr>
            <w:tcW w:w="20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99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legacy Redeemable Convertible Series C Preferred Stock, Redeemable Convertible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C-1</w:t>
            </w:r>
          </w:p>
          <w:p>
            <w:pPr>
              <w:pStyle w:val="TableContents"/>
              <w:bidi w:val="0"/>
              <w:spacing w:before="0" w:after="0"/>
              <w:jc w:val="left"/>
              <w:rPr>
                <w:rFonts w:ascii="Times New Roman" w:hAnsi="Times New Roman"/>
                <w:sz w:val="20"/>
              </w:rPr>
            </w:pPr>
            <w:r>
              <w:rPr>
                <w:rFonts w:ascii="Times New Roman" w:hAnsi="Times New Roman"/>
                <w:sz w:val="20"/>
              </w:rPr>
              <w:t xml:space="preserve">Preferred Stock, legacy Class A Common Stock, and legacy Class B Common Stock have been retroactively restated to give effect to the Business Combination </w:t>
            </w:r>
          </w:p>
        </w:tc>
      </w:tr>
    </w:tbl>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6. REVENUE RECOGNITION: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tables depict the disaggregation of revenue according to the type of good or service and timing of transfer of goods or services for the three months ended March 31, 2023 and March 31, 2022: </w:t>
      </w:r>
    </w:p>
    <w:p>
      <w:pPr>
        <w:pStyle w:val="TextBody"/>
        <w:bidi w:val="0"/>
        <w:spacing w:before="0" w:after="0"/>
        <w:jc w:val="left"/>
        <w:rPr>
          <w:shd w:fill="FFFFFF" w:val="clear"/>
        </w:rPr>
      </w:pPr>
      <w:r>
        <w:rPr>
          <w:shd w:fill="FFFFFF" w:val="clear"/>
        </w:rPr>
        <w:t> </w:t>
      </w:r>
    </w:p>
    <w:tbl>
      <w:tblPr>
        <w:tblW w:w="7913" w:type="dxa"/>
        <w:jc w:val="left"/>
        <w:tblInd w:w="0" w:type="dxa"/>
        <w:tblLayout w:type="fixed"/>
        <w:tblCellMar>
          <w:top w:w="0" w:type="dxa"/>
          <w:left w:w="0" w:type="dxa"/>
          <w:bottom w:w="0" w:type="dxa"/>
          <w:right w:w="0" w:type="dxa"/>
        </w:tblCellMar>
      </w:tblPr>
      <w:tblGrid>
        <w:gridCol w:w="4400"/>
        <w:gridCol w:w="120"/>
        <w:gridCol w:w="293"/>
        <w:gridCol w:w="1176"/>
        <w:gridCol w:w="125"/>
        <w:gridCol w:w="251"/>
        <w:gridCol w:w="293"/>
        <w:gridCol w:w="1180"/>
        <w:gridCol w:w="75"/>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Collaborative research and other professional services</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1,811</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1,515</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Access to quantum computing systems</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390</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589</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2,201</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2,104</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6"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tbl>
      <w:tblPr>
        <w:tblW w:w="6638" w:type="dxa"/>
        <w:jc w:val="left"/>
        <w:tblInd w:w="0" w:type="dxa"/>
        <w:tblLayout w:type="fixed"/>
        <w:tblCellMar>
          <w:top w:w="0" w:type="dxa"/>
          <w:left w:w="0" w:type="dxa"/>
          <w:bottom w:w="0" w:type="dxa"/>
          <w:right w:w="0" w:type="dxa"/>
        </w:tblCellMar>
      </w:tblPr>
      <w:tblGrid>
        <w:gridCol w:w="3125"/>
        <w:gridCol w:w="120"/>
        <w:gridCol w:w="293"/>
        <w:gridCol w:w="1176"/>
        <w:gridCol w:w="125"/>
        <w:gridCol w:w="251"/>
        <w:gridCol w:w="293"/>
        <w:gridCol w:w="1180"/>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sz w:val="4"/>
                <w:szCs w:val="4"/>
              </w:rPr>
            </w:pPr>
            <w:r>
              <w:rPr>
                <w:sz w:val="4"/>
                <w:szCs w:val="4"/>
              </w:rPr>
            </w:r>
          </w:p>
        </w:tc>
        <w:tc>
          <w:tcPr>
            <w:tcW w:w="3513" w:type="dxa"/>
            <w:gridSpan w:val="8"/>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0"/>
              <w:jc w:val="left"/>
              <w:rPr>
                <w:spacing w:val="0"/>
              </w:rPr>
            </w:pPr>
            <w:r>
              <w:rPr>
                <w:spacing w:val="0"/>
              </w:rPr>
              <w:t> </w:t>
            </w:r>
          </w:p>
        </w:tc>
      </w:tr>
      <w:tr>
        <w:trPr/>
        <w:tc>
          <w:tcPr>
            <w:tcW w:w="312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4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25" w:type="dxa"/>
            <w:tcBorders/>
            <w:vAlign w:val="center"/>
          </w:tcPr>
          <w:p>
            <w:pPr>
              <w:pStyle w:val="TableContents"/>
              <w:bidi w:val="0"/>
              <w:spacing w:before="0" w:after="0"/>
              <w:jc w:val="left"/>
              <w:rPr>
                <w:spacing w:val="0"/>
              </w:rPr>
            </w:pPr>
            <w:r>
              <w:rPr>
                <w:spacing w:val="0"/>
              </w:rPr>
              <w:t> </w:t>
            </w:r>
          </w:p>
        </w:tc>
        <w:tc>
          <w:tcPr>
            <w:tcW w:w="251" w:type="dxa"/>
            <w:tcBorders/>
            <w:vAlign w:val="center"/>
          </w:tcPr>
          <w:p>
            <w:pPr>
              <w:pStyle w:val="TableContents"/>
              <w:bidi w:val="0"/>
              <w:spacing w:before="0" w:after="0"/>
              <w:jc w:val="left"/>
              <w:rPr>
                <w:spacing w:val="0"/>
              </w:rPr>
            </w:pPr>
            <w:r>
              <w:rPr>
                <w:spacing w:val="0"/>
              </w:rPr>
              <w:t>  </w:t>
            </w:r>
          </w:p>
        </w:tc>
        <w:tc>
          <w:tcPr>
            <w:tcW w:w="14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recognized at a point in time</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recognized over time</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2,201</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2,104</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2,201</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2,104</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6"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Selected condensed consolidated balance sheet line items that reflect accounts receivable, contract assets and liabilities as of March 31, 2023 and December 31, 2022 were as follows: </w:t>
      </w:r>
    </w:p>
    <w:p>
      <w:pPr>
        <w:pStyle w:val="TextBody"/>
        <w:bidi w:val="0"/>
        <w:spacing w:before="0" w:after="0"/>
        <w:jc w:val="left"/>
        <w:rPr>
          <w:shd w:fill="FFFFFF" w:val="clear"/>
        </w:rPr>
      </w:pPr>
      <w:r>
        <w:rPr>
          <w:shd w:fill="FFFFFF" w:val="clear"/>
        </w:rPr>
        <w:t> </w:t>
      </w:r>
    </w:p>
    <w:tbl>
      <w:tblPr>
        <w:tblW w:w="5845" w:type="dxa"/>
        <w:jc w:val="left"/>
        <w:tblInd w:w="0" w:type="dxa"/>
        <w:tblLayout w:type="fixed"/>
        <w:tblCellMar>
          <w:top w:w="0" w:type="dxa"/>
          <w:left w:w="0" w:type="dxa"/>
          <w:bottom w:w="0" w:type="dxa"/>
          <w:right w:w="0" w:type="dxa"/>
        </w:tblCellMar>
      </w:tblPr>
      <w:tblGrid>
        <w:gridCol w:w="1715"/>
        <w:gridCol w:w="120"/>
        <w:gridCol w:w="322"/>
        <w:gridCol w:w="1288"/>
        <w:gridCol w:w="155"/>
        <w:gridCol w:w="120"/>
        <w:gridCol w:w="391"/>
        <w:gridCol w:w="1564"/>
        <w:gridCol w:w="17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17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4,646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6,143</w:t>
            </w:r>
          </w:p>
        </w:tc>
        <w:tc>
          <w:tcPr>
            <w:tcW w:w="170"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674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(559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(961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Changes in deferred revenue from contracts with customers were as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follows:</w:t>
      </w:r>
    </w:p>
    <w:p>
      <w:pPr>
        <w:pStyle w:val="TextBody"/>
        <w:bidi w:val="0"/>
        <w:spacing w:before="0" w:after="0"/>
        <w:ind w:left="0" w:right="0" w:hanging="0"/>
        <w:jc w:val="left"/>
        <w:rPr>
          <w:spacing w:val="0"/>
          <w:shd w:fill="FFFFFF" w:val="clear"/>
        </w:rPr>
      </w:pPr>
      <w:r>
        <w:rPr>
          <w:spacing w:val="0"/>
          <w:shd w:fill="FFFFFF" w:val="clear"/>
        </w:rPr>
        <w:t> </w:t>
      </w:r>
    </w:p>
    <w:tbl>
      <w:tblPr>
        <w:tblW w:w="6791" w:type="dxa"/>
        <w:jc w:val="left"/>
        <w:tblInd w:w="0" w:type="dxa"/>
        <w:tblLayout w:type="fixed"/>
        <w:tblCellMar>
          <w:top w:w="0" w:type="dxa"/>
          <w:left w:w="0" w:type="dxa"/>
          <w:bottom w:w="0" w:type="dxa"/>
          <w:right w:w="0" w:type="dxa"/>
        </w:tblCellMar>
      </w:tblPr>
      <w:tblGrid>
        <w:gridCol w:w="3185"/>
        <w:gridCol w:w="120"/>
        <w:gridCol w:w="316"/>
        <w:gridCol w:w="1030"/>
        <w:gridCol w:w="350"/>
        <w:gridCol w:w="271"/>
        <w:gridCol w:w="316"/>
        <w:gridCol w:w="1033"/>
        <w:gridCol w:w="17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5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(961</w:t>
            </w:r>
          </w:p>
        </w:tc>
        <w:tc>
          <w:tcPr>
            <w:tcW w:w="35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(985</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Deferral of revenue</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Recognition of deferred revenue</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402</w:t>
            </w:r>
          </w:p>
        </w:tc>
        <w:tc>
          <w:tcPr>
            <w:tcW w:w="35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558</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0"/>
              <w:jc w:val="left"/>
              <w:rPr>
                <w:bdr w:val="single" w:sz="2" w:space="1" w:color="000000"/>
              </w:rPr>
            </w:pPr>
            <w:r>
              <w:rPr>
                <w:bdr w:val="single" w:sz="2" w:space="1" w:color="000000"/>
              </w:rPr>
              <w:t> </w:t>
            </w:r>
          </w:p>
        </w:tc>
        <w:tc>
          <w:tcPr>
            <w:tcW w:w="1030" w:type="dxa"/>
            <w:tcBorders/>
            <w:vAlign w:val="center"/>
          </w:tcPr>
          <w:p>
            <w:pPr>
              <w:pStyle w:val="TableContents"/>
              <w:bidi w:val="0"/>
              <w:spacing w:before="0" w:after="0"/>
              <w:jc w:val="left"/>
              <w:rPr>
                <w:bdr w:val="single" w:sz="2" w:space="1" w:color="000000"/>
              </w:rPr>
            </w:pPr>
            <w:r>
              <w:rPr>
                <w:bdr w:val="single" w:sz="2" w:space="1" w:color="000000"/>
              </w:rPr>
              <w:t> </w:t>
            </w:r>
          </w:p>
        </w:tc>
        <w:tc>
          <w:tcPr>
            <w:tcW w:w="35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0"/>
              <w:jc w:val="left"/>
              <w:rPr>
                <w:bdr w:val="single" w:sz="2" w:space="1" w:color="000000"/>
              </w:rPr>
            </w:pPr>
            <w:r>
              <w:rPr>
                <w:bdr w:val="single" w:sz="2" w:space="1" w:color="000000"/>
              </w:rPr>
              <w:t> </w:t>
            </w:r>
          </w:p>
        </w:tc>
        <w:tc>
          <w:tcPr>
            <w:tcW w:w="10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revenue at end of period</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(559</w:t>
            </w:r>
          </w:p>
        </w:tc>
        <w:tc>
          <w:tcPr>
            <w:tcW w:w="35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1033" w:type="dxa"/>
            <w:tcBorders/>
            <w:vAlign w:val="center"/>
          </w:tcPr>
          <w:p>
            <w:pPr>
              <w:pStyle w:val="TableContents"/>
              <w:bidi w:val="0"/>
              <w:spacing w:before="0" w:after="283"/>
              <w:jc w:val="right"/>
              <w:rPr/>
            </w:pPr>
            <w:r>
              <w:rPr/>
              <w:t>(519</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0"/>
              <w:jc w:val="left"/>
              <w:rPr>
                <w:bdr w:val="double" w:sz="6" w:space="1" w:color="000000"/>
              </w:rPr>
            </w:pPr>
            <w:r>
              <w:rPr>
                <w:bdr w:val="double" w:sz="6" w:space="1" w:color="000000"/>
              </w:rPr>
              <w:t> </w:t>
            </w:r>
          </w:p>
        </w:tc>
        <w:tc>
          <w:tcPr>
            <w:tcW w:w="1030" w:type="dxa"/>
            <w:tcBorders/>
            <w:vAlign w:val="center"/>
          </w:tcPr>
          <w:p>
            <w:pPr>
              <w:pStyle w:val="TableContents"/>
              <w:bidi w:val="0"/>
              <w:spacing w:before="0" w:after="0"/>
              <w:jc w:val="left"/>
              <w:rPr>
                <w:bdr w:val="double" w:sz="6" w:space="1" w:color="000000"/>
              </w:rPr>
            </w:pPr>
            <w:r>
              <w:rPr>
                <w:bdr w:val="double" w:sz="6" w:space="1" w:color="000000"/>
              </w:rPr>
              <w:t> </w:t>
            </w:r>
          </w:p>
        </w:tc>
        <w:tc>
          <w:tcPr>
            <w:tcW w:w="35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0"/>
              <w:jc w:val="left"/>
              <w:rPr>
                <w:bdr w:val="double" w:sz="6" w:space="1" w:color="000000"/>
              </w:rPr>
            </w:pPr>
            <w:r>
              <w:rPr>
                <w:bdr w:val="double" w:sz="6" w:space="1" w:color="000000"/>
              </w:rPr>
              <w:t> </w:t>
            </w:r>
          </w:p>
        </w:tc>
        <w:tc>
          <w:tcPr>
            <w:tcW w:w="103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Deferred revenue recognized in the three months ended March 31, 2023 and the three months ended March 31, 2022 was included in the balance at the beginning of the period. Remaining performance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obligations represent the portion of the transaction price that has not yet been satisfied or achieved. As of March 31, 2023, the aggregate amount of the transaction price allocated to remaining performance obligations was approximately</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$7.5 million. The Company expects to recognize estimated revenues related to performance obligations that are unsatisfied (or partially satisfied) in the amounts of approximately $5.6 million during the remainder of the year ended December 31, 2023, and $1.9 million during the year ended December 31, 2024.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has not identified any costs that are incremental to the acquisition of customer contracts that would be capitalized as deferred costs on the balance sheet in accordance with ASC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340-40.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Incremental costs incurred to fulfill the Company’s contracts that meet the capitalization criteria in ASC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340-40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have historically been immaterial. Accordingly, the Company has not capitalized any contract fulfillment costs as of March 31, 2023 and December 31, 2022.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7. INVESTMENTS: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Money market funds are classified as cash equivalents and investments in fixed income securities are classified as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the consolidated balance sheets.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fixed income securities are recorded at their estimated fair va</w:t>
      </w:r>
    </w:p>
    <w:p>
      <w:pPr>
        <w:pStyle w:val="TextBody"/>
        <w:widowControl/>
        <w:bidi w:val="0"/>
        <w:spacing w:before="12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lue.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amortize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d cost, gross unrealized holding gains and losses included in other comprehensive income and the fair value of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fixed income securities at March 31, 2023 and December 31, 2022 are presented in the tables below.</w:t>
      </w:r>
    </w:p>
    <w:p>
      <w:pPr>
        <w:pStyle w:val="TextBody"/>
        <w:bidi w:val="0"/>
        <w:spacing w:before="0" w:after="0"/>
        <w:ind w:left="0" w:right="0" w:hanging="0"/>
        <w:jc w:val="left"/>
        <w:rPr>
          <w:spacing w:val="0"/>
          <w:shd w:fill="FFFFFF" w:val="clear"/>
        </w:rPr>
      </w:pPr>
      <w:r>
        <w:rPr>
          <w:spacing w:val="0"/>
          <w:shd w:fill="FFFFFF" w:val="clear"/>
        </w:rPr>
        <w:t> </w:t>
      </w:r>
    </w:p>
    <w:tbl>
      <w:tblPr>
        <w:tblW w:w="7565" w:type="dxa"/>
        <w:jc w:val="left"/>
        <w:tblInd w:w="0" w:type="dxa"/>
        <w:tblLayout w:type="fixed"/>
        <w:tblCellMar>
          <w:top w:w="0" w:type="dxa"/>
          <w:left w:w="0" w:type="dxa"/>
          <w:bottom w:w="0" w:type="dxa"/>
          <w:right w:w="0" w:type="dxa"/>
        </w:tblCellMar>
      </w:tblPr>
      <w:tblGrid>
        <w:gridCol w:w="2555"/>
        <w:gridCol w:w="120"/>
        <w:gridCol w:w="187"/>
        <w:gridCol w:w="913"/>
        <w:gridCol w:w="60"/>
        <w:gridCol w:w="120"/>
        <w:gridCol w:w="304"/>
        <w:gridCol w:w="826"/>
        <w:gridCol w:w="60"/>
        <w:gridCol w:w="120"/>
        <w:gridCol w:w="265"/>
        <w:gridCol w:w="865"/>
        <w:gridCol w:w="155"/>
        <w:gridCol w:w="120"/>
        <w:gridCol w:w="140"/>
        <w:gridCol w:w="680"/>
        <w:gridCol w:w="75"/>
      </w:tblGrid>
      <w:tr>
        <w:trPr/>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br/>
              <w:t>Gains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br/>
              <w:t>Losses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br/>
              <w:t>Value</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Cash equivalents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21,785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8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21,785</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Available-for-sale</w:t>
            </w:r>
          </w:p>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investments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35,740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865" w:type="dxa"/>
            <w:tcBorders/>
            <w:vAlign w:val="center"/>
          </w:tcPr>
          <w:p>
            <w:pPr>
              <w:pStyle w:val="TableContents"/>
              <w:bidi w:val="0"/>
              <w:spacing w:before="0" w:after="283"/>
              <w:jc w:val="right"/>
              <w:rPr/>
            </w:pPr>
            <w:r>
              <w:rPr/>
              <w:t>(133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35,609</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agency bonds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36,829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36,884</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23,356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23,356</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 – short-term</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95,925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(136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95,849</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double" w:sz="6" w:space="1" w:color="000000"/>
              </w:rPr>
            </w:pPr>
            <w:r>
              <w:rPr>
                <w:bdr w:val="double" w:sz="6" w:space="1" w:color="000000"/>
              </w:rPr>
              <w:t> </w:t>
            </w:r>
          </w:p>
        </w:tc>
        <w:tc>
          <w:tcPr>
            <w:tcW w:w="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tbl>
      <w:tblPr>
        <w:tblW w:w="7040" w:type="dxa"/>
        <w:jc w:val="left"/>
        <w:tblInd w:w="0" w:type="dxa"/>
        <w:tblLayout w:type="fixed"/>
        <w:tblCellMar>
          <w:top w:w="0" w:type="dxa"/>
          <w:left w:w="0" w:type="dxa"/>
          <w:bottom w:w="0" w:type="dxa"/>
          <w:right w:w="0" w:type="dxa"/>
        </w:tblCellMar>
      </w:tblPr>
      <w:tblGrid>
        <w:gridCol w:w="2030"/>
        <w:gridCol w:w="120"/>
        <w:gridCol w:w="187"/>
        <w:gridCol w:w="913"/>
        <w:gridCol w:w="60"/>
        <w:gridCol w:w="120"/>
        <w:gridCol w:w="304"/>
        <w:gridCol w:w="826"/>
        <w:gridCol w:w="60"/>
        <w:gridCol w:w="120"/>
        <w:gridCol w:w="265"/>
        <w:gridCol w:w="865"/>
        <w:gridCol w:w="155"/>
        <w:gridCol w:w="120"/>
        <w:gridCol w:w="140"/>
        <w:gridCol w:w="680"/>
        <w:gridCol w:w="75"/>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1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0"/>
              <w:jc w:val="left"/>
              <w:rPr>
                <w:spacing w:val="0"/>
              </w:rPr>
            </w:pPr>
            <w:r>
              <w:rPr>
                <w:spacing w:val="0"/>
              </w:rPr>
              <w:t> </w:t>
            </w:r>
          </w:p>
        </w:tc>
      </w:tr>
      <w:tr>
        <w:trPr/>
        <w:tc>
          <w:tcPr>
            <w:tcW w:w="20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br/>
              <w:t>Losses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br/>
              <w:t>Value</w:t>
            </w:r>
          </w:p>
        </w:tc>
        <w:tc>
          <w:tcPr>
            <w:tcW w:w="75" w:type="dxa"/>
            <w:tcBorders/>
            <w:vAlign w:val="center"/>
          </w:tcPr>
          <w:p>
            <w:pPr>
              <w:pStyle w:val="TableContents"/>
              <w:bidi w:val="0"/>
              <w:spacing w:before="0" w:after="0"/>
              <w:jc w:val="left"/>
              <w:rPr>
                <w:spacing w:val="0"/>
              </w:rPr>
            </w:pPr>
            <w:r>
              <w:rPr>
                <w:spacing w:val="0"/>
              </w:rPr>
              <w:t> </w:t>
            </w:r>
          </w:p>
        </w:tc>
      </w:tr>
      <w:tr>
        <w:trPr/>
        <w:tc>
          <w:tcPr>
            <w:tcW w:w="2030"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Cash equivalents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36,346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8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36,346</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Available-for-sale</w:t>
            </w:r>
          </w:p>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investments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58,514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865" w:type="dxa"/>
            <w:tcBorders/>
            <w:vAlign w:val="center"/>
          </w:tcPr>
          <w:p>
            <w:pPr>
              <w:pStyle w:val="TableContents"/>
              <w:bidi w:val="0"/>
              <w:spacing w:before="0" w:after="283"/>
              <w:jc w:val="right"/>
              <w:rPr/>
            </w:pPr>
            <w:r>
              <w:rPr/>
              <w:t>(304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58,210</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3,581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3,571</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23,142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23,142</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single" w:sz="2" w:space="1" w:color="000000"/>
              </w:rPr>
            </w:pPr>
            <w:r>
              <w:rPr>
                <w:bdr w:val="single" w:sz="2" w:space="1" w:color="000000"/>
              </w:rPr>
              <w:t> </w:t>
            </w:r>
          </w:p>
        </w:tc>
        <w:tc>
          <w:tcPr>
            <w:tcW w:w="82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 – short-term</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85,237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(314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84,923</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bdr w:val="double" w:sz="6" w:space="1" w:color="000000"/>
              </w:rPr>
            </w:pPr>
            <w:r>
              <w:rPr>
                <w:bdr w:val="double" w:sz="6" w:space="1" w:color="000000"/>
              </w:rPr>
              <w:t> </w:t>
            </w:r>
          </w:p>
        </w:tc>
        <w:tc>
          <w:tcPr>
            <w:tcW w:w="82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double" w:sz="6" w:space="1" w:color="000000"/>
              </w:rPr>
            </w:pPr>
            <w:r>
              <w:rPr>
                <w:bdr w:val="double" w:sz="6" w:space="1" w:color="000000"/>
              </w:rPr>
              <w:t> </w:t>
            </w:r>
          </w:p>
        </w:tc>
        <w:tc>
          <w:tcPr>
            <w:tcW w:w="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invests in highly rated investment grade debt securities. All of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March 31, 2023 or December 31, 2022. The Company additionally evaluates whether the decline in fair value of the securities below their amortized cost basis is related to credit losses or other factors. Based on this evaluation, the Company determined that the unrealized losses for its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securities were primarily attributable to changes in interest rates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non-credit-related</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factors. Accordingly, the Company determined that none of the unrealized losses were other-than-temporary, and that recognition of an impairment charge was not required as of March 31, 2023 or December 31, 2022. As of March 31, 2023, there were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8</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securities that were 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unrealized loss position with a market value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33.8</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million, with the largest loss for any single security being less than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0.1</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 xml:space="preserve">million. None of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securities have been in an unrealized loss position for more than one year. No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securities were sold in the three months ended March 31, 2023 or the three months ended March 31, 2022.</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See Note 8 for additional information regarding the fair value of the Company’s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securities.</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8. FAIR VALUE MEASUREMENTS: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Level 1—Inputs are quoted prices (unadjusted) in active markets for identical assets or liabilities that the Company has the ability to access at the measurement date.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Level 3—Inputs are unobservable inputs for the asset or liability.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measurements of financial assets and liabilities that are measured at fair value at March 31, 2023 and December 31, 2022 are as follows: </w:t>
      </w:r>
    </w:p>
    <w:p>
      <w:pPr>
        <w:pStyle w:val="TextBody"/>
        <w:bidi w:val="0"/>
        <w:spacing w:lineRule="atLeast" w:line="142" w:before="0" w:after="0"/>
        <w:jc w:val="left"/>
        <w:rPr>
          <w:spacing w:val="0"/>
          <w:shd w:fill="FFFFFF" w:val="clear"/>
        </w:rPr>
      </w:pPr>
      <w:r>
        <w:rPr>
          <w:spacing w:val="0"/>
          <w:shd w:fill="FFFFFF" w:val="clear"/>
        </w:rPr>
        <w:t> </w:t>
      </w:r>
    </w:p>
    <w:tbl>
      <w:tblPr>
        <w:tblW w:w="8375" w:type="dxa"/>
        <w:jc w:val="left"/>
        <w:tblInd w:w="0" w:type="dxa"/>
        <w:tblLayout w:type="fixed"/>
        <w:tblCellMar>
          <w:top w:w="0" w:type="dxa"/>
          <w:left w:w="0" w:type="dxa"/>
          <w:bottom w:w="0" w:type="dxa"/>
          <w:right w:w="0" w:type="dxa"/>
        </w:tblCellMar>
      </w:tblPr>
      <w:tblGrid>
        <w:gridCol w:w="3770"/>
        <w:gridCol w:w="120"/>
        <w:gridCol w:w="246"/>
        <w:gridCol w:w="1199"/>
        <w:gridCol w:w="60"/>
        <w:gridCol w:w="120"/>
        <w:gridCol w:w="200"/>
        <w:gridCol w:w="975"/>
        <w:gridCol w:w="60"/>
        <w:gridCol w:w="120"/>
        <w:gridCol w:w="286"/>
        <w:gridCol w:w="1144"/>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w:t>
              <w:br/>
              <w:t>in Active</w:t>
              <w:br/>
              <w:t>Markets for</w:t>
              <w:br/>
              <w:t>Identical</w:t>
              <w:br/>
              <w:t>Assets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21,785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35,609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government agency bonds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36,884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23,356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Forward warrant agreement</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1,129</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57,394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60,240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1,129</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warrant liability – Public Warrants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949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warrant liability – Private Warrants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1,691</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Earn-out</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1,487</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949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3,178</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tbl>
      <w:tblPr>
        <w:tblW w:w="8375" w:type="dxa"/>
        <w:jc w:val="left"/>
        <w:tblInd w:w="0" w:type="dxa"/>
        <w:tblLayout w:type="fixed"/>
        <w:tblCellMar>
          <w:top w:w="0" w:type="dxa"/>
          <w:left w:w="0" w:type="dxa"/>
          <w:bottom w:w="0" w:type="dxa"/>
          <w:right w:w="0" w:type="dxa"/>
        </w:tblCellMar>
      </w:tblPr>
      <w:tblGrid>
        <w:gridCol w:w="3770"/>
        <w:gridCol w:w="120"/>
        <w:gridCol w:w="246"/>
        <w:gridCol w:w="1199"/>
        <w:gridCol w:w="60"/>
        <w:gridCol w:w="120"/>
        <w:gridCol w:w="200"/>
        <w:gridCol w:w="975"/>
        <w:gridCol w:w="60"/>
        <w:gridCol w:w="120"/>
        <w:gridCol w:w="286"/>
        <w:gridCol w:w="1144"/>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w:t>
              <w:br/>
              <w:t>in Active</w:t>
              <w:br/>
              <w:t>Markets for</w:t>
              <w:br/>
              <w:t>Identical</w:t>
              <w:br/>
              <w:t>Assets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36,346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58,210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23,142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Forward Warrant Agreement</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2,229</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94,556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26,713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2,229</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warrant liability – Public Warrants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warrant liability – Private Warrants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1,068</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Earn-out</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699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2,274</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of March 31, 2023 and December 31, 2022, the Company has recorded the following financial instruments subject to fair value measurements: 1) Derivative warrant liabilities—Public Warrants liability and Private Warrants, 2) Forward Warrant Agreement, and 3)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liability. The Company also has long-term debt and a line of credit that provides for variable interest, and therefore, the carrying value approximates the fair value. The carrying values as of March 31, 2023 and December 31, 2022 represent the original principal amounts borrowed less principal payments and debt issuance costs.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fair value of the Public Warrants has been measured based on the observable listed prices for such warrants, a Level 1 measurement. The Company’s money market funds and U.S. Treasury securities are classified within Level 1 due to the highly liquid nature of these assets with quoted prices in active markets. The investments in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securities (i.e., U.S government agency bonds, corporate bonds and commercial paper and corporate debt securities) and long-term debt and a line of credit issued by the Company are classified within Level 2. The fair value of the Company’s Level 2 financial assets and liabilities is determined by using inputs based on quoted market prices for similar instruments. All other financial instruments are classified as Level 3 liabilities as they all include unobservable inputs.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Private Warrants were initially measured at fair value using a Black Scholes model. The Company estimated the fair value of the Forward Warrant Agreement using a forward analysis with unobservable inputs which included selected risk-free rate and probability outcomes. The Company has further discussed the key aspects of the fair value measurements described above in Notes 12 and 13 to the condensed consolidated financial statements.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fair value of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Earn-out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liability is estimated using a Monte Carlo simulation model. The Company has further discussed the key aspects of the valuation inputs in Note 4 to the financial statements.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of December 31, 2021, the Company recorded a derivative warrant liability for the Trinity Warrants (as defined below) at fair value using a Black-Scholes option model with unobservable inputs including volatility. The Company estimates the volatility of its ordinary share warrants based on implied volatility from the Company’s publicly traded warrants and from historical volatility of select peer company’s ordinary shares that matches the expected remaining life of the warrants. On June 2, 2022, all outstanding Trinity Warrants were exercised into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the three months ended March 31, 2023, the Company reduced the estimated probability of occurrence for the forward warrant agreement from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50% to 25% due to less than favorable market conditions and reduced time until expiration (see Note 13). There were no other changes in fair value measurement techniques in the three months ended March 31, 2023, or the year ended December 31, 2022, (other than the change in valuation assumptions described in Note 1). There were no transfers between Level 1 or Level 2, or transfers in or out of Level 3, of the fair value hierarchy in the three months ended March 31, 2023 or the year ended December 31, 2022. The fair value estimates are based on pertinent information available to management as of March 31, 2023 and December 31, 2022. Although management is not aware of any factors, other than those noted above, that would significantly affect the estimated fair value amounts, such amounts have not been comprehensively revalued for the purpose of these financial statements. Current estimates of fair value may differ from the amounts presented.</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 summary of the changes in the fair value of the Company’s Level 3 financial instruments in the three months ended March 31, 2023 and March 31, 2022 are as follows: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4445"/>
        <w:gridCol w:w="120"/>
        <w:gridCol w:w="197"/>
        <w:gridCol w:w="873"/>
        <w:gridCol w:w="60"/>
        <w:gridCol w:w="120"/>
        <w:gridCol w:w="285"/>
        <w:gridCol w:w="1385"/>
        <w:gridCol w:w="60"/>
        <w:gridCol w:w="120"/>
        <w:gridCol w:w="206"/>
        <w:gridCol w:w="939"/>
        <w:gridCol w:w="155"/>
        <w:gridCol w:w="120"/>
        <w:gridCol w:w="162"/>
        <w:gridCol w:w="788"/>
        <w:gridCol w:w="170"/>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070" w:type="dxa"/>
            <w:gridSpan w:val="2"/>
            <w:tcBorders/>
            <w:vAlign w:val="center"/>
          </w:tcPr>
          <w:p>
            <w:pPr>
              <w:pStyle w:val="TableContents"/>
              <w:bidi w:val="0"/>
              <w:spacing w:before="0" w:after="0"/>
              <w:jc w:val="center"/>
              <w:rPr>
                <w:b/>
                <w:spacing w:val="0"/>
              </w:rPr>
            </w:pPr>
            <w:r>
              <w:rPr>
                <w:b/>
                <w:spacing w:val="0"/>
              </w:rPr>
              <w:t>Derivative</w:t>
              <w:br/>
              <w:t>warrant</w:t>
              <w:br/>
              <w:t>liability –</w:t>
              <w:br/>
              <w:t>Trinity</w:t>
              <w:br/>
              <w:t>Warrants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70" w:type="dxa"/>
            <w:gridSpan w:val="2"/>
            <w:tcBorders/>
            <w:vAlign w:val="center"/>
          </w:tcPr>
          <w:p>
            <w:pPr>
              <w:pStyle w:val="TableContents"/>
              <w:bidi w:val="0"/>
              <w:spacing w:before="0" w:after="0"/>
              <w:jc w:val="center"/>
              <w:rPr>
                <w:b/>
                <w:spacing w:val="0"/>
              </w:rPr>
            </w:pPr>
            <w:r>
              <w:rPr>
                <w:b/>
                <w:spacing w:val="0"/>
              </w:rPr>
              <w:t>Derivative</w:t>
              <w:br/>
              <w:t>warrant liability</w:t>
              <w:br/>
              <w:t>– Private</w:t>
              <w:br/>
              <w:t>Warrants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45" w:type="dxa"/>
            <w:gridSpan w:val="2"/>
            <w:tcBorders/>
            <w:vAlign w:val="center"/>
          </w:tcPr>
          <w:p>
            <w:pPr>
              <w:pStyle w:val="TableContents"/>
              <w:bidi w:val="0"/>
              <w:spacing w:before="0" w:after="0"/>
              <w:jc w:val="center"/>
              <w:rPr>
                <w:b/>
                <w:spacing w:val="0"/>
              </w:rPr>
            </w:pPr>
            <w:r>
              <w:rPr>
                <w:b/>
                <w:spacing w:val="0"/>
              </w:rPr>
              <w:t>Forward</w:t>
              <w:br/>
              <w:t>Warrant</w:t>
              <w:br/>
              <w:t>Agreement</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50" w:type="dxa"/>
            <w:gridSpan w:val="2"/>
            <w:tcBorders/>
            <w:vAlign w:val="center"/>
          </w:tcPr>
          <w:p>
            <w:pPr>
              <w:pStyle w:val="TableContents"/>
              <w:bidi w:val="0"/>
              <w:spacing w:before="0" w:after="0"/>
              <w:jc w:val="center"/>
              <w:rPr>
                <w:b/>
                <w:spacing w:val="0"/>
              </w:rPr>
            </w:pPr>
            <w:r>
              <w:rPr>
                <w:b/>
                <w:spacing w:val="0"/>
              </w:rPr>
              <w:t>Earn-out</w:t>
            </w:r>
          </w:p>
          <w:p>
            <w:pPr>
              <w:pStyle w:val="TableContents"/>
              <w:bidi w:val="0"/>
              <w:spacing w:before="0" w:after="0"/>
              <w:jc w:val="center"/>
              <w:rPr>
                <w:b/>
                <w:spacing w:val="0"/>
              </w:rPr>
            </w:pPr>
            <w:r>
              <w:rPr>
                <w:b/>
                <w:spacing w:val="0"/>
              </w:rPr>
              <w:br/>
              <w:t>Liability</w:t>
            </w:r>
          </w:p>
        </w:tc>
        <w:tc>
          <w:tcPr>
            <w:tcW w:w="170" w:type="dxa"/>
            <w:tcBorders/>
            <w:vAlign w:val="center"/>
          </w:tcPr>
          <w:p>
            <w:pPr>
              <w:pStyle w:val="TableContents"/>
              <w:bidi w:val="0"/>
              <w:spacing w:before="0" w:after="0"/>
              <w:jc w:val="left"/>
              <w:rPr>
                <w:spacing w:val="0"/>
              </w:rPr>
            </w:pPr>
            <w:r>
              <w:rPr>
                <w:spacing w:val="0"/>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 December 31, 2022</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1,068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1,206</w:t>
            </w:r>
          </w:p>
        </w:tc>
        <w:tc>
          <w:tcPr>
            <w:tcW w:w="17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1,100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281</w:t>
            </w:r>
          </w:p>
        </w:tc>
        <w:tc>
          <w:tcPr>
            <w:tcW w:w="17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7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bdr w:val="single" w:sz="2" w:space="1" w:color="000000"/>
              </w:rPr>
            </w:pPr>
            <w:r>
              <w:rPr>
                <w:bdr w:val="single" w:sz="2" w:space="1" w:color="000000"/>
              </w:rPr>
              <w:t> </w:t>
            </w:r>
          </w:p>
        </w:tc>
        <w:tc>
          <w:tcPr>
            <w:tcW w:w="138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93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 March 31, 2023</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1,691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(1,129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1,487</w:t>
            </w:r>
          </w:p>
        </w:tc>
        <w:tc>
          <w:tcPr>
            <w:tcW w:w="17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87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bdr w:val="double" w:sz="6" w:space="1" w:color="000000"/>
              </w:rPr>
            </w:pPr>
            <w:r>
              <w:rPr>
                <w:bdr w:val="double" w:sz="6" w:space="1" w:color="000000"/>
              </w:rPr>
              <w:t> </w:t>
            </w:r>
          </w:p>
        </w:tc>
        <w:tc>
          <w:tcPr>
            <w:tcW w:w="138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93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double" w:sz="6" w:space="1" w:color="000000"/>
              </w:rPr>
            </w:pPr>
            <w:r>
              <w:rPr>
                <w:bdr w:val="double" w:sz="6" w:space="1" w:color="000000"/>
              </w:rPr>
              <w:t> </w:t>
            </w:r>
          </w:p>
        </w:tc>
        <w:tc>
          <w:tcPr>
            <w:tcW w:w="78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 December 31, 2021</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873" w:type="dxa"/>
            <w:tcBorders/>
            <w:vAlign w:val="center"/>
          </w:tcPr>
          <w:p>
            <w:pPr>
              <w:pStyle w:val="TableContents"/>
              <w:bidi w:val="0"/>
              <w:spacing w:before="0" w:after="283"/>
              <w:jc w:val="right"/>
              <w:rPr/>
            </w:pPr>
            <w:r>
              <w:rPr/>
              <w:t> </w:t>
            </w:r>
            <w:r>
              <w:rPr/>
              <w:t>4,355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39" w:type="dxa"/>
            <w:tcBorders/>
            <w:vAlign w:val="center"/>
          </w:tcPr>
          <w:p>
            <w:pPr>
              <w:pStyle w:val="TableContents"/>
              <w:bidi w:val="0"/>
              <w:spacing w:before="0" w:after="283"/>
              <w:jc w:val="right"/>
              <w:rPr/>
            </w:pPr>
            <w:r>
              <w:rPr/>
              <w:t>230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7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Initial measurement upon Business Combination March 2, 2022 </w:t>
              <w:br/>
              <w:t>(Note 3)</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9,612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20,413</w:t>
            </w:r>
          </w:p>
        </w:tc>
        <w:tc>
          <w:tcPr>
            <w:tcW w:w="17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801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(2,970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(5,991</w:t>
            </w:r>
          </w:p>
        </w:tc>
        <w:tc>
          <w:tcPr>
            <w:tcW w:w="17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7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bdr w:val="single" w:sz="2" w:space="1" w:color="000000"/>
              </w:rPr>
            </w:pPr>
            <w:r>
              <w:rPr>
                <w:bdr w:val="single" w:sz="2" w:space="1" w:color="000000"/>
              </w:rPr>
              <w:t> </w:t>
            </w:r>
          </w:p>
        </w:tc>
        <w:tc>
          <w:tcPr>
            <w:tcW w:w="138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single" w:sz="2" w:space="1" w:color="000000"/>
              </w:rPr>
            </w:pPr>
            <w:r>
              <w:rPr>
                <w:bdr w:val="single" w:sz="2" w:space="1" w:color="000000"/>
              </w:rPr>
              <w:t> </w:t>
            </w:r>
          </w:p>
        </w:tc>
        <w:tc>
          <w:tcPr>
            <w:tcW w:w="93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 March 31, 2022</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4,872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10,413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(2,740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14,422</w:t>
            </w:r>
          </w:p>
        </w:tc>
        <w:tc>
          <w:tcPr>
            <w:tcW w:w="17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87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bdr w:val="double" w:sz="6" w:space="1" w:color="000000"/>
              </w:rPr>
            </w:pPr>
            <w:r>
              <w:rPr>
                <w:bdr w:val="double" w:sz="6" w:space="1" w:color="000000"/>
              </w:rPr>
              <w:t> </w:t>
            </w:r>
          </w:p>
        </w:tc>
        <w:tc>
          <w:tcPr>
            <w:tcW w:w="138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jc w:val="left"/>
              <w:rPr>
                <w:bdr w:val="double" w:sz="6" w:space="1" w:color="000000"/>
              </w:rPr>
            </w:pPr>
            <w:r>
              <w:rPr>
                <w:bdr w:val="double" w:sz="6" w:space="1" w:color="000000"/>
              </w:rPr>
              <w:t> </w:t>
            </w:r>
          </w:p>
        </w:tc>
        <w:tc>
          <w:tcPr>
            <w:tcW w:w="93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double" w:sz="6" w:space="1" w:color="000000"/>
              </w:rPr>
            </w:pPr>
            <w:r>
              <w:rPr>
                <w:bdr w:val="double" w:sz="6" w:space="1" w:color="000000"/>
              </w:rPr>
              <w:t> </w:t>
            </w:r>
          </w:p>
        </w:tc>
        <w:tc>
          <w:tcPr>
            <w:tcW w:w="78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9. SHARE-BASED COMPENSATION: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2013 Equity Incentive Plan</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2013, the Company adopted the 2013 Equity Incentive Plan (the “2013 Plan”) which provides for the grant of qualified incentive stock options (“ISO”) and nonqualified stock options (“NSO”), restricted stock, restricted stock units (“RSU”) or other awards to the Company’s employees, officers, directors, advisors, and outside consultants. After the Closing Date and consummation of the Business Combination effective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2022 Equity Incentive Plan</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restricted stock unit awards (RSUs), performance awards and other forms of awards to employees, directors, and consultants, including employees and consultants of Company’s affiliates. The aggregate number of shares of Common Stock initially reserved for issuance under the 2022 Plan was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20,184,797 shares. As of March 31, 2023, 9,899,540 shares were available for future issuance under the 2022 Plan. The number of shares reserved for issuance under the 2022 Plan will automatically increase on January 1st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1st of a given year to provide that the increase for such year will be a lesser number of shares of Common Stock.</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Stock Option Activity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is a summary of stock option activity in the three months ended March 31, 2023: </w:t>
      </w:r>
    </w:p>
    <w:p>
      <w:pPr>
        <w:pStyle w:val="TextBody"/>
        <w:bidi w:val="0"/>
        <w:spacing w:before="0" w:after="0"/>
        <w:jc w:val="left"/>
        <w:rPr>
          <w:spacing w:val="0"/>
          <w:shd w:fill="FFFFFF" w:val="clear"/>
        </w:rPr>
      </w:pPr>
      <w:r>
        <w:rPr>
          <w:spacing w:val="0"/>
          <w:shd w:fill="FFFFFF" w:val="clear"/>
        </w:rPr>
        <w:t> </w:t>
      </w:r>
    </w:p>
    <w:tbl>
      <w:tblPr>
        <w:tblW w:w="8135" w:type="dxa"/>
        <w:jc w:val="left"/>
        <w:tblInd w:w="0" w:type="dxa"/>
        <w:tblLayout w:type="fixed"/>
        <w:tblCellMar>
          <w:top w:w="0" w:type="dxa"/>
          <w:left w:w="0" w:type="dxa"/>
          <w:bottom w:w="0" w:type="dxa"/>
          <w:right w:w="0" w:type="dxa"/>
        </w:tblCellMar>
      </w:tblPr>
      <w:tblGrid>
        <w:gridCol w:w="2705"/>
        <w:gridCol w:w="120"/>
        <w:gridCol w:w="114"/>
        <w:gridCol w:w="2021"/>
        <w:gridCol w:w="155"/>
        <w:gridCol w:w="120"/>
        <w:gridCol w:w="681"/>
        <w:gridCol w:w="2144"/>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Options Outstanding</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 Average Exercise</w:t>
              <w:br/>
              <w:t>Price Per Share</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21" w:type="dxa"/>
            <w:tcBorders/>
            <w:shd w:fill="CCEEFF" w:val="clear"/>
            <w:vAlign w:val="center"/>
          </w:tcPr>
          <w:p>
            <w:pPr>
              <w:pStyle w:val="TableContents"/>
              <w:bidi w:val="0"/>
              <w:spacing w:before="0" w:after="283"/>
              <w:jc w:val="right"/>
              <w:rPr/>
            </w:pPr>
            <w:r>
              <w:rPr/>
              <w:t>8,845,903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w:t>
            </w:r>
          </w:p>
        </w:tc>
        <w:tc>
          <w:tcPr>
            <w:tcW w:w="2144" w:type="dxa"/>
            <w:tcBorders/>
            <w:shd w:fill="CCEEFF" w:val="clear"/>
            <w:vAlign w:val="center"/>
          </w:tcPr>
          <w:p>
            <w:pPr>
              <w:pStyle w:val="TableContents"/>
              <w:bidi w:val="0"/>
              <w:spacing w:before="0" w:after="283"/>
              <w:jc w:val="right"/>
              <w:rPr/>
            </w:pPr>
            <w:r>
              <w:rPr/>
              <w:t>0.38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21" w:type="dxa"/>
            <w:tcBorders/>
            <w:vAlign w:val="center"/>
          </w:tcPr>
          <w:p>
            <w:pPr>
              <w:pStyle w:val="TableContents"/>
              <w:bidi w:val="0"/>
              <w:spacing w:before="0" w:after="283"/>
              <w:jc w:val="right"/>
              <w:rPr/>
            </w:pPr>
            <w:r>
              <w:rPr/>
              <w:t>500,000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right"/>
              <w:rPr/>
            </w:pPr>
            <w:r>
              <w:rPr/>
              <w:t>0.60</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21" w:type="dxa"/>
            <w:tcBorders/>
            <w:shd w:fill="CCEEFF" w:val="clear"/>
            <w:vAlign w:val="center"/>
          </w:tcPr>
          <w:p>
            <w:pPr>
              <w:pStyle w:val="TableContents"/>
              <w:bidi w:val="0"/>
              <w:spacing w:before="0" w:after="283"/>
              <w:jc w:val="right"/>
              <w:rPr/>
            </w:pPr>
            <w:r>
              <w:rPr/>
              <w:t>(2,860,010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2144" w:type="dxa"/>
            <w:tcBorders/>
            <w:shd w:fill="CCEEFF" w:val="clear"/>
            <w:vAlign w:val="center"/>
          </w:tcPr>
          <w:p>
            <w:pPr>
              <w:pStyle w:val="TableContents"/>
              <w:bidi w:val="0"/>
              <w:spacing w:before="0" w:after="283"/>
              <w:jc w:val="right"/>
              <w:rPr/>
            </w:pPr>
            <w:r>
              <w:rPr/>
              <w:t>0.27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21" w:type="dxa"/>
            <w:tcBorders/>
            <w:vAlign w:val="center"/>
          </w:tcPr>
          <w:p>
            <w:pPr>
              <w:pStyle w:val="TableContents"/>
              <w:bidi w:val="0"/>
              <w:spacing w:before="0" w:after="283"/>
              <w:jc w:val="right"/>
              <w:rPr/>
            </w:pPr>
            <w:r>
              <w:rPr/>
              <w:t>(365,809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right"/>
              <w:rPr/>
            </w:pPr>
            <w:r>
              <w:rPr/>
              <w:t>0.27</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21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bdr w:val="single" w:sz="2" w:space="1" w:color="000000"/>
              </w:rPr>
            </w:pPr>
            <w:r>
              <w:rPr>
                <w:bdr w:val="single" w:sz="2" w:space="1" w:color="000000"/>
              </w:rPr>
              <w:t> </w:t>
            </w:r>
          </w:p>
        </w:tc>
        <w:tc>
          <w:tcPr>
            <w:tcW w:w="20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0"/>
              <w:jc w:val="left"/>
              <w:rPr>
                <w:bdr w:val="single" w:sz="2" w:space="1" w:color="000000"/>
              </w:rPr>
            </w:pPr>
            <w:r>
              <w:rPr>
                <w:bdr w:val="single" w:sz="2" w:space="1" w:color="000000"/>
              </w:rPr>
              <w:t> </w:t>
            </w:r>
          </w:p>
        </w:tc>
        <w:tc>
          <w:tcPr>
            <w:tcW w:w="214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March 31, 2023</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21" w:type="dxa"/>
            <w:tcBorders/>
            <w:vAlign w:val="center"/>
          </w:tcPr>
          <w:p>
            <w:pPr>
              <w:pStyle w:val="TableContents"/>
              <w:bidi w:val="0"/>
              <w:spacing w:before="0" w:after="283"/>
              <w:jc w:val="right"/>
              <w:rPr/>
            </w:pPr>
            <w:r>
              <w:rPr/>
              <w:t>6,120,084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w:t>
            </w:r>
          </w:p>
        </w:tc>
        <w:tc>
          <w:tcPr>
            <w:tcW w:w="2144" w:type="dxa"/>
            <w:tcBorders/>
            <w:vAlign w:val="center"/>
          </w:tcPr>
          <w:p>
            <w:pPr>
              <w:pStyle w:val="TableContents"/>
              <w:bidi w:val="0"/>
              <w:spacing w:before="0" w:after="283"/>
              <w:jc w:val="right"/>
              <w:rPr/>
            </w:pPr>
            <w:r>
              <w:rPr/>
              <w:t>0.58</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bdr w:val="double" w:sz="6" w:space="1" w:color="000000"/>
              </w:rPr>
            </w:pPr>
            <w:r>
              <w:rPr>
                <w:bdr w:val="double" w:sz="6" w:space="1" w:color="000000"/>
              </w:rPr>
              <w:t> </w:t>
            </w:r>
          </w:p>
        </w:tc>
        <w:tc>
          <w:tcPr>
            <w:tcW w:w="20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0"/>
              <w:jc w:val="left"/>
              <w:rPr>
                <w:bdr w:val="double" w:sz="6" w:space="1" w:color="000000"/>
              </w:rPr>
            </w:pPr>
            <w:r>
              <w:rPr>
                <w:bdr w:val="double" w:sz="6" w:space="1" w:color="000000"/>
              </w:rPr>
              <w:t> </w:t>
            </w:r>
          </w:p>
        </w:tc>
        <w:tc>
          <w:tcPr>
            <w:tcW w:w="21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Exercisable, March 31, 2023</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21" w:type="dxa"/>
            <w:tcBorders/>
            <w:shd w:fill="CCEEFF" w:val="clear"/>
            <w:vAlign w:val="center"/>
          </w:tcPr>
          <w:p>
            <w:pPr>
              <w:pStyle w:val="TableContents"/>
              <w:bidi w:val="0"/>
              <w:spacing w:before="0" w:after="283"/>
              <w:jc w:val="right"/>
              <w:rPr/>
            </w:pPr>
            <w:r>
              <w:rPr/>
              <w:t>2,785,023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w:t>
            </w:r>
          </w:p>
        </w:tc>
        <w:tc>
          <w:tcPr>
            <w:tcW w:w="2144" w:type="dxa"/>
            <w:tcBorders/>
            <w:shd w:fill="CCEEFF" w:val="clear"/>
            <w:vAlign w:val="center"/>
          </w:tcPr>
          <w:p>
            <w:pPr>
              <w:pStyle w:val="TableContents"/>
              <w:bidi w:val="0"/>
              <w:spacing w:before="0" w:after="283"/>
              <w:jc w:val="right"/>
              <w:rPr/>
            </w:pPr>
            <w:r>
              <w:rPr/>
              <w:t>0.27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bdr w:val="double" w:sz="6" w:space="1" w:color="000000"/>
              </w:rPr>
            </w:pPr>
            <w:r>
              <w:rPr>
                <w:bdr w:val="double" w:sz="6" w:space="1" w:color="000000"/>
              </w:rPr>
              <w:t> </w:t>
            </w:r>
          </w:p>
        </w:tc>
        <w:tc>
          <w:tcPr>
            <w:tcW w:w="20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0"/>
              <w:jc w:val="left"/>
              <w:rPr>
                <w:bdr w:val="double" w:sz="6" w:space="1" w:color="000000"/>
              </w:rPr>
            </w:pPr>
            <w:r>
              <w:rPr>
                <w:bdr w:val="double" w:sz="6" w:space="1" w:color="000000"/>
              </w:rPr>
              <w:t> </w:t>
            </w:r>
          </w:p>
        </w:tc>
        <w:tc>
          <w:tcPr>
            <w:tcW w:w="214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weighted-average grant date</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fair value of stock options granted during the three months ended March 31, 2023 was $0.55 per share. No stock options were granted in the three months ended March 31, 2022. The intrinsic value of an option is the amount by which the market price of the underlying common stock exceeds the option’s exercise price. For options outstanding at March 31, 2023, the weighted average remaining contractual term of all outstanding options was 8.05 years and their aggregate intrinsic value was $0.9 million. At March 31, 2023, the weighted average remaining contractual term of options that were exercisable was 7.18 years and their aggregate intrinsic value was $1.3 million. The aggregate intrinsic value of stock options exercised was $1.2 million in the three months ended March 31, 2023 and $4.7 million in the three months ended March 31, 2022. We received proceeds from stock option exercises of $0.8 million in the three months ended March 31, 2023 and $0.6 million in the three months ended March 31, 2022.</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i w:val="false"/>
          <w:caps w:val="false"/>
          <w:smallCaps w:val="false"/>
          <w:spacing w:val="0"/>
          <w:sz w:val="20"/>
          <w:shd w:fill="FFFFFF" w:val="clear"/>
        </w:rPr>
      </w:pPr>
      <w:r>
        <w:rPr>
          <w:rFonts w:ascii="Times New Roman" w:hAnsi="Times New Roman"/>
          <w:b/>
          <w:i w:val="false"/>
          <w:caps w:val="false"/>
          <w:smallCaps w:val="false"/>
          <w:spacing w:val="0"/>
          <w:sz w:val="20"/>
          <w:shd w:fill="FFFFFF" w:val="clear"/>
        </w:rPr>
        <w:t>Fair Value of Stock Option Grants</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expected term of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upon the U.S. Treasury yield curve in effect at the time of grant for the period equivalent to the expected life of the option. In determining the exercise prices for options granted, the Company’s board of directors has considered the fair value of the Common Stock as of the grant date. Before the Company’s common stock was publicly traded,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arm’s-length</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sales of the Company’s capital stock (including redeemable convertible preferred stock), the effect of the rights and preferences of the preferred shareholders, and the prospects of a liquidity event, among others.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No stock options were granted in the three months ended March 31, 2022. All stock options granted in the three months ended March 31, 2023 were time-based grants. Significant inputs to the Black-Scholes option-pricing model used to value stock options grants in the three months ended March 31, 2023 were as follows: </w:t>
      </w:r>
    </w:p>
    <w:p>
      <w:pPr>
        <w:pStyle w:val="TextBody"/>
        <w:bidi w:val="0"/>
        <w:spacing w:before="0" w:after="0"/>
        <w:jc w:val="left"/>
        <w:rPr>
          <w:spacing w:val="0"/>
          <w:shd w:fill="FFFFFF" w:val="clear"/>
        </w:rPr>
      </w:pPr>
      <w:r>
        <w:rPr>
          <w:spacing w:val="0"/>
          <w:shd w:fill="FFFFFF" w:val="clear"/>
        </w:rPr>
        <w:t> </w:t>
      </w:r>
    </w:p>
    <w:tbl>
      <w:tblPr>
        <w:tblW w:w="3555" w:type="dxa"/>
        <w:jc w:val="left"/>
        <w:tblInd w:w="0" w:type="dxa"/>
        <w:tblLayout w:type="fixed"/>
        <w:tblCellMar>
          <w:top w:w="0" w:type="dxa"/>
          <w:left w:w="0" w:type="dxa"/>
          <w:bottom w:w="0" w:type="dxa"/>
          <w:right w:w="0" w:type="dxa"/>
        </w:tblCellMar>
      </w:tblPr>
      <w:tblGrid>
        <w:gridCol w:w="1790"/>
        <w:gridCol w:w="120"/>
        <w:gridCol w:w="271"/>
        <w:gridCol w:w="1084"/>
        <w:gridCol w:w="29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Valuation Assumptions</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Time-based</w:t>
            </w:r>
          </w:p>
          <w:p>
            <w:pPr>
              <w:pStyle w:val="TableContents"/>
              <w:bidi w:val="0"/>
              <w:spacing w:before="0" w:after="0"/>
              <w:jc w:val="center"/>
              <w:rPr>
                <w:b/>
                <w:spacing w:val="0"/>
              </w:rPr>
            </w:pPr>
            <w:r>
              <w:rPr>
                <w:b/>
                <w:spacing w:val="0"/>
              </w:rPr>
              <w:br/>
              <w:t>Stock Option</w:t>
            </w:r>
          </w:p>
          <w:p>
            <w:pPr>
              <w:pStyle w:val="TableContents"/>
              <w:bidi w:val="0"/>
              <w:spacing w:before="0" w:after="0"/>
              <w:jc w:val="center"/>
              <w:rPr/>
            </w:pPr>
            <w:r>
              <w:rPr/>
            </w:r>
          </w:p>
          <w:p>
            <w:pPr>
              <w:pStyle w:val="TableContents"/>
              <w:bidi w:val="0"/>
              <w:spacing w:before="0" w:after="0"/>
              <w:jc w:val="center"/>
              <w:rPr>
                <w:b/>
                <w:spacing w:val="0"/>
              </w:rPr>
            </w:pPr>
            <w:r>
              <w:rPr>
                <w:b/>
                <w:spacing w:val="0"/>
              </w:rPr>
              <w:t>Grants</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0.60</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Strike price</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1084" w:type="dxa"/>
            <w:tcBorders/>
            <w:vAlign w:val="center"/>
          </w:tcPr>
          <w:p>
            <w:pPr>
              <w:pStyle w:val="TableContents"/>
              <w:bidi w:val="0"/>
              <w:spacing w:before="0" w:after="283"/>
              <w:jc w:val="right"/>
              <w:rPr/>
            </w:pPr>
            <w:r>
              <w:rPr/>
              <w:t>0.60</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Annual volatility</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140.5</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right"/>
              <w:rPr/>
            </w:pPr>
            <w:r>
              <w:rPr/>
              <w:t>3.54</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Stock-based compensation expense related to stock options granted to employees was $0.4 million and $0.3 million in the three months ended March 31, 2023 and March 31, 2022, respectively. As of March 31, 2023, the unrecognized compensation expense related to unvested stock options was approximately $2.2 million which is expected to be recognized over a weighted-average period of approximately 2.18 years.</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Restricted Stock Units</w:t>
      </w:r>
    </w:p>
    <w:p>
      <w:pPr>
        <w:pStyle w:val="TextBody"/>
        <w:bidi w:val="0"/>
        <w:spacing w:before="360" w:after="0"/>
        <w:jc w:val="left"/>
        <w:rPr>
          <w:rFonts w:ascii="Times New Roman" w:hAnsi="Times New Roman"/>
          <w:sz w:val="20"/>
        </w:rPr>
      </w:pPr>
      <w:r>
        <w:rPr>
          <w:rFonts w:ascii="Times New Roman" w:hAnsi="Times New Roman"/>
          <w:sz w:val="20"/>
        </w:rPr>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is a summary of activity in RSUs in the three months ended March 31, 2023: </w:t>
      </w:r>
    </w:p>
    <w:p>
      <w:pPr>
        <w:pStyle w:val="TextBody"/>
        <w:bidi w:val="0"/>
        <w:spacing w:before="0" w:after="0"/>
        <w:ind w:left="0" w:right="0" w:hanging="0"/>
        <w:jc w:val="left"/>
        <w:rPr>
          <w:shd w:fill="FFFFFF" w:val="clear"/>
        </w:rPr>
      </w:pPr>
      <w:r>
        <w:rPr>
          <w:shd w:fill="FFFFFF" w:val="clear"/>
        </w:rPr>
        <w:t> </w:t>
      </w:r>
    </w:p>
    <w:tbl>
      <w:tblPr>
        <w:tblW w:w="5345" w:type="dxa"/>
        <w:jc w:val="left"/>
        <w:tblInd w:w="0" w:type="dxa"/>
        <w:tblLayout w:type="fixed"/>
        <w:tblCellMar>
          <w:top w:w="0" w:type="dxa"/>
          <w:left w:w="0" w:type="dxa"/>
          <w:bottom w:w="0" w:type="dxa"/>
          <w:right w:w="0" w:type="dxa"/>
        </w:tblCellMar>
      </w:tblPr>
      <w:tblGrid>
        <w:gridCol w:w="1805"/>
        <w:gridCol w:w="120"/>
        <w:gridCol w:w="60"/>
        <w:gridCol w:w="1100"/>
        <w:gridCol w:w="155"/>
        <w:gridCol w:w="120"/>
        <w:gridCol w:w="461"/>
        <w:gridCol w:w="1449"/>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Restricted stock units</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 Average</w:t>
              <w:br/>
              <w:t>Grant Date</w:t>
            </w:r>
          </w:p>
          <w:p>
            <w:pPr>
              <w:pStyle w:val="TableContents"/>
              <w:bidi w:val="0"/>
              <w:spacing w:before="0" w:after="0"/>
              <w:jc w:val="center"/>
              <w:rPr/>
            </w:pPr>
            <w:r>
              <w:rPr/>
            </w:r>
          </w:p>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11,332,591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4.36</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4,769,545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0.57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(3,486,438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4.64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(933,325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4.16</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single" w:sz="2" w:space="1" w:color="000000"/>
              </w:rPr>
            </w:pPr>
            <w:r>
              <w:rPr>
                <w:bdr w:val="single" w:sz="2" w:space="1" w:color="000000"/>
              </w:rPr>
              <w:t> </w:t>
            </w:r>
          </w:p>
        </w:tc>
        <w:tc>
          <w:tcPr>
            <w:tcW w:w="144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March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11,682,373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2.74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double" w:sz="6" w:space="1" w:color="000000"/>
              </w:rPr>
            </w:pPr>
            <w:r>
              <w:rPr>
                <w:bdr w:val="double" w:sz="6" w:space="1" w:color="000000"/>
              </w:rPr>
              <w:t> </w:t>
            </w:r>
          </w:p>
        </w:tc>
        <w:tc>
          <w:tcPr>
            <w:tcW w:w="144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On March 2, 2022, the performance condition of all outstanding RSUs was met due to the closing of the Business Combination. As a result, the Company recorded a cumulative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catch-up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compensation expense for the vesting period that was satisfied as of March 2, 2022 and continues amortizing compensation expenses for unvested RSUs over their remaining vesting period.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aggregate fair value of outstanding RSUs based on the closing share</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price of our common stock as of March 31, 2023 was $8.5 million. The aggregate fair value of the RSUs that vested, based on the closing price of our common stock on the vesting date, in the three months ended March 31, 2023 was $0.7 million.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Fair Value RSUs Awards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 the three months ended March 31, 2023, the Company issued 919,545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time-based RSUs and</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3,850,000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market-based performance RSUs. The time-based RSUs vest over periods ranging from</w:t>
      </w:r>
    </w:p>
    <w:p>
      <w:pPr>
        <w:pStyle w:val="TextBody"/>
        <w:bidi w:val="0"/>
        <w:spacing w:before="120" w:after="0"/>
        <w:jc w:val="left"/>
        <w:rPr>
          <w:shd w:fill="FFFFFF" w:val="clear"/>
        </w:rPr>
      </w:pPr>
      <w:r>
        <w:rPr>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1-4</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years and require continuous employment. The market-based performance RSUs vest only if certain share price thresholds are achieved and require continuous employment. Based upon the terms of such awards,</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50%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of the shares vest if the Company’s Common Stock trades at or above</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$2.00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per share, and the other</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50%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of the shares vest if the Company’s Common Stock trades at above</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$4.00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per share, for</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20 out of 30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trading days through the fifth anniversary of the grant date. The fair value of the Company’s time-based RSUs was calculated based on the fair market value of the Company’s stock on the date of grant. The fair value of the Company’s market-based performance RSUs was calculated using a Monte Carlo simulation model at the date of grant. The weighted-average grant date fair value for market-based RSUs granted in the three months ended March 31, 2023 was</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$0.56 per RSU.</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Significant inputs into the Monte Carlo simulation model used to value market-based RSUs granted in the three months ended March 31, 2023 were as follows:</w:t>
      </w:r>
    </w:p>
    <w:p>
      <w:pPr>
        <w:pStyle w:val="TextBody"/>
        <w:bidi w:val="0"/>
        <w:spacing w:before="0" w:after="0"/>
        <w:ind w:left="0" w:right="0" w:hanging="0"/>
        <w:jc w:val="left"/>
        <w:rPr>
          <w:spacing w:val="0"/>
          <w:shd w:fill="FFFFFF" w:val="clear"/>
        </w:rPr>
      </w:pPr>
      <w:r>
        <w:rPr>
          <w:spacing w:val="0"/>
          <w:shd w:fill="FFFFFF" w:val="clear"/>
        </w:rPr>
        <w:t> </w:t>
      </w:r>
    </w:p>
    <w:tbl>
      <w:tblPr>
        <w:tblW w:w="4785" w:type="dxa"/>
        <w:jc w:val="left"/>
        <w:tblInd w:w="0" w:type="dxa"/>
        <w:tblLayout w:type="fixed"/>
        <w:tblCellMar>
          <w:top w:w="0" w:type="dxa"/>
          <w:left w:w="0" w:type="dxa"/>
          <w:bottom w:w="0" w:type="dxa"/>
          <w:right w:w="0" w:type="dxa"/>
        </w:tblCellMar>
      </w:tblPr>
      <w:tblGrid>
        <w:gridCol w:w="2930"/>
        <w:gridCol w:w="120"/>
        <w:gridCol w:w="289"/>
        <w:gridCol w:w="1156"/>
        <w:gridCol w:w="29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Valuation Assumptions</w:t>
            </w:r>
          </w:p>
        </w:tc>
        <w:tc>
          <w:tcPr>
            <w:tcW w:w="120" w:type="dxa"/>
            <w:tcBorders/>
            <w:vAlign w:val="center"/>
          </w:tcPr>
          <w:p>
            <w:pPr>
              <w:pStyle w:val="TableContents"/>
              <w:bidi w:val="0"/>
              <w:spacing w:before="0" w:after="0"/>
              <w:jc w:val="left"/>
              <w:rPr>
                <w:spacing w:val="0"/>
              </w:rPr>
            </w:pPr>
            <w:r>
              <w:rPr>
                <w:spacing w:val="0"/>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Market-based</w:t>
            </w:r>
          </w:p>
          <w:p>
            <w:pPr>
              <w:pStyle w:val="TableContents"/>
              <w:bidi w:val="0"/>
              <w:spacing w:before="0" w:after="0"/>
              <w:jc w:val="center"/>
              <w:rPr/>
            </w:pPr>
            <w:r>
              <w:rPr/>
            </w:r>
          </w:p>
          <w:p>
            <w:pPr>
              <w:pStyle w:val="TableContents"/>
              <w:bidi w:val="0"/>
              <w:spacing w:before="0" w:after="0"/>
              <w:jc w:val="center"/>
              <w:rPr>
                <w:b/>
                <w:spacing w:val="0"/>
              </w:rPr>
            </w:pPr>
            <w:r>
              <w:rPr>
                <w:b/>
                <w:spacing w:val="0"/>
              </w:rPr>
              <w:t>Performance</w:t>
              <w:br/>
              <w:t>RSUs</w:t>
            </w:r>
          </w:p>
        </w:tc>
        <w:tc>
          <w:tcPr>
            <w:tcW w:w="290" w:type="dxa"/>
            <w:tcBorders/>
            <w:vAlign w:val="center"/>
          </w:tcPr>
          <w:p>
            <w:pPr>
              <w:pStyle w:val="TableContents"/>
              <w:bidi w:val="0"/>
              <w:spacing w:before="0" w:after="0"/>
              <w:jc w:val="left"/>
              <w:rPr>
                <w:spacing w:val="0"/>
              </w:rPr>
            </w:pPr>
            <w:r>
              <w:rPr>
                <w:spacing w:val="0"/>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0.60</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Simulated trading days</w:t>
            </w:r>
          </w:p>
        </w:tc>
        <w:tc>
          <w:tcPr>
            <w:tcW w:w="12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1,260</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Annual volatility</w:t>
            </w:r>
          </w:p>
        </w:tc>
        <w:tc>
          <w:tcPr>
            <w:tcW w:w="12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140.5</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3.63</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time to expiration (years)</w:t>
            </w:r>
          </w:p>
        </w:tc>
        <w:tc>
          <w:tcPr>
            <w:tcW w:w="12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Stock-based compensation expense related to RSUs granted to employees was $1.3 million and $11.2 million in the three months ended March 31, 2023 and March 31, 2022, respectively. As of March 31, 2023, the unrecognized compensation expense related to unvested RSUs was approximately $27.3 million which is expected to be recognized over a weighted-average period of approximately 3.40 years.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Summarized Stock-Based Compensation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table below summarizes total stock-based compensation expenses in the three months ended March 31, 2023 and March 31, 2022: </w:t>
      </w:r>
    </w:p>
    <w:p>
      <w:pPr>
        <w:pStyle w:val="TextBody"/>
        <w:bidi w:val="0"/>
        <w:spacing w:before="0" w:after="0"/>
        <w:jc w:val="left"/>
        <w:rPr>
          <w:shd w:fill="FFFFFF" w:val="clear"/>
        </w:rPr>
      </w:pPr>
      <w:r>
        <w:rPr>
          <w:shd w:fill="FFFFFF" w:val="clear"/>
        </w:rPr>
        <w:t> </w:t>
      </w:r>
    </w:p>
    <w:tbl>
      <w:tblPr>
        <w:tblW w:w="6951" w:type="dxa"/>
        <w:jc w:val="left"/>
        <w:tblInd w:w="0" w:type="dxa"/>
        <w:tblLayout w:type="fixed"/>
        <w:tblCellMar>
          <w:top w:w="0" w:type="dxa"/>
          <w:left w:w="0" w:type="dxa"/>
          <w:bottom w:w="0" w:type="dxa"/>
          <w:right w:w="0" w:type="dxa"/>
        </w:tblCellMar>
      </w:tblPr>
      <w:tblGrid>
        <w:gridCol w:w="3440"/>
        <w:gridCol w:w="120"/>
        <w:gridCol w:w="258"/>
        <w:gridCol w:w="1035"/>
        <w:gridCol w:w="286"/>
        <w:gridCol w:w="220"/>
        <w:gridCol w:w="258"/>
        <w:gridCol w:w="1259"/>
        <w:gridCol w:w="75"/>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2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8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1,527</w:t>
            </w:r>
          </w:p>
        </w:tc>
        <w:tc>
          <w:tcPr>
            <w:tcW w:w="28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2,389</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and marketing expenses</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(453</w:t>
            </w:r>
          </w:p>
        </w:tc>
        <w:tc>
          <w:tcPr>
            <w:tcW w:w="28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441</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629</w:t>
            </w:r>
          </w:p>
        </w:tc>
        <w:tc>
          <w:tcPr>
            <w:tcW w:w="28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8,651</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035" w:type="dxa"/>
            <w:tcBorders/>
            <w:vAlign w:val="center"/>
          </w:tcPr>
          <w:p>
            <w:pPr>
              <w:pStyle w:val="TableContents"/>
              <w:bidi w:val="0"/>
              <w:spacing w:before="0" w:after="0"/>
              <w:jc w:val="left"/>
              <w:rPr>
                <w:bdr w:val="single" w:sz="2" w:space="1" w:color="000000"/>
              </w:rPr>
            </w:pPr>
            <w:r>
              <w:rPr>
                <w:bdr w:val="single" w:sz="2" w:space="1" w:color="000000"/>
              </w:rPr>
              <w:t> </w:t>
            </w:r>
          </w:p>
        </w:tc>
        <w:tc>
          <w:tcPr>
            <w:tcW w:w="28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expenses</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1,703</w:t>
            </w:r>
          </w:p>
        </w:tc>
        <w:tc>
          <w:tcPr>
            <w:tcW w:w="28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11,481</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1035" w:type="dxa"/>
            <w:tcBorders/>
            <w:vAlign w:val="center"/>
          </w:tcPr>
          <w:p>
            <w:pPr>
              <w:pStyle w:val="TableContents"/>
              <w:bidi w:val="0"/>
              <w:spacing w:before="0" w:after="0"/>
              <w:jc w:val="left"/>
              <w:rPr>
                <w:bdr w:val="double" w:sz="6" w:space="1" w:color="000000"/>
              </w:rPr>
            </w:pPr>
            <w:r>
              <w:rPr>
                <w:bdr w:val="double" w:sz="6" w:space="1" w:color="000000"/>
              </w:rPr>
              <w:t> </w:t>
            </w:r>
          </w:p>
        </w:tc>
        <w:tc>
          <w:tcPr>
            <w:tcW w:w="28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10. FINANCING ARRANGEMENTS</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Loan and Security Agreement</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March 2021, the Company entered into an agreement (the “L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oa</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 Agreement”) with Trinity Capital Inc. (“Trinity”) to secure a debt commitment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12.0</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“Trinity Warrants”) which is recorded at fair value using the Black-Scholes model, see Note 12 for the fair value assumptions.</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Loan Agreement contains customary representations, warranties and covenants; however, the Loan Agreement does not include any financial covenants. In May 2021, the Loan Agreement was modified to increase the overall debt commitment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15.0 million (the “Tranche B” or the “Amendment”) and $8.0 million of the additional commitment was drawn at the closing and the remaining commitment of</w:t>
      </w:r>
    </w:p>
    <w:p>
      <w:pPr>
        <w:pStyle w:val="TextBody"/>
        <w:bidi w:val="0"/>
        <w:spacing w:before="240" w:after="0"/>
        <w:jc w:val="left"/>
        <w:rPr/>
      </w:pPr>
      <w:r>
        <w:rPr/>
        <w:t> </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7.0</w:t>
      </w:r>
    </w:p>
    <w:p>
      <w:pPr>
        <w:pStyle w:val="TextBody"/>
        <w:bidi w:val="0"/>
        <w:spacing w:before="240" w:after="0"/>
        <w:jc w:val="left"/>
        <w:rPr/>
      </w:pPr>
      <w:r>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million was available at the Company’s option at any time through March 10, 2022, subject to certain conditions. The Company drew the remaining</w:t>
      </w:r>
    </w:p>
    <w:p>
      <w:pPr>
        <w:pStyle w:val="TextBody"/>
        <w:bidi w:val="0"/>
        <w:spacing w:before="240" w:after="0"/>
        <w:jc w:val="left"/>
        <w:rPr/>
      </w:pPr>
      <w:r>
        <w:rPr/>
        <w:t> </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7.0</w:t>
      </w:r>
    </w:p>
    <w:p>
      <w:pPr>
        <w:pStyle w:val="TextBody"/>
        <w:bidi w:val="0"/>
        <w:spacing w:before="240" w:after="0"/>
        <w:jc w:val="left"/>
        <w:rPr/>
      </w:pPr>
      <w:r>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million commitment in November 2021. In conjunction with the Amendment, the Company cancelled the Trinity Warrants and issued</w:t>
      </w:r>
    </w:p>
    <w:p>
      <w:pPr>
        <w:pStyle w:val="TextBody"/>
        <w:bidi w:val="0"/>
        <w:spacing w:before="24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995,099</w:t>
      </w:r>
    </w:p>
    <w:p>
      <w:pPr>
        <w:pStyle w:val="TextBody"/>
        <w:bidi w:val="0"/>
        <w:spacing w:before="240" w:after="0"/>
        <w:jc w:val="left"/>
        <w:rPr>
          <w:rFonts w:ascii="Times New Roman" w:hAnsi="Times New Roman"/>
          <w:sz w:val="20"/>
        </w:rPr>
      </w:pP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783,129</w:t>
      </w:r>
    </w:p>
    <w:p>
      <w:pPr>
        <w:pStyle w:val="TextBody"/>
        <w:bidi w:val="0"/>
        <w:spacing w:before="240" w:after="0"/>
        <w:jc w:val="left"/>
        <w:rPr>
          <w:rFonts w:ascii="Times New Roman" w:hAnsi="Times New Roman"/>
          <w:spacing w:val="0"/>
          <w:sz w:val="20"/>
        </w:rPr>
      </w:pPr>
      <w:r>
        <w:rPr>
          <w:rFonts w:ascii="Times New Roman" w:hAnsi="Times New Roman"/>
          <w:spacing w:val="0"/>
          <w:sz w:val="20"/>
        </w:rPr>
        <w:t>shares post conversion upon the closing of the Business Combination) warrant shares to purchase the Common Stock which was an incremental cost allocated between Tranche A and Tranche B, see Note 12 for further information on the Trinity Warrants. The Amendment to the Loan Agreement was considered a modification for accounting purposes. The Company capitalized</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2.8</w:t>
      </w:r>
    </w:p>
    <w:p>
      <w:pPr>
        <w:pStyle w:val="TextBody"/>
        <w:bidi w:val="0"/>
        <w:spacing w:before="240" w:after="0"/>
        <w:jc w:val="left"/>
        <w:rPr/>
      </w:pPr>
      <w:r>
        <w:rPr/>
        <w:t> </w:t>
      </w:r>
      <w:r>
        <w:rPr>
          <w:rFonts w:ascii="Times New Roman" w:hAnsi="Times New Roman"/>
          <w:sz w:val="20"/>
        </w:rPr>
        <w:t>million of debt issuance costs which consist of incremental costs incurred for the lenders and third-party legal firms as well as the fair value of the warrant issued in conjunction with the term loan.</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Under the Amendment, the maturity date was modified to be the date equal to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48 months from the first payment date of each specific cash advance. Subject to an interest only period of 19 months following each specific cash advance date, the term loan incurs interest at a rate of the greater of 11</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 or the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US Prime Rate plus 7.50% per annum, payable monthly.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Loan Agreement includes</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certain negative covenants, primarily consisting of restrictions on the Company’s ability to incur indebtedness, pay dividends, execute fundamental change transactions, and other specified actions.</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addition, the Company is required to pay a final payment fee equal to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2.75% of the aggregate amount of all term loan advances. The final payment fee is being accreted and amortized into interest expense using the effective interest rate method over the term of the loan. The effective interest was between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21.28-27.51%</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all tranches of the debt as of March 31, 2023.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January 2022, the Loan Agreement was modified to increase the overall debt commitment by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5.0 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million (the “Tranche C” or the “Third Amendment”) which was drawn on January 27, 2022. Subject to an interest only period of</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19 months, Tranche C incurs interest at a rate of the greater of 11%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or</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the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US Prime Rate plus 7.50% per annu</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 payable monthly, until the maturity date, February 1, 2026.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Other modifications per the Third Amendment included an extension of the requirement to raise an additional</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$75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million of equity until April 1, 2022 and a defined exit fee for the additional</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$5.0 million to be at 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of the advanced funds under the amendment. The Company met the requirement to raise additional equity of $75 million through the Business Combination mentioned in Note 3. The Company paid an exit fee of $1.0 million which is 20% of the Tranche C amount upon the consummation of the Business Combination. The exit fee was capitalized as a debt issuance cost and is amortized using the effective interest method over the life of Tranche C. The exit fee is not applicable to Tranche A and Tranche B. In conjunction with the Third Amendment, the Company also guaranteed payment of all monetary amounts owed and performance of all covenants, obligations and liabilities.</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book value of debt approximates its fair value given its maturity and variable interest rate. Long term debt and the unamortized discount balances are as follows:</w:t>
      </w:r>
    </w:p>
    <w:p>
      <w:pPr>
        <w:pStyle w:val="TextBody"/>
        <w:bidi w:val="0"/>
        <w:spacing w:before="0" w:after="0"/>
        <w:ind w:left="0" w:right="0" w:hanging="0"/>
        <w:jc w:val="left"/>
        <w:rPr>
          <w:spacing w:val="0"/>
          <w:shd w:fill="FFFFFF" w:val="clear"/>
        </w:rPr>
      </w:pPr>
      <w:r>
        <w:rPr>
          <w:spacing w:val="0"/>
          <w:shd w:fill="FFFFFF" w:val="clear"/>
        </w:rPr>
        <w:t> </w:t>
      </w:r>
    </w:p>
    <w:tbl>
      <w:tblPr>
        <w:tblW w:w="7735" w:type="dxa"/>
        <w:jc w:val="left"/>
        <w:tblInd w:w="0" w:type="dxa"/>
        <w:tblLayout w:type="fixed"/>
        <w:tblCellMar>
          <w:top w:w="0" w:type="dxa"/>
          <w:left w:w="0" w:type="dxa"/>
          <w:bottom w:w="0" w:type="dxa"/>
          <w:right w:w="0" w:type="dxa"/>
        </w:tblCellMar>
      </w:tblPr>
      <w:tblGrid>
        <w:gridCol w:w="4145"/>
        <w:gridCol w:w="120"/>
        <w:gridCol w:w="251"/>
        <w:gridCol w:w="1359"/>
        <w:gridCol w:w="155"/>
        <w:gridCol w:w="120"/>
        <w:gridCol w:w="241"/>
        <w:gridCol w:w="1174"/>
        <w:gridCol w:w="170"/>
      </w:tblGrid>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0"/>
              <w:jc w:val="left"/>
              <w:rPr>
                <w:spacing w:val="0"/>
              </w:rPr>
            </w:pPr>
            <w:r>
              <w:rPr>
                <w:spacing w:val="0"/>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principal amount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28,911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30,709</w:t>
            </w:r>
          </w:p>
        </w:tc>
        <w:tc>
          <w:tcPr>
            <w:tcW w:w="17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 accreted liability of final payment fee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479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407</w:t>
            </w:r>
          </w:p>
        </w:tc>
        <w:tc>
          <w:tcPr>
            <w:tcW w:w="17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unamortized debt discount, long-term</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(725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(990</w:t>
            </w:r>
          </w:p>
        </w:tc>
        <w:tc>
          <w:tcPr>
            <w:tcW w:w="17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 of long-term debt principal</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(10,819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(9,491</w:t>
            </w:r>
          </w:p>
        </w:tc>
        <w:tc>
          <w:tcPr>
            <w:tcW w:w="17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 net of current portion</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17,846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20,635</w:t>
            </w:r>
          </w:p>
        </w:tc>
        <w:tc>
          <w:tcPr>
            <w:tcW w:w="17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 principal</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10,819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9,491</w:t>
            </w:r>
          </w:p>
        </w:tc>
        <w:tc>
          <w:tcPr>
            <w:tcW w:w="17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 of unamortized debt discount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(1,134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(1,188</w:t>
            </w:r>
          </w:p>
        </w:tc>
        <w:tc>
          <w:tcPr>
            <w:tcW w:w="17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 current portion</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9,685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8,303</w:t>
            </w:r>
          </w:p>
        </w:tc>
        <w:tc>
          <w:tcPr>
            <w:tcW w:w="17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 the three months ended March 31, 2023 and March 31, 2022, the Company recorded interest expense of $1.5 million and $1.2 million, respectively, which includes accretion of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end-of-term</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liability, amortization of the commitment fee asset and amortization of debt issuance costs of $0.2 million in each period. The unamortized debt discount as of March 31, 2023 and December 31, 2022 of $1.9 million and $2.2 million, respectively, is offset against the carrying value of the term loan in the condensed consolidated balance sheet.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Scheduled principal payments on total outstanding debt as of March 31, 2023 and December 31,2022 are as follows: </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shd w:fill="FFFFFF" w:val="clear"/>
        </w:rPr>
      </w:pPr>
      <w:r>
        <w:rPr>
          <w:spacing w:val="0"/>
          <w:shd w:fill="FFFFFF" w:val="clear"/>
        </w:rPr>
        <w:t> </w:t>
      </w:r>
    </w:p>
    <w:tbl>
      <w:tblPr>
        <w:tblW w:w="4470" w:type="dxa"/>
        <w:jc w:val="left"/>
        <w:tblInd w:w="0" w:type="dxa"/>
        <w:tblLayout w:type="fixed"/>
        <w:tblCellMar>
          <w:top w:w="0" w:type="dxa"/>
          <w:left w:w="0" w:type="dxa"/>
          <w:bottom w:w="0" w:type="dxa"/>
          <w:right w:w="0" w:type="dxa"/>
        </w:tblCellMar>
      </w:tblPr>
      <w:tblGrid>
        <w:gridCol w:w="1070"/>
        <w:gridCol w:w="120"/>
        <w:gridCol w:w="274"/>
        <w:gridCol w:w="1336"/>
        <w:gridCol w:w="60"/>
        <w:gridCol w:w="120"/>
        <w:gridCol w:w="241"/>
        <w:gridCol w:w="1174"/>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w:t>
            </w:r>
          </w:p>
        </w:tc>
        <w:tc>
          <w:tcPr>
            <w:tcW w:w="120" w:type="dxa"/>
            <w:tcBorders/>
            <w:vAlign w:val="center"/>
          </w:tcPr>
          <w:p>
            <w:pPr>
              <w:pStyle w:val="TableContents"/>
              <w:bidi w:val="0"/>
              <w:spacing w:before="0" w:after="0"/>
              <w:jc w:val="left"/>
              <w:rPr>
                <w:spacing w:val="0"/>
              </w:rPr>
            </w:pPr>
            <w:r>
              <w:rPr>
                <w:spacing w:val="0"/>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0"/>
              <w:jc w:val="left"/>
              <w:rPr>
                <w:spacing w:val="0"/>
              </w:rPr>
            </w:pPr>
            <w:r>
              <w:rPr>
                <w:spacing w:val="0"/>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7,693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9,491</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13,007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13,007</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8,020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8,020</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191</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28,911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30,709</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11. COMMON STOCK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discussed in Note 3, on March 2, 2022, the Company consummated a Business Combination which has been accounted for as a reverse capitalization. Pursuant to the certificate of incorporation as amended on March 2, 2022, the Company is authorized to issue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1,000,000,000</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Common Stock and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10,000,000</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Preferred Stock. The holders of shares of Common Stock are entitled to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one vote</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for each share of Common Stock held. The Preferred Stock 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non-voting.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shares of Preferred Stock were issued and outstanding as of March 31, 2023 or December 31, 2022.</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As a result of the Business Combination (see Note 3), the Company has retroactively adjusted the warrants and stock-based awards outstanding prior to March 2, 2022 to give effect to the Exchange Ratio used to determine the number of shares of Common Stock into which they were converted.</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As of March 31, 2023, the Company has reserved the following shares of Common Stock for issuance upon the conversion, exercise or vesting of the underlying instruments:</w:t>
      </w:r>
    </w:p>
    <w:p>
      <w:pPr>
        <w:pStyle w:val="TextBody"/>
        <w:bidi w:val="0"/>
        <w:spacing w:before="0" w:after="0"/>
        <w:ind w:left="0" w:right="0" w:hanging="0"/>
        <w:jc w:val="left"/>
        <w:rPr>
          <w:spacing w:val="0"/>
          <w:shd w:fill="FFFFFF" w:val="clear"/>
        </w:rPr>
      </w:pPr>
      <w:r>
        <w:rPr>
          <w:spacing w:val="0"/>
          <w:shd w:fill="FFFFFF" w:val="clear"/>
        </w:rPr>
        <w:t> </w:t>
      </w:r>
    </w:p>
    <w:tbl>
      <w:tblPr>
        <w:tblW w:w="4945" w:type="dxa"/>
        <w:jc w:val="left"/>
        <w:tblInd w:w="0" w:type="dxa"/>
        <w:tblLayout w:type="fixed"/>
        <w:tblCellMar>
          <w:top w:w="0" w:type="dxa"/>
          <w:left w:w="0" w:type="dxa"/>
          <w:bottom w:w="0" w:type="dxa"/>
          <w:right w:w="0" w:type="dxa"/>
        </w:tblCellMar>
      </w:tblPr>
      <w:tblGrid>
        <w:gridCol w:w="3590"/>
        <w:gridCol w:w="120"/>
        <w:gridCol w:w="60"/>
        <w:gridCol w:w="1100"/>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17,115,928</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Awards—RSUs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11,682,373</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Awards—Options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6,120,084</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34,918,385</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Common Stock Purchase Agreement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 entered into a Common Stock Purchase Agreement (the “Purchase Agreement”) with B. Riley Principal Capital II, LLC (“B. Riley”) on August 11, 2022 pursuant to which the Company may issue and sell to B. Riley the lesser of i)</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of Common Stock issued to B. Riley on August 11, 2022 as consideration for entering into the Purchase Agreement). The Company did not issue or sell any shares to B. Riley under the Purchase Agreement during the three months ended March 31, 2023.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 which registration statement was declared effective on September 14, 2022.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Upon the initial satisfaction of the conditions to B. Riley’s purchase obligation set forth in the Purchase Agreement, on September 14, 2022 (the “Commencement Date”) the Company has the right, but not the obligation, from time to time at the Company’s sole discretion over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24-month</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period from and after the Commencement Date, to direct B. Riley to purchase a specified amount of shares not to</w:t>
      </w:r>
    </w:p>
    <w:p>
      <w:pPr>
        <w:pStyle w:val="TextBody"/>
        <w:bidi w:val="0"/>
        <w:spacing w:before="240" w:after="0"/>
        <w:jc w:val="left"/>
        <w:rPr>
          <w:shd w:fill="FFFFFF" w:val="clear"/>
        </w:rPr>
      </w:pPr>
      <w:r>
        <w:rPr>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exceed the lesser of (i) 1,000,000 shares of Common Stock and (ii) 20%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of the total aggregate number (or volume) of shares of Common Stock traded on The Nasdaq Capital Market (“Nasdaq”) during the applicable period beginning at the official open (or “commencement”) of the regular trading session on the applicable purchase date for such purchase and ending at such time that the total aggregate volume of shares of common stock traded on Nasdaq reaches the Purchase Share Volume Maximum (as defined below) for such purchase (as applicable) (such period for each purchase, the “Purchase Valuation Period”), provided, that, (i) the closing sale price of the Common Stock on the trading day immediately prior to such Purchase Date (as defined in the Purchase Agreement) is not less than $1.00 and (ii) all shares of Common Stock subject to all prior Purchases (as defined in the Purchase Agreement) and all prior Intraday Purchases (as defined in the Purchase Agreement) by B. Riley under the Purchase Agreement have been received by B. Riley prior to the time the Company delivers a purchase notice to B. Riley. “Purchase Share Volume Maximum” means, with respect to a purchase made pursuant to the Purchase Agreement, the number of shares of Common Stock equal to the quotient obtained by dividing the (i) total number of shares of Common Stock to be purchased by B. Riley in the relevant purchase (the “Purchase Share Amount”), by (ii)</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0.20</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(subject to certain adjustments). The Company did not identify any feature within the Purchase Agreement that needs to be bifurcated and recorded as a derivative.</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of March 31, 2023, the Company’s share price had traded below $1.00 per share for an extended period. As a result, the Company recognized a $0.7 million impairment charge in the three months ended March 31, 2023 for previously deferred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offering</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costs related to the Purchase Agreement, which was recorded as general and administrative expense in the accompanying condensed consolidated statement of operations.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12. WARRANTS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As a result of the Business Combination (see Note 3), the Company has retroactively adjusted the number and corresponding strike price of Rigetti warrants outstanding prior to March 2, 2022, the date of the Business Combination, to give effect to the Exchange Ratio used to determine the number of shares of Common Stock into which they were converted.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Liability Classified Warrants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Public Warrants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30-trading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March 31, 2023 there were 8,625,000 Public Warrants issued and outstanding (Refer to Note 8 for fair value measurement). The Public Warrants are accounted for as a derivative liability. The fair value of the Public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calculated fair value of the derivative liability for the Public Warrants at March 31, 2023 and December 31, 2022 was $0.9 million and $0.7 million, respectively. The change in the fair value of the Public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W</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arrants included in the condensed consolidated statement of operations in the three months ended March 31, 2023 and March 31, 2022 was a loss of $0.3 million and a gain of $5.1 million, respectively.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Private Warrants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Placement Warrants were transferred from the initial purchasers to permitted transferees and remain unredeemable by the Company as of March 31 2023. The Private Warrants are accounted for as a derivative liability. The fair value of the Private Warrants is determined using the Black-Scholes option-pricing model, with subsequent changes in the fair value recognized in the condensed consolidated statements of operations at each reporting date.</w:t>
      </w:r>
    </w:p>
    <w:p>
      <w:pPr>
        <w:pStyle w:val="TextBody"/>
        <w:bidi w:val="0"/>
        <w:spacing w:before="240" w:after="0"/>
        <w:ind w:left="0" w:right="0" w:hanging="0"/>
        <w:jc w:val="left"/>
        <w:rPr>
          <w:rFonts w:ascii="Times New Roman" w:hAnsi="Times New Roman"/>
          <w:sz w:val="20"/>
        </w:rPr>
      </w:pPr>
      <w:r>
        <w:rPr>
          <w:rFonts w:ascii="Times New Roman" w:hAnsi="Times New Roman"/>
          <w:sz w:val="20"/>
        </w:rPr>
        <w:t>The calculated fair value of the derivative liability for the Private Warrants at March 31, 2023 and December 31, 2022 was $</w:t>
      </w:r>
    </w:p>
    <w:p>
      <w:pPr>
        <w:pStyle w:val="TextBody"/>
        <w:bidi w:val="0"/>
        <w:spacing w:before="240" w:after="0"/>
        <w:jc w:val="left"/>
        <w:rPr>
          <w:rFonts w:ascii="Times New Roman" w:hAnsi="Times New Roman"/>
          <w:sz w:val="20"/>
        </w:rPr>
      </w:pPr>
      <w:r>
        <w:rPr>
          <w:rFonts w:ascii="Times New Roman" w:hAnsi="Times New Roman"/>
          <w:sz w:val="20"/>
        </w:rPr>
        <w:t>1.7</w:t>
      </w:r>
    </w:p>
    <w:p>
      <w:pPr>
        <w:pStyle w:val="TextBody"/>
        <w:bidi w:val="0"/>
        <w:spacing w:before="240" w:after="0"/>
        <w:jc w:val="left"/>
        <w:rPr/>
      </w:pPr>
      <w:r>
        <w:rPr/>
        <w:t> </w:t>
      </w:r>
      <w:r>
        <w:rPr>
          <w:rFonts w:ascii="Times New Roman" w:hAnsi="Times New Roman"/>
          <w:sz w:val="20"/>
        </w:rPr>
        <w:t>million and $</w:t>
      </w:r>
    </w:p>
    <w:p>
      <w:pPr>
        <w:pStyle w:val="TextBody"/>
        <w:bidi w:val="0"/>
        <w:spacing w:before="240" w:after="0"/>
        <w:jc w:val="left"/>
        <w:rPr>
          <w:rFonts w:ascii="Times New Roman" w:hAnsi="Times New Roman"/>
          <w:sz w:val="20"/>
        </w:rPr>
      </w:pPr>
      <w:r>
        <w:rPr>
          <w:rFonts w:ascii="Times New Roman" w:hAnsi="Times New Roman"/>
          <w:sz w:val="20"/>
        </w:rPr>
        <w:t>1.1</w:t>
      </w:r>
    </w:p>
    <w:p>
      <w:pPr>
        <w:pStyle w:val="TextBody"/>
        <w:bidi w:val="0"/>
        <w:spacing w:before="240" w:after="0"/>
        <w:jc w:val="left"/>
        <w:rPr/>
      </w:pPr>
      <w:r>
        <w:rPr/>
        <w:t> </w:t>
      </w:r>
      <w:r>
        <w:rPr>
          <w:rFonts w:ascii="Times New Roman" w:hAnsi="Times New Roman"/>
          <w:sz w:val="20"/>
        </w:rPr>
        <w:t>million, respectively. The change in the fair value of the Private Warrants included in the condensed consolidated statements of operations in the three months ended March 31, 2023 and March 31, 2022 was a loss of $</w:t>
      </w:r>
    </w:p>
    <w:p>
      <w:pPr>
        <w:pStyle w:val="TextBody"/>
        <w:bidi w:val="0"/>
        <w:spacing w:before="240" w:after="0"/>
        <w:jc w:val="left"/>
        <w:rPr>
          <w:rFonts w:ascii="Times New Roman" w:hAnsi="Times New Roman"/>
          <w:sz w:val="20"/>
        </w:rPr>
      </w:pPr>
      <w:r>
        <w:rPr>
          <w:rFonts w:ascii="Times New Roman" w:hAnsi="Times New Roman"/>
          <w:sz w:val="20"/>
        </w:rPr>
        <w:t>0.6</w:t>
      </w:r>
    </w:p>
    <w:p>
      <w:pPr>
        <w:pStyle w:val="TextBody"/>
        <w:bidi w:val="0"/>
        <w:spacing w:before="240" w:after="0"/>
        <w:jc w:val="left"/>
        <w:rPr/>
      </w:pPr>
      <w:r>
        <w:rPr/>
        <w:t> </w:t>
      </w:r>
      <w:r>
        <w:rPr>
          <w:rFonts w:ascii="Times New Roman" w:hAnsi="Times New Roman"/>
          <w:sz w:val="20"/>
        </w:rPr>
        <w:t>million and $</w:t>
      </w:r>
    </w:p>
    <w:p>
      <w:pPr>
        <w:pStyle w:val="TextBody"/>
        <w:bidi w:val="0"/>
        <w:spacing w:before="240" w:after="0"/>
        <w:jc w:val="left"/>
        <w:rPr>
          <w:rFonts w:ascii="Times New Roman" w:hAnsi="Times New Roman"/>
          <w:sz w:val="20"/>
        </w:rPr>
      </w:pPr>
      <w:r>
        <w:rPr>
          <w:rFonts w:ascii="Times New Roman" w:hAnsi="Times New Roman"/>
          <w:sz w:val="20"/>
        </w:rPr>
        <w:t>0.8</w:t>
      </w:r>
    </w:p>
    <w:p>
      <w:pPr>
        <w:pStyle w:val="TextBody"/>
        <w:bidi w:val="0"/>
        <w:spacing w:before="240" w:after="0"/>
        <w:jc w:val="left"/>
        <w:rPr/>
      </w:pPr>
      <w:r>
        <w:rPr/>
        <w:t> </w:t>
      </w:r>
      <w:r>
        <w:rPr>
          <w:rFonts w:ascii="Times New Roman" w:hAnsi="Times New Roman"/>
          <w:sz w:val="20"/>
        </w:rPr>
        <w:t>million, respectively.</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Significant inputs into the Black-Scholes option-pricing models used to value the Private Warrants at March 31, 2023, December 31, 2022 and March 2, 2022 (initial recognition) are as follows: </w:t>
      </w:r>
    </w:p>
    <w:p>
      <w:pPr>
        <w:pStyle w:val="TextBody"/>
        <w:bidi w:val="0"/>
        <w:spacing w:before="0" w:after="0"/>
        <w:ind w:left="0" w:right="0" w:hanging="0"/>
        <w:jc w:val="left"/>
        <w:rPr>
          <w:shd w:fill="FFFFFF" w:val="clear"/>
        </w:rPr>
      </w:pPr>
      <w:r>
        <w:rPr>
          <w:shd w:fill="FFFFFF" w:val="clear"/>
        </w:rPr>
        <w:t> </w:t>
      </w:r>
    </w:p>
    <w:tbl>
      <w:tblPr>
        <w:tblW w:w="9065" w:type="dxa"/>
        <w:jc w:val="left"/>
        <w:tblInd w:w="0" w:type="dxa"/>
        <w:tblLayout w:type="fixed"/>
        <w:tblCellMar>
          <w:top w:w="0" w:type="dxa"/>
          <w:left w:w="0" w:type="dxa"/>
          <w:bottom w:w="0" w:type="dxa"/>
          <w:right w:w="0" w:type="dxa"/>
        </w:tblCellMar>
      </w:tblPr>
      <w:tblGrid>
        <w:gridCol w:w="2930"/>
        <w:gridCol w:w="120"/>
        <w:gridCol w:w="274"/>
        <w:gridCol w:w="1336"/>
        <w:gridCol w:w="275"/>
        <w:gridCol w:w="60"/>
        <w:gridCol w:w="333"/>
        <w:gridCol w:w="1622"/>
        <w:gridCol w:w="275"/>
        <w:gridCol w:w="60"/>
        <w:gridCol w:w="298"/>
        <w:gridCol w:w="1192"/>
        <w:gridCol w:w="29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Valuation Assumptions</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2, 2022</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0.72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0.73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9.43</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Strike Price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11.50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11.50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11.50</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Volatility (annual)</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138.16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109.26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30.66</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3.679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4.04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1.74</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time to expiration (years)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3.922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4.172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5.000</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On August 18, 2022, the Private Placement Warrants were transferred from the initial purchasers to permitted transferees of the SPAC Sponsor by means of an internal partnership</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distribution.</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Trinity Warrants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Trinity Warrants were issued in March of 2021 for the purchase of 313,252 shares of common stock, and additional warrants to purchase 469,877 shares of common stock were issued in connection with the Tranche B Amendment, see Note 10. Therefore, there were a total of 783,129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common stock warrants issued in conjunction with the Loan and Security Agreement in 2021. The Trinity Warrants issued were classified as a liability under ASC 480, “Distinguishing Liabilities from Equity”. The Company utilized a Black-Scholes model to determine the grant fair value of the warrants which was approximately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$2.7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and was recorded as a debt issuance cost. The outstanding warrants were subsequently re-measured at each reporting period using the Black-Scholes model with changes recorded as a component of other income in the Company’s condensed consolidated statement of operations. The liability related to the Trinity Warrants was</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$6.4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 as of June 2, 2022, at which time all</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783,129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Trinity Warrants were exercised and the fair value of the warrant liability was reclassified to equity.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change in the fair value of the Trinity Warrants included in the condensed consolidated statements of operations in the three months ended March 31, 2022 was a loss of $0.5 million.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Significant inputs into the Black-Scholes option pricing model used to value the Trinity Warrants at March 31, 2022 were as follows: </w:t>
      </w:r>
    </w:p>
    <w:p>
      <w:pPr>
        <w:pStyle w:val="TextBody"/>
        <w:bidi w:val="0"/>
        <w:spacing w:before="0" w:after="0"/>
        <w:ind w:left="0" w:right="0" w:hanging="0"/>
        <w:jc w:val="left"/>
        <w:rPr>
          <w:shd w:fill="FFFFFF" w:val="clear"/>
        </w:rPr>
      </w:pPr>
      <w:r>
        <w:rPr>
          <w:shd w:fill="FFFFFF" w:val="clear"/>
        </w:rPr>
        <w:t> </w:t>
      </w:r>
    </w:p>
    <w:tbl>
      <w:tblPr>
        <w:tblW w:w="4950" w:type="dxa"/>
        <w:jc w:val="left"/>
        <w:tblInd w:w="0" w:type="dxa"/>
        <w:tblLayout w:type="fixed"/>
        <w:tblCellMar>
          <w:top w:w="0" w:type="dxa"/>
          <w:left w:w="0" w:type="dxa"/>
          <w:bottom w:w="0" w:type="dxa"/>
          <w:right w:w="0" w:type="dxa"/>
        </w:tblCellMar>
      </w:tblPr>
      <w:tblGrid>
        <w:gridCol w:w="2930"/>
        <w:gridCol w:w="120"/>
        <w:gridCol w:w="274"/>
        <w:gridCol w:w="1336"/>
        <w:gridCol w:w="29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Valuation Assumptions</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2022</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6.30</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Strike price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0.27</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Annual volatility</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105.10</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2.29</w:t>
            </w:r>
          </w:p>
        </w:tc>
        <w:tc>
          <w:tcPr>
            <w:tcW w:w="29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time to expiration (years)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9.000</w:t>
            </w:r>
          </w:p>
        </w:tc>
        <w:tc>
          <w:tcPr>
            <w:tcW w:w="29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Equity Classified Warrants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Series C Preferred Stock Financing Warrants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Between February 2020 and May 2020, a subsidiary of Legacy Rigetti issued and sold an aggregate of 69,223,658 shares (Post conversion - 54,478,260 shares) of its Series C Preferred Stock at a purchase price of $0.906793 per share (Post conversion - $1.15 per share), for an aggregate purchase price of $56.2 million (the “Series C Preferred Stock Financing”). In conjunction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with the Series C Preferred Stock Financing, the Company issued a total of 5,248,183 Warrants to purchase Class A Common Stock to the Series C investors. The Warrants have a $0.01 exercise price per share and have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term to expiration. The Warrants can be exercised for cash or on a cashless basis. The Company determined that the Warrants met the requirements for equity classification under ASC 480 and ASC 815. The Company estimated the fair value of the Warrants using the Black-Scholes model and allocated approximately $1.2 million in proceeds from the Series C Preferred Stock to the value of the Warrants on a relative fair value basis, which was recorded to additional paid in capital.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Customer Warrant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 February 2020, the Company issued a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arrant to purchase 2,680,607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shares of Class A Common Stock to a customer in conjunction with a revenue arrangement (the “Customer Warrant”). The Customer Warrant has a</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$1.152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exercise price per share and a</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10-year</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term to expiration. The Customer Warrant vests upon the achievement of certain performance conditions (i.e., sales milestones) defined in the agreement, and upon a change of control, either</w:t>
      </w:r>
    </w:p>
    <w:p>
      <w:pPr>
        <w:pStyle w:val="TextBody"/>
        <w:bidi w:val="0"/>
        <w:spacing w:before="120" w:after="0"/>
        <w:jc w:val="left"/>
        <w:rPr>
          <w:spacing w:val="0"/>
          <w:shd w:fill="FFFFFF" w:val="clear"/>
        </w:rPr>
      </w:pPr>
      <w:r>
        <w:rPr>
          <w:spacing w:val="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50</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 or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100</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of the then unvested Customer Warrant will become fully vested, dependent on the acquiring party in the change of control transaction. The Customer Warrant can be exercised for cash or on a cashless basis.</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followed the guidance in ASC 718 and ASC 606 for the accounting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March 31, 2023, the deferred asset balance outstanding is approximately $0.1 million, which will be recognized as a reduction in revenue in future periods.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vesting status of the Customer Warrant at March 31, 2023 and December 31,2022 was as follows: </w:t>
      </w:r>
    </w:p>
    <w:p>
      <w:pPr>
        <w:pStyle w:val="TextBody"/>
        <w:bidi w:val="0"/>
        <w:spacing w:before="0" w:after="0"/>
        <w:jc w:val="left"/>
        <w:rPr>
          <w:spacing w:val="0"/>
          <w:shd w:fill="FFFFFF" w:val="clear"/>
        </w:rPr>
      </w:pPr>
      <w:r>
        <w:rPr>
          <w:spacing w:val="0"/>
          <w:shd w:fill="FFFFFF" w:val="clear"/>
        </w:rPr>
        <w:t> </w:t>
      </w:r>
    </w:p>
    <w:tbl>
      <w:tblPr>
        <w:tblW w:w="5325" w:type="dxa"/>
        <w:jc w:val="left"/>
        <w:tblInd w:w="0" w:type="dxa"/>
        <w:tblLayout w:type="fixed"/>
        <w:tblCellMar>
          <w:top w:w="0" w:type="dxa"/>
          <w:left w:w="0" w:type="dxa"/>
          <w:bottom w:w="0" w:type="dxa"/>
          <w:right w:w="0" w:type="dxa"/>
        </w:tblCellMar>
      </w:tblPr>
      <w:tblGrid>
        <w:gridCol w:w="2855"/>
        <w:gridCol w:w="120"/>
        <w:gridCol w:w="60"/>
        <w:gridCol w:w="980"/>
        <w:gridCol w:w="60"/>
        <w:gridCol w:w="120"/>
        <w:gridCol w:w="60"/>
        <w:gridCol w:w="995"/>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w:t>
              <w:br/>
              <w:t>31, 2023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w:t>
              <w:br/>
              <w:t>31, 2022</w:t>
            </w:r>
          </w:p>
        </w:tc>
        <w:tc>
          <w:tcPr>
            <w:tcW w:w="75" w:type="dxa"/>
            <w:tcBorders/>
            <w:vAlign w:val="center"/>
          </w:tcPr>
          <w:p>
            <w:pPr>
              <w:pStyle w:val="TableContents"/>
              <w:bidi w:val="0"/>
              <w:spacing w:before="0" w:after="0"/>
              <w:jc w:val="left"/>
              <w:rPr>
                <w:spacing w:val="0"/>
              </w:rPr>
            </w:pPr>
            <w:r>
              <w:rPr>
                <w:spacing w:val="0"/>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Customer Warrant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1,340,297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1,340,297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Customer Warrant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1,340,310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1,340,310</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9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2,680,607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2,680,607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9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13. FORWARD WARRANT AGREEMENT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In connection with the execution of the Merger Agreement in October 2021 (See Note 1), Rigetti entered into a warrant subscription agreement (“Forward Warrant Agreement”) with a strategic partner, Ampere Computing LLC (“Ampere”) for the purchase of a warrant for an aggregate purchase price (including amounts from exercise)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10.0</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 xml:space="preserve">million. The Forward Warrant Agreement provides for the issuance of a warrant for the purchase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up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an aggregate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1,000,000</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shares of Common Stock at an exercise price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0.0001</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5.0</w:t>
      </w:r>
    </w:p>
    <w:p>
      <w:pPr>
        <w:pStyle w:val="TextBody"/>
        <w:bidi w:val="0"/>
        <w:spacing w:before="120" w:after="0"/>
        <w:jc w:val="left"/>
        <w:rPr>
          <w:spacing w:val="0"/>
          <w:shd w:fill="FFFFFF" w:val="clear"/>
        </w:rPr>
      </w:pPr>
      <w:r>
        <w:rPr>
          <w:spacing w:val="0"/>
          <w:shd w:fill="FFFFFF" w:val="clear"/>
        </w:rPr>
        <w:t> </w:t>
      </w:r>
      <w:r>
        <w:rPr>
          <w:rFonts w:ascii="Times New Roman" w:hAnsi="Times New Roman"/>
          <w:spacing w:val="0"/>
          <w:sz w:val="20"/>
          <w:shd w:fill="FFFFFF" w:val="clear"/>
        </w:rPr>
        <w:t>million to Rigetti no later than the later of (i) the Closing and (ii) June 30, 2022.</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On June 30, 2022, pursuant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Forward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is required to pay an additional $5.0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to Rigetti no later than the closing date of the listing of Ampere’s capital stock on a stock exchange, provided that if the listing has not occurred by the second anniversary of the Forward Warrant Agreement, Ampere is not obligated to make the additional payment. Upon the payment of such additional amounts, the warrant will vest and be exercisable with respect to the remaining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500,000 shares. The Forward Warrant Agreement further provides that the Company will use commercially reasonable efforts to file a registration statement to register the resale of the remaining shares underlying the warrant. The Company filed a registration statement registering the resale of the initial 500,000 shares issued under the warrant which was declared effective during the year ended December 31, 2022.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re-measured</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at each reporting period using the Forward Contract Pricing methodology with the change in fair value recorded in general and administrative expense in the condensed consolidated statement of operations.</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The calculated fair value of the Forward Warrant Agreement was a derivative asset at March 31, 2023 and December 31, 2022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1.1</w:t>
      </w:r>
    </w:p>
    <w:p>
      <w:pPr>
        <w:pStyle w:val="TextBody"/>
        <w:bidi w:val="0"/>
        <w:spacing w:before="0" w:after="0"/>
        <w:jc w:val="left"/>
        <w:rPr>
          <w:shd w:fill="FFFFFF" w:val="clear"/>
        </w:rPr>
      </w:pPr>
      <w:r>
        <w:rPr>
          <w:shd w:fill="FFFFFF" w:val="clear"/>
        </w:rPr>
        <w:t> </w:t>
      </w:r>
      <w:r>
        <w:rPr>
          <w:rFonts w:ascii="Times New Roman" w:hAnsi="Times New Roman"/>
          <w:sz w:val="20"/>
          <w:shd w:fill="FFFFFF" w:val="clear"/>
        </w:rPr>
        <w:t>million and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2.2</w:t>
      </w:r>
    </w:p>
    <w:p>
      <w:pPr>
        <w:pStyle w:val="TextBody"/>
        <w:bidi w:val="0"/>
        <w:spacing w:before="0" w:after="0"/>
        <w:jc w:val="left"/>
        <w:rPr>
          <w:shd w:fill="FFFFFF" w:val="clear"/>
        </w:rPr>
      </w:pPr>
      <w:r>
        <w:rPr>
          <w:shd w:fill="FFFFFF" w:val="clear"/>
        </w:rPr>
        <w:t> </w:t>
      </w:r>
      <w:r>
        <w:rPr>
          <w:rFonts w:ascii="Times New Roman" w:hAnsi="Times New Roman"/>
          <w:sz w:val="20"/>
          <w:shd w:fill="FFFFFF" w:val="clear"/>
        </w:rPr>
        <w:t>million, respectively. The change in the fair value of the Forward Warrant Agreement included in general and administrative expense in the three months ended March 31, 2023 and March 31, 2022 was a loss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1.1</w:t>
      </w:r>
    </w:p>
    <w:p>
      <w:pPr>
        <w:pStyle w:val="TextBody"/>
        <w:bidi w:val="0"/>
        <w:spacing w:before="0" w:after="0"/>
        <w:jc w:val="left"/>
        <w:rPr>
          <w:shd w:fill="FFFFFF" w:val="clear"/>
        </w:rPr>
      </w:pPr>
      <w:r>
        <w:rPr>
          <w:shd w:fill="FFFFFF" w:val="clear"/>
        </w:rPr>
        <w:t> </w:t>
      </w:r>
      <w:r>
        <w:rPr>
          <w:rFonts w:ascii="Times New Roman" w:hAnsi="Times New Roman"/>
          <w:sz w:val="20"/>
          <w:shd w:fill="FFFFFF" w:val="clear"/>
        </w:rPr>
        <w:t>million and a gain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6.0</w:t>
      </w:r>
    </w:p>
    <w:p>
      <w:pPr>
        <w:pStyle w:val="TextBody"/>
        <w:bidi w:val="0"/>
        <w:spacing w:before="0" w:after="0"/>
        <w:jc w:val="left"/>
        <w:rPr>
          <w:shd w:fill="FFFFFF" w:val="clear"/>
        </w:rPr>
      </w:pPr>
      <w:r>
        <w:rPr>
          <w:shd w:fill="FFFFFF" w:val="clear"/>
        </w:rPr>
        <w:t> </w:t>
      </w:r>
      <w:r>
        <w:rPr>
          <w:rFonts w:ascii="Times New Roman" w:hAnsi="Times New Roman"/>
          <w:sz w:val="20"/>
          <w:shd w:fill="FFFFFF" w:val="clear"/>
        </w:rPr>
        <w:t>million, respectively.</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table represents key valuation assumptions as of March 31, 2023 and December 31, 2022: </w:t>
      </w:r>
    </w:p>
    <w:p>
      <w:pPr>
        <w:pStyle w:val="TextBody"/>
        <w:bidi w:val="0"/>
        <w:spacing w:before="0" w:after="0"/>
        <w:ind w:left="0" w:right="0" w:hanging="0"/>
        <w:jc w:val="left"/>
        <w:rPr>
          <w:spacing w:val="0"/>
          <w:shd w:fill="FFFFFF" w:val="clear"/>
        </w:rPr>
      </w:pPr>
      <w:r>
        <w:rPr>
          <w:spacing w:val="0"/>
          <w:shd w:fill="FFFFFF" w:val="clear"/>
        </w:rPr>
        <w:t> </w:t>
      </w:r>
    </w:p>
    <w:tbl>
      <w:tblPr>
        <w:tblW w:w="7660" w:type="dxa"/>
        <w:jc w:val="left"/>
        <w:tblInd w:w="0" w:type="dxa"/>
        <w:tblLayout w:type="fixed"/>
        <w:tblCellMar>
          <w:top w:w="0" w:type="dxa"/>
          <w:left w:w="0" w:type="dxa"/>
          <w:bottom w:w="0" w:type="dxa"/>
          <w:right w:w="0" w:type="dxa"/>
        </w:tblCellMar>
      </w:tblPr>
      <w:tblGrid>
        <w:gridCol w:w="3350"/>
        <w:gridCol w:w="120"/>
        <w:gridCol w:w="322"/>
        <w:gridCol w:w="1288"/>
        <w:gridCol w:w="275"/>
        <w:gridCol w:w="60"/>
        <w:gridCol w:w="391"/>
        <w:gridCol w:w="1564"/>
        <w:gridCol w:w="29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Valuation Assumptions</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29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Holding period (in years)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0.517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0.767</w:t>
            </w:r>
          </w:p>
        </w:tc>
        <w:tc>
          <w:tcPr>
            <w:tcW w:w="29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4.87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4.69</w:t>
            </w:r>
          </w:p>
        </w:tc>
        <w:tc>
          <w:tcPr>
            <w:tcW w:w="29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Probability of the contingency occurring</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Underlying value per share</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0.72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0.73</w:t>
            </w:r>
          </w:p>
        </w:tc>
        <w:tc>
          <w:tcPr>
            <w:tcW w:w="29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 the three months ended March 31, 2023, the Company reduced the estimated probability of occurrence for the Forward Warrant Agreement from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50% to 25% due to less than favorable market conditions and reduced time until expiration.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14. CONCENTRATIONS, SIGNIFICANT CUSTOMERS AND GEOGRAPHIC AREAS: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Financial instruments that potentially subject the Company to concentrations of credit risk consist primarily of cash and cash equivalents, short-term investments in the form of commercial paper and corporate bonds, and trade accounts receivable. The Company’s cash and cash equivalents and short-term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Significant customers that represent 10% or more of revenue are set forth in the following tables: </w:t>
      </w:r>
    </w:p>
    <w:p>
      <w:pPr>
        <w:pStyle w:val="TextBody"/>
        <w:bidi w:val="0"/>
        <w:spacing w:before="0" w:after="0"/>
        <w:jc w:val="left"/>
        <w:rPr>
          <w:spacing w:val="0"/>
          <w:shd w:fill="FFFFFF" w:val="clear"/>
        </w:rPr>
      </w:pPr>
      <w:r>
        <w:rPr>
          <w:spacing w:val="0"/>
          <w:shd w:fill="FFFFFF" w:val="clear"/>
        </w:rPr>
        <w:t> </w:t>
      </w:r>
    </w:p>
    <w:tbl>
      <w:tblPr>
        <w:tblW w:w="4665" w:type="dxa"/>
        <w:jc w:val="left"/>
        <w:tblInd w:w="0" w:type="dxa"/>
        <w:tblLayout w:type="fixed"/>
        <w:tblCellMar>
          <w:top w:w="0" w:type="dxa"/>
          <w:left w:w="0" w:type="dxa"/>
          <w:bottom w:w="0" w:type="dxa"/>
          <w:right w:w="0" w:type="dxa"/>
        </w:tblCellMar>
      </w:tblPr>
      <w:tblGrid>
        <w:gridCol w:w="995"/>
        <w:gridCol w:w="120"/>
        <w:gridCol w:w="200"/>
        <w:gridCol w:w="869"/>
        <w:gridCol w:w="919"/>
        <w:gridCol w:w="200"/>
        <w:gridCol w:w="200"/>
        <w:gridCol w:w="872"/>
        <w:gridCol w:w="29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29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91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51</w:t>
            </w:r>
          </w:p>
        </w:tc>
        <w:tc>
          <w:tcPr>
            <w:tcW w:w="91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23</w:t>
            </w:r>
          </w:p>
        </w:tc>
        <w:tc>
          <w:tcPr>
            <w:tcW w:w="91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18</w:t>
            </w:r>
          </w:p>
        </w:tc>
        <w:tc>
          <w:tcPr>
            <w:tcW w:w="91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 </w:t>
            </w:r>
          </w:p>
        </w:tc>
        <w:tc>
          <w:tcPr>
            <w:tcW w:w="91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47</w:t>
            </w:r>
          </w:p>
        </w:tc>
        <w:tc>
          <w:tcPr>
            <w:tcW w:w="29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Sales to government entities in the three months ended March 31, 2023 and March 31, 2022 comprised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82.1% and 76.3% of the Company’s total revenue, respectively.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Significant customers that represent 10% or more of accounts receivable are set forth in the following tables: </w:t>
      </w:r>
    </w:p>
    <w:p>
      <w:pPr>
        <w:pStyle w:val="TextBody"/>
        <w:bidi w:val="0"/>
        <w:spacing w:before="0" w:after="0"/>
        <w:ind w:left="0" w:right="0" w:hanging="0"/>
        <w:jc w:val="left"/>
        <w:rPr>
          <w:spacing w:val="0"/>
          <w:shd w:fill="FFFFFF" w:val="clear"/>
        </w:rPr>
      </w:pPr>
      <w:r>
        <w:rPr>
          <w:spacing w:val="0"/>
          <w:shd w:fill="FFFFFF" w:val="clear"/>
        </w:rPr>
        <w:t> </w:t>
      </w:r>
    </w:p>
    <w:tbl>
      <w:tblPr>
        <w:tblW w:w="5305" w:type="dxa"/>
        <w:jc w:val="left"/>
        <w:tblInd w:w="0" w:type="dxa"/>
        <w:tblLayout w:type="fixed"/>
        <w:tblCellMar>
          <w:top w:w="0" w:type="dxa"/>
          <w:left w:w="0" w:type="dxa"/>
          <w:bottom w:w="0" w:type="dxa"/>
          <w:right w:w="0" w:type="dxa"/>
        </w:tblCellMar>
      </w:tblPr>
      <w:tblGrid>
        <w:gridCol w:w="995"/>
        <w:gridCol w:w="120"/>
        <w:gridCol w:w="301"/>
        <w:gridCol w:w="1309"/>
        <w:gridCol w:w="275"/>
        <w:gridCol w:w="60"/>
        <w:gridCol w:w="366"/>
        <w:gridCol w:w="1589"/>
        <w:gridCol w:w="29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2023</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290" w:type="dxa"/>
            <w:tcBorders/>
            <w:vAlign w:val="center"/>
          </w:tcPr>
          <w:p>
            <w:pPr>
              <w:pStyle w:val="TableContents"/>
              <w:bidi w:val="0"/>
              <w:spacing w:before="0" w:after="0"/>
              <w:jc w:val="left"/>
              <w:rPr>
                <w:spacing w:val="0"/>
              </w:rPr>
            </w:pPr>
            <w:r>
              <w:rPr>
                <w:spacing w:val="0"/>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65</w:t>
            </w:r>
          </w:p>
        </w:tc>
        <w:tc>
          <w:tcPr>
            <w:tcW w:w="29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shd w:fill="FFFFFF" w:val="clear"/>
        </w:rPr>
      </w:pPr>
      <w:r>
        <w:rPr>
          <w:spacing w:val="0"/>
          <w:shd w:fill="FFFFFF" w:val="clear"/>
        </w:rPr>
        <w:t> </w:t>
      </w:r>
    </w:p>
    <w:tbl>
      <w:tblPr>
        <w:tblW w:w="7150" w:type="dxa"/>
        <w:jc w:val="left"/>
        <w:tblInd w:w="0" w:type="dxa"/>
        <w:tblLayout w:type="fixed"/>
        <w:tblCellMar>
          <w:top w:w="0" w:type="dxa"/>
          <w:left w:w="0" w:type="dxa"/>
          <w:bottom w:w="0" w:type="dxa"/>
          <w:right w:w="0" w:type="dxa"/>
        </w:tblCellMar>
      </w:tblPr>
      <w:tblGrid>
        <w:gridCol w:w="155"/>
        <w:gridCol w:w="6995"/>
      </w:tblGrid>
      <w:tr>
        <w:trPr/>
        <w:tc>
          <w:tcPr>
            <w:tcW w:w="155"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sz w:val="20"/>
              </w:rPr>
            </w:pPr>
            <w:r>
              <w:rPr>
                <w:sz w:val="20"/>
              </w:rPr>
              <w:t>Customer accounted for less than 10% of accounts receivable in the respective period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The following table presents a summary of revenue by geography for the three months ended March 31, 2023 and March 31, 2022</w:t>
      </w:r>
    </w:p>
    <w:p>
      <w:pPr>
        <w:pStyle w:val="TextBody"/>
        <w:bidi w:val="0"/>
        <w:spacing w:before="0" w:after="0"/>
        <w:jc w:val="left"/>
        <w:rPr>
          <w:spacing w:val="0"/>
          <w:shd w:fill="FFFFFF" w:val="clear"/>
        </w:rPr>
      </w:pPr>
      <w:r>
        <w:rPr>
          <w:spacing w:val="0"/>
          <w:shd w:fill="FFFFFF" w:val="clear"/>
        </w:rPr>
        <w:t> </w:t>
      </w:r>
    </w:p>
    <w:tbl>
      <w:tblPr>
        <w:tblW w:w="4673" w:type="dxa"/>
        <w:jc w:val="left"/>
        <w:tblInd w:w="0" w:type="dxa"/>
        <w:tblLayout w:type="fixed"/>
        <w:tblCellMar>
          <w:top w:w="0" w:type="dxa"/>
          <w:left w:w="0" w:type="dxa"/>
          <w:bottom w:w="0" w:type="dxa"/>
          <w:right w:w="0" w:type="dxa"/>
        </w:tblCellMar>
      </w:tblPr>
      <w:tblGrid>
        <w:gridCol w:w="1160"/>
        <w:gridCol w:w="120"/>
        <w:gridCol w:w="293"/>
        <w:gridCol w:w="1176"/>
        <w:gridCol w:w="125"/>
        <w:gridCol w:w="251"/>
        <w:gridCol w:w="293"/>
        <w:gridCol w:w="1180"/>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w:t>
            </w:r>
          </w:p>
          <w:p>
            <w:pPr>
              <w:pStyle w:val="TableContents"/>
              <w:bidi w:val="0"/>
              <w:spacing w:before="0" w:after="0"/>
              <w:jc w:val="center"/>
              <w:rPr>
                <w:b/>
                <w:spacing w:val="0"/>
              </w:rPr>
            </w:pPr>
            <w:r>
              <w:rPr>
                <w:b/>
                <w:spacing w:val="0"/>
              </w:rPr>
              <w:t>3</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w:t>
            </w:r>
          </w:p>
          <w:p>
            <w:pPr>
              <w:pStyle w:val="TableContents"/>
              <w:bidi w:val="0"/>
              <w:spacing w:before="0" w:after="0"/>
              <w:jc w:val="center"/>
              <w:rPr>
                <w:b/>
                <w:spacing w:val="0"/>
              </w:rPr>
            </w:pPr>
            <w:r>
              <w:rPr>
                <w:b/>
                <w:spacing w:val="0"/>
              </w:rPr>
              <w:t>2</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2,039</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1,900</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162</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204</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2,201</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2,104</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6"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15. NET LOSS PER SHARE:</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The following tables set forth the computation of basic and diluted net per share of common stock for the three months ended March 31, 2023 and March 31, 2022:</w:t>
      </w:r>
    </w:p>
    <w:p>
      <w:pPr>
        <w:pStyle w:val="TextBody"/>
        <w:bidi w:val="0"/>
        <w:spacing w:before="0" w:after="0"/>
        <w:ind w:left="0" w:right="0" w:hanging="0"/>
        <w:jc w:val="left"/>
        <w:rPr>
          <w:spacing w:val="0"/>
          <w:shd w:fill="FFFFFF" w:val="clear"/>
        </w:rPr>
      </w:pPr>
      <w:r>
        <w:rPr>
          <w:spacing w:val="0"/>
          <w:shd w:fill="FFFFFF" w:val="clear"/>
        </w:rPr>
        <w:t> </w:t>
      </w:r>
    </w:p>
    <w:tbl>
      <w:tblPr>
        <w:tblW w:w="9119" w:type="dxa"/>
        <w:jc w:val="left"/>
        <w:tblInd w:w="0" w:type="dxa"/>
        <w:tblLayout w:type="fixed"/>
        <w:tblCellMar>
          <w:top w:w="0" w:type="dxa"/>
          <w:left w:w="0" w:type="dxa"/>
          <w:bottom w:w="0" w:type="dxa"/>
          <w:right w:w="0" w:type="dxa"/>
        </w:tblCellMar>
      </w:tblPr>
      <w:tblGrid>
        <w:gridCol w:w="3620"/>
        <w:gridCol w:w="120"/>
        <w:gridCol w:w="141"/>
        <w:gridCol w:w="763"/>
        <w:gridCol w:w="155"/>
        <w:gridCol w:w="120"/>
        <w:gridCol w:w="133"/>
        <w:gridCol w:w="1777"/>
        <w:gridCol w:w="60"/>
        <w:gridCol w:w="120"/>
        <w:gridCol w:w="414"/>
        <w:gridCol w:w="1526"/>
        <w:gridCol w:w="17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except per share amounts)</w:t>
            </w:r>
          </w:p>
        </w:tc>
        <w:tc>
          <w:tcPr>
            <w:tcW w:w="12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Loss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 Average</w:t>
              <w:br/>
              <w:t>Shares</w:t>
              <w:br/>
              <w:t>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 Share Amount</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March 31, 2023</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pPr>
            <w:r>
              <w:rPr/>
              <w:t> </w:t>
            </w:r>
          </w:p>
        </w:tc>
        <w:tc>
          <w:tcPr>
            <w:tcW w:w="763"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0"/>
              <w:jc w:val="left"/>
              <w:rPr/>
            </w:pPr>
            <w:r>
              <w:rPr/>
              <w:t> </w:t>
            </w:r>
          </w:p>
        </w:tc>
        <w:tc>
          <w:tcPr>
            <w:tcW w:w="177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0"/>
              <w:jc w:val="left"/>
              <w:rPr/>
            </w:pPr>
            <w:r>
              <w:rPr/>
              <w:t> </w:t>
            </w:r>
          </w:p>
        </w:tc>
        <w:tc>
          <w:tcPr>
            <w:tcW w:w="152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(23,354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124,778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w:t>
            </w:r>
          </w:p>
        </w:tc>
        <w:tc>
          <w:tcPr>
            <w:tcW w:w="1526" w:type="dxa"/>
            <w:tcBorders/>
            <w:vAlign w:val="center"/>
          </w:tcPr>
          <w:p>
            <w:pPr>
              <w:pStyle w:val="TableContents"/>
              <w:bidi w:val="0"/>
              <w:spacing w:before="0" w:after="283"/>
              <w:jc w:val="right"/>
              <w:rPr/>
            </w:pPr>
            <w:r>
              <w:rPr/>
              <w:t>(0.19</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Dilutive effect of common equivalent shares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76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bdr w:val="single" w:sz="2" w:space="1" w:color="000000"/>
              </w:rPr>
            </w:pPr>
            <w:r>
              <w:rPr>
                <w:bdr w:val="single" w:sz="2" w:space="1" w:color="000000"/>
              </w:rPr>
              <w:t> </w:t>
            </w:r>
          </w:p>
        </w:tc>
        <w:tc>
          <w:tcPr>
            <w:tcW w:w="17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Dilutive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(23,354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124,778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w:t>
            </w:r>
          </w:p>
        </w:tc>
        <w:tc>
          <w:tcPr>
            <w:tcW w:w="1526" w:type="dxa"/>
            <w:tcBorders/>
            <w:vAlign w:val="center"/>
          </w:tcPr>
          <w:p>
            <w:pPr>
              <w:pStyle w:val="TableContents"/>
              <w:bidi w:val="0"/>
              <w:spacing w:before="0" w:after="283"/>
              <w:jc w:val="right"/>
              <w:rPr/>
            </w:pPr>
            <w:r>
              <w:rPr/>
              <w:t>(0.19</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76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bdr w:val="double" w:sz="6" w:space="1" w:color="000000"/>
              </w:rPr>
            </w:pPr>
            <w:r>
              <w:rPr>
                <w:bdr w:val="double" w:sz="6" w:space="1" w:color="000000"/>
              </w:rPr>
              <w:t> </w:t>
            </w:r>
          </w:p>
        </w:tc>
        <w:tc>
          <w:tcPr>
            <w:tcW w:w="17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0"/>
              <w:jc w:val="left"/>
              <w:rPr>
                <w:bdr w:val="double" w:sz="6" w:space="1" w:color="000000"/>
              </w:rPr>
            </w:pPr>
            <w:r>
              <w:rPr>
                <w:bdr w:val="double" w:sz="6" w:space="1" w:color="000000"/>
              </w:rPr>
              <w:t> </w:t>
            </w:r>
          </w:p>
        </w:tc>
        <w:tc>
          <w:tcPr>
            <w:tcW w:w="152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shd w:fill="FFFFFF" w:val="clear"/>
        </w:rPr>
      </w:pPr>
      <w:r>
        <w:rPr>
          <w:spacing w:val="0"/>
          <w:shd w:fill="FFFFFF" w:val="clear"/>
        </w:rPr>
        <w:t> </w:t>
      </w:r>
    </w:p>
    <w:tbl>
      <w:tblPr>
        <w:tblW w:w="9119" w:type="dxa"/>
        <w:jc w:val="left"/>
        <w:tblInd w:w="0" w:type="dxa"/>
        <w:tblLayout w:type="fixed"/>
        <w:tblCellMar>
          <w:top w:w="0" w:type="dxa"/>
          <w:left w:w="0" w:type="dxa"/>
          <w:bottom w:w="0" w:type="dxa"/>
          <w:right w:w="0" w:type="dxa"/>
        </w:tblCellMar>
      </w:tblPr>
      <w:tblGrid>
        <w:gridCol w:w="3620"/>
        <w:gridCol w:w="120"/>
        <w:gridCol w:w="141"/>
        <w:gridCol w:w="763"/>
        <w:gridCol w:w="155"/>
        <w:gridCol w:w="120"/>
        <w:gridCol w:w="154"/>
        <w:gridCol w:w="1756"/>
        <w:gridCol w:w="60"/>
        <w:gridCol w:w="120"/>
        <w:gridCol w:w="414"/>
        <w:gridCol w:w="1526"/>
        <w:gridCol w:w="17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except per share amounts)</w:t>
            </w:r>
          </w:p>
        </w:tc>
        <w:tc>
          <w:tcPr>
            <w:tcW w:w="12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Loss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 Average</w:t>
              <w:br/>
              <w:t>Shares</w:t>
              <w:br/>
              <w:t>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 Share Amount</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March 31, 2022</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pPr>
            <w:r>
              <w:rPr/>
              <w:t> </w:t>
            </w:r>
          </w:p>
        </w:tc>
        <w:tc>
          <w:tcPr>
            <w:tcW w:w="763"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0"/>
              <w:jc w:val="left"/>
              <w:rPr/>
            </w:pPr>
            <w:r>
              <w:rPr/>
              <w:t> </w:t>
            </w:r>
          </w:p>
        </w:tc>
        <w:tc>
          <w:tcPr>
            <w:tcW w:w="1756"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0"/>
              <w:jc w:val="left"/>
              <w:rPr/>
            </w:pPr>
            <w:r>
              <w:rPr/>
              <w:t> </w:t>
            </w:r>
          </w:p>
        </w:tc>
        <w:tc>
          <w:tcPr>
            <w:tcW w:w="152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(17,642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56" w:type="dxa"/>
            <w:tcBorders/>
            <w:vAlign w:val="center"/>
          </w:tcPr>
          <w:p>
            <w:pPr>
              <w:pStyle w:val="TableContents"/>
              <w:bidi w:val="0"/>
              <w:spacing w:before="0" w:after="283"/>
              <w:jc w:val="right"/>
              <w:rPr/>
            </w:pPr>
            <w:r>
              <w:rPr/>
              <w:t>53,692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w:t>
            </w:r>
          </w:p>
        </w:tc>
        <w:tc>
          <w:tcPr>
            <w:tcW w:w="1526" w:type="dxa"/>
            <w:tcBorders/>
            <w:vAlign w:val="center"/>
          </w:tcPr>
          <w:p>
            <w:pPr>
              <w:pStyle w:val="TableContents"/>
              <w:bidi w:val="0"/>
              <w:spacing w:before="0" w:after="283"/>
              <w:jc w:val="right"/>
              <w:rPr/>
            </w:pPr>
            <w:r>
              <w:rPr/>
              <w:t>(0.33</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Dilutive effect of common equivalent shares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76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0"/>
              <w:jc w:val="left"/>
              <w:rPr>
                <w:bdr w:val="single" w:sz="2" w:space="1" w:color="000000"/>
              </w:rPr>
            </w:pPr>
            <w:r>
              <w:rPr>
                <w:bdr w:val="single" w:sz="2" w:space="1" w:color="000000"/>
              </w:rPr>
              <w:t> </w:t>
            </w:r>
          </w:p>
        </w:tc>
        <w:tc>
          <w:tcPr>
            <w:tcW w:w="152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Dilutive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(17,642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756" w:type="dxa"/>
            <w:tcBorders/>
            <w:vAlign w:val="center"/>
          </w:tcPr>
          <w:p>
            <w:pPr>
              <w:pStyle w:val="TableContents"/>
              <w:bidi w:val="0"/>
              <w:spacing w:before="0" w:after="283"/>
              <w:jc w:val="right"/>
              <w:rPr/>
            </w:pPr>
            <w:r>
              <w:rPr/>
              <w:t>53,692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w:t>
            </w:r>
          </w:p>
        </w:tc>
        <w:tc>
          <w:tcPr>
            <w:tcW w:w="1526" w:type="dxa"/>
            <w:tcBorders/>
            <w:vAlign w:val="center"/>
          </w:tcPr>
          <w:p>
            <w:pPr>
              <w:pStyle w:val="TableContents"/>
              <w:bidi w:val="0"/>
              <w:spacing w:before="0" w:after="283"/>
              <w:jc w:val="right"/>
              <w:rPr/>
            </w:pPr>
            <w:r>
              <w:rPr/>
              <w:t>(0.33</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76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0"/>
              <w:jc w:val="left"/>
              <w:rPr>
                <w:bdr w:val="double" w:sz="6" w:space="1" w:color="000000"/>
              </w:rPr>
            </w:pPr>
            <w:r>
              <w:rPr>
                <w:bdr w:val="double" w:sz="6" w:space="1" w:color="000000"/>
              </w:rPr>
              <w:t> </w:t>
            </w:r>
          </w:p>
        </w:tc>
        <w:tc>
          <w:tcPr>
            <w:tcW w:w="152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There are 3,059,273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shares of contingently issuable Common Stock to the Sponsor pursuant to the earn-out arrangement that were not included</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in the computation of basic net loss per share since the contingencies for the issuance of these shares have not been met as March 31, 2023 or March 31, 2022. The weighted-average common shares outstanding for the three months ended March 31, 2023 and March 31, 2022 include 1,401,126 and 3,976,326 weighted average shares for warrants having an exercise price of $0.01 per share each, respectively.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excluded the following potential common shares from the computation of diluted net loss per share for the three months ended March 31, 2023 and March 31, 2022: </w:t>
      </w:r>
    </w:p>
    <w:p>
      <w:pPr>
        <w:pStyle w:val="TextBody"/>
        <w:bidi w:val="0"/>
        <w:spacing w:before="0" w:after="0"/>
        <w:jc w:val="left"/>
        <w:rPr>
          <w:spacing w:val="0"/>
          <w:shd w:fill="FFFFFF" w:val="clear"/>
        </w:rPr>
      </w:pPr>
      <w:r>
        <w:rPr>
          <w:spacing w:val="0"/>
          <w:shd w:fill="FFFFFF" w:val="clear"/>
        </w:rPr>
        <w:t> </w:t>
      </w:r>
    </w:p>
    <w:tbl>
      <w:tblPr>
        <w:tblW w:w="5515" w:type="dxa"/>
        <w:jc w:val="left"/>
        <w:tblInd w:w="0" w:type="dxa"/>
        <w:tblLayout w:type="fixed"/>
        <w:tblCellMar>
          <w:top w:w="0" w:type="dxa"/>
          <w:left w:w="0" w:type="dxa"/>
          <w:bottom w:w="0" w:type="dxa"/>
          <w:right w:w="0" w:type="dxa"/>
        </w:tblCellMar>
      </w:tblPr>
      <w:tblGrid>
        <w:gridCol w:w="2060"/>
        <w:gridCol w:w="120"/>
        <w:gridCol w:w="78"/>
        <w:gridCol w:w="1434"/>
        <w:gridCol w:w="78"/>
        <w:gridCol w:w="156"/>
        <w:gridCol w:w="78"/>
        <w:gridCol w:w="1436"/>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14,450,445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14,959,214</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6,120,084</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10,114,849</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11,682,373</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9,077,015</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43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32,252,902</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right"/>
              <w:rPr/>
            </w:pPr>
            <w:r>
              <w:rPr/>
              <w:t>34,151,078</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4"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43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(1) The number of outstanding shares as of March 31, 2022 includes 952,127 shares of Common Stock underlying RSUs which were issued once the related registration statement became effective.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(2) The number of outstanding warrants as of March 31, 2023 and March 31, 2022 does not include 1,340,310 and 1,608,359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shares, respectively, of unvested shares under the Customer Warrant.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16. INCOME TAXES: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Company did not record income tax expense for the three months ended March 31, 2023 or the three months ended March 31, 2022 due to the Company’s loss position and full valuation allowance.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effective tax rate differs from the statutory rate, primarily due to the Company’s history of incurring losses, which have not been benefited, the foreign rate differential related to subsidiary earnings, and other permanent differences. Realization of deferred tax assets is dependent upon future earnings, if any, the timing and amount of which are uncertain.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The Company has deferred tax assets as a result of temporary differences between the taxable income on its tax returns and U.S. GAAP income, R&amp;D tax credit carry forwards and federal and state net operating loss carry forwards. A deferred tax asset generally represents future tax benefits to be received when temporary differences previously reported in the Company’s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2</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Utilization of the net operating losses and credits may be subject to substantial annual limitation due to federal and state ownership change limitations provided by the Internal Revenue Code and similar state provisions. Such annual limitations could result in the expiration of the net operating losses and credits before their utilization. The Company has not performed a Section 382 analysis to determine if an ownership change occurred and whether the use of net operating loss carryforwards and credits carryforwards will be limited to offset future taxable income. For financial statement purposes, the Company has included the federal and state net operating losses and credits in the deferred tax assets with a full valuation</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allowance.</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17. RESTRUCTURING AND SEVERANCE: </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In February 2023, the Company announced an updated business strategy, including revisions to the Company’s technology roadmap. In connection with this updated strategy, the Company has implemented a workforce reduction in order to focus the organization and its resources on nearer-term strategic priorities. The reduction in the workforce impacted approximately 50 employees or approximately 28%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following table presents a summary of restructuring activities in the three months ended March 31, 2023: </w:t>
      </w:r>
    </w:p>
    <w:p>
      <w:pPr>
        <w:pStyle w:val="TextBody"/>
        <w:bidi w:val="0"/>
        <w:spacing w:before="0" w:after="0"/>
        <w:ind w:left="0" w:right="0" w:hanging="0"/>
        <w:jc w:val="left"/>
        <w:rPr>
          <w:shd w:fill="FFFFFF" w:val="clear"/>
        </w:rPr>
      </w:pPr>
      <w:r>
        <w:rPr>
          <w:shd w:fill="FFFFFF" w:val="clear"/>
        </w:rPr>
        <w:t> </w:t>
      </w:r>
    </w:p>
    <w:tbl>
      <w:tblPr>
        <w:tblW w:w="6134" w:type="dxa"/>
        <w:jc w:val="left"/>
        <w:tblInd w:w="0" w:type="dxa"/>
        <w:tblLayout w:type="fixed"/>
        <w:tblCellMar>
          <w:top w:w="0" w:type="dxa"/>
          <w:left w:w="0" w:type="dxa"/>
          <w:bottom w:w="0" w:type="dxa"/>
          <w:right w:w="0" w:type="dxa"/>
        </w:tblCellMar>
      </w:tblPr>
      <w:tblGrid>
        <w:gridCol w:w="4385"/>
        <w:gridCol w:w="120"/>
        <w:gridCol w:w="342"/>
        <w:gridCol w:w="1117"/>
        <w:gridCol w:w="170"/>
      </w:tblGrid>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Initial restructuring charge recorded in February 2023</w:t>
            </w:r>
          </w:p>
        </w:tc>
        <w:tc>
          <w:tcPr>
            <w:tcW w:w="12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991</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Payments in the three months ended March 31, 2023</w:t>
            </w:r>
          </w:p>
        </w:tc>
        <w:tc>
          <w:tcPr>
            <w:tcW w:w="120" w:type="dxa"/>
            <w:tcBorders/>
            <w:vAlign w:val="center"/>
          </w:tcPr>
          <w:p>
            <w:pPr>
              <w:pStyle w:val="TableContents"/>
              <w:bidi w:val="0"/>
              <w:spacing w:before="0" w:after="283"/>
              <w:jc w:val="left"/>
              <w:rPr/>
            </w:pPr>
            <w:r>
              <w:rPr/>
              <w:t>  </w:t>
            </w:r>
          </w:p>
        </w:tc>
        <w:tc>
          <w:tcPr>
            <w:tcW w:w="342" w:type="dxa"/>
            <w:tcBorders>
              <w:bottom w:val="single" w:sz="6" w:space="0" w:color="000000"/>
            </w:tcBorders>
            <w:tcMar>
              <w:bottom w:w="28" w:type="dxa"/>
            </w:tcMar>
            <w:vAlign w:val="center"/>
          </w:tcPr>
          <w:p>
            <w:pPr>
              <w:pStyle w:val="TableContents"/>
              <w:bidi w:val="0"/>
              <w:spacing w:before="0" w:after="283"/>
              <w:jc w:val="left"/>
              <w:rPr/>
            </w:pPr>
            <w:r>
              <w:rPr/>
              <w:t> </w:t>
            </w:r>
          </w:p>
        </w:tc>
        <w:tc>
          <w:tcPr>
            <w:tcW w:w="1117" w:type="dxa"/>
            <w:tcBorders>
              <w:bottom w:val="single" w:sz="6" w:space="0" w:color="000000"/>
            </w:tcBorders>
            <w:tcMar>
              <w:bottom w:w="28" w:type="dxa"/>
            </w:tcMar>
            <w:vAlign w:val="center"/>
          </w:tcPr>
          <w:p>
            <w:pPr>
              <w:pStyle w:val="TableContents"/>
              <w:bidi w:val="0"/>
              <w:spacing w:before="0" w:after="283"/>
              <w:jc w:val="right"/>
              <w:rPr/>
            </w:pPr>
            <w:r>
              <w:rPr/>
              <w:t>(853</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March 31, 2023</w:t>
            </w:r>
          </w:p>
        </w:tc>
        <w:tc>
          <w:tcPr>
            <w:tcW w:w="12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138</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0"/>
              <w:jc w:val="left"/>
              <w:rPr>
                <w:bdr w:val="double" w:sz="6" w:space="1" w:color="000000"/>
              </w:rPr>
            </w:pPr>
            <w:r>
              <w:rPr>
                <w:bdr w:val="double" w:sz="6" w:space="1" w:color="000000"/>
              </w:rPr>
              <w:t> </w:t>
            </w:r>
          </w:p>
        </w:tc>
        <w:tc>
          <w:tcPr>
            <w:tcW w:w="111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Company currently expects that the remaining balance in its restructuring accrual at March 31, 2023 will be paid by September 30, 2023. </w:t>
      </w:r>
    </w:p>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In addition to the charge for restructuring, the Company also incurred $1.0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for contractual severance benefits related to executive officers of the Company that were terminated in the three months ended March 31, 2023. These amounts will be paid out on a monthly basis through February 2024.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18. CONTINGENCIES:</w:t>
      </w:r>
    </w:p>
    <w:p>
      <w:pPr>
        <w:pStyle w:val="TextBody"/>
        <w:bidi w:val="0"/>
        <w:spacing w:before="12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Company is periodically involved in legal proceedings, legal actions and claims arising in the normal course of business. Management believes that the outcome of such legal proceedings, legal actions and claims will not have a significant adverse effect on the Company’s financial position, results of operations or cash flows.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2</w:t>
      </w:r>
    </w:p>
    <w:p>
      <w:pPr>
        <w:pStyle w:val="TextBody"/>
        <w:bidi w:val="0"/>
        <w:jc w:val="center"/>
        <w:rPr>
          <w:rFonts w:ascii="Times New Roman" w:hAnsi="Times New Roman"/>
          <w:spacing w:val="0"/>
          <w:sz w:val="20"/>
          <w:shd w:fill="FFFFFF" w:val="clear"/>
        </w:rPr>
      </w:pPr>
      <w:r>
        <w:rPr>
          <w:rFonts w:ascii="Times New Roman" w:hAnsi="Times New Roman"/>
          <w:spacing w:val="0"/>
          <w:sz w:val="20"/>
          <w:shd w:fill="FFFFFF" w:val="clear"/>
        </w:rPr>
        <w:t>7</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 w:name="fin493342_9"/>
      <w:bookmarkEnd w:id="5"/>
      <w:r>
        <w:rPr>
          <w:rFonts w:ascii="Times New Roman" w:hAnsi="Times New Roman"/>
          <w:b/>
          <w:sz w:val="20"/>
        </w:rPr>
        <w:t xml:space="preserve">ITEM 2 - MANAGEMENT’S DISCUSSION AND ANALYSIS OF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This Management’s Discussion and Analysis of Financial Condition and Results of Operations section should be read in conjunction with the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2022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“Rigetti,” “the Company,” “we,” “us” or “our” refer to Rigetti Computing, Inc. and its subsidiaries unless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 </w:t>
      </w:r>
    </w:p>
    <w:p>
      <w:pPr>
        <w:pStyle w:val="TextBody"/>
        <w:bidi w:val="0"/>
        <w:spacing w:before="240" w:after="0"/>
        <w:jc w:val="left"/>
        <w:rPr>
          <w:rFonts w:ascii="Times New Roman" w:hAnsi="Times New Roman"/>
          <w:sz w:val="20"/>
        </w:rPr>
      </w:pPr>
      <w:r>
        <w:rPr>
          <w:rFonts w:ascii="Times New Roman" w:hAnsi="Times New Roman"/>
          <w:sz w:val="20"/>
        </w:rPr>
        <w:t xml:space="preserve">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 </w:t>
      </w:r>
    </w:p>
    <w:p>
      <w:pPr>
        <w:pStyle w:val="TextBody"/>
        <w:bidi w:val="0"/>
        <w:spacing w:before="240" w:after="0"/>
        <w:jc w:val="left"/>
        <w:rPr>
          <w:rFonts w:ascii="Times New Roman" w:hAnsi="Times New Roman"/>
          <w:sz w:val="20"/>
        </w:rPr>
      </w:pPr>
      <w:r>
        <w:rPr>
          <w:rFonts w:ascii="Times New Roman" w:hAnsi="Times New Roman"/>
          <w:sz w:val="20"/>
        </w:rPr>
        <w:t xml:space="preserve">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quantum computing systems made accessible via the cloud in the form of Quantum Computing as a Service (“QCaaS’) products. However, the substantial majority of our revenues are derived from development contracts, and we anticipate this market opportunity will exist for at least the next several years as we work to ramp up our QCaaS business. Additionally, we are working to further develop a revenue stream and forging important customer relationships by entering into technology development contracts with various partners. </w:t>
      </w:r>
    </w:p>
    <w:p>
      <w:pPr>
        <w:pStyle w:val="TextBody"/>
        <w:bidi w:val="0"/>
        <w:spacing w:before="240" w:after="0"/>
        <w:jc w:val="left"/>
        <w:rPr>
          <w:rFonts w:ascii="Times New Roman" w:hAnsi="Times New Roman"/>
          <w:sz w:val="20"/>
        </w:rPr>
      </w:pPr>
      <w:r>
        <w:rPr>
          <w:rFonts w:ascii="Times New Roman" w:hAnsi="Times New Roman"/>
          <w:sz w:val="20"/>
        </w:rPr>
        <w:t xml:space="preserve">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We have been generating revenue since 2018 through partnerships with government agencies and commercial organizations; however, we have not yet generated profits. We have incurred significant operating losses since inception. Our net losses were $71.5 million and $38.2 million for the year ended December 31, 2022, and 11 months ended December 31, 2021, respectively. Our net losses were $23.4 million for the three months ended March 31, 2023. We expect to continue to incur additional losses for the foreseeable future as we invest in research, development and infrastructure consistent with our long-term business strategy. As of March 31, 2023, we had an accumulated deficit of $302.0 million. </w:t>
      </w:r>
    </w:p>
    <w:p>
      <w:pPr>
        <w:pStyle w:val="TextBody"/>
        <w:bidi w:val="0"/>
        <w:spacing w:before="240" w:after="0"/>
        <w:jc w:val="left"/>
        <w:rPr>
          <w:rFonts w:ascii="Times New Roman" w:hAnsi="Times New Roman"/>
          <w:sz w:val="20"/>
        </w:rPr>
      </w:pPr>
      <w:r>
        <w:rPr>
          <w:rFonts w:ascii="Times New Roman" w:hAnsi="Times New Roman"/>
          <w:sz w:val="20"/>
        </w:rPr>
        <w:t xml:space="preserve">Based on our estimates and current business plan, we expect that we will need to obtain additional capital by late 2024 or early 2025 in order to continue our research and development efforts and achieve our business objectives. There is no assurance that additional financing will be available. If we are unable to raise additional funding when needed and on attractive terms, we may be required to delay, limit or substantially reduce our quantum computing development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February 2023, we announced an updated business strategy, including revisions to our technology roadmap. In connection with this updated strategy, we implemented a workforce reduction beginning in February 2023 in order to focus the organization and our resources on nearer-term strategic priorities. In March 2023, we further refined our business strategy after internally deploying Ankaa-1, our 84-qubit system delivering denser qubit spacing and tunable couplers, within our company for testing. We plan to concentrate on refining the performance of Ankaa-1. Upon the anticipated external launch of the Ankaa-1 84-qubit system, which is expected to be to select customers, we plan to continue efforts to improve the performance of the system with the goal of reaching at least 98% 2-qubit gate fidelity to support the anticipated Ankaa-2 84-qubit system. We then plan to launch the anticipated Ankaa-2 84 qubit system, continuing to work to improve performance with the goal of reaching at least 99% gate fidelity on Ankaa-2. If these targets are achieved, we plan to shift focus to scaling to develop Lyra, an anticipated 336-qubit system. We believe that this business plan should enable us to concentrate our software application development strategy on what we believe to be the highest likelihood applications for demonstrating nearer term narrow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The reduction in the workforce impacted approximately 50 employees or 28% of our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first quarter of 2023 for severance payments and temporary healthcare coverage for effected employees. In addition to the restructuring charge, we also incurred $1.0 million of expense for contractual severance benefits related to executive officers of the Company that were terminated in the three months ended March 31, 2023. </w:t>
      </w:r>
    </w:p>
    <w:p>
      <w:pPr>
        <w:pStyle w:val="TextBody"/>
        <w:bidi w:val="0"/>
        <w:spacing w:before="360" w:after="0"/>
        <w:jc w:val="left"/>
        <w:rPr>
          <w:rFonts w:ascii="Times New Roman" w:hAnsi="Times New Roman"/>
          <w:b/>
          <w:sz w:val="20"/>
        </w:rPr>
      </w:pPr>
      <w:r>
        <w:rPr>
          <w:rFonts w:ascii="Times New Roman" w:hAnsi="Times New Roman"/>
          <w:b/>
          <w:sz w:val="20"/>
        </w:rPr>
        <w:t xml:space="preserve">The Business Combination and PIPE Financing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(“U.S. GAAP”), Rigetti was the accounting acquirer, and the Merger was accounted for as a “reverse recapitalization.” A reverse recapitalization does not result in a new basis of accounting, and the financial statements of Rigetti represent the continuation of the financial statements of Legacy Rigetti in many respects. Under this method of accounting, Supernova was treated as the “acquired” company for financial reporting purposes. For accounting purposes, Rigetti was deemed to be the accounting acquirer in the transaction and, consequently, the transaction was treated as a recapitalization of Rigetti (i.e., a capital transaction involving the issuance of stock by Supernova for the stock of Rigetti).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$205.0 million, including $225.6 million of proceeds from the Business Combination and PIPE Financing, net of transaction costs incurred by us of $20.6 million. </w:t>
      </w:r>
    </w:p>
    <w:p>
      <w:pPr>
        <w:pStyle w:val="TextBody"/>
        <w:bidi w:val="0"/>
        <w:spacing w:before="240" w:after="0"/>
        <w:jc w:val="left"/>
        <w:rPr>
          <w:rFonts w:ascii="Times New Roman" w:hAnsi="Times New Roman"/>
          <w:sz w:val="20"/>
        </w:rPr>
      </w:pPr>
      <w:r>
        <w:rPr>
          <w:rFonts w:ascii="Times New Roman" w:hAnsi="Times New Roman"/>
          <w:sz w:val="20"/>
        </w:rPr>
        <w:t xml:space="preserve">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 million, of which $19.7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Business Combination, we became subject to the reporting requirements under the Securities Exchange Act of 1934, as amended, and listing standards of the Nasdaq Capital Market, which has and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 </w:t>
      </w:r>
    </w:p>
    <w:p>
      <w:pPr>
        <w:pStyle w:val="TextBody"/>
        <w:bidi w:val="0"/>
        <w:spacing w:before="240" w:after="0"/>
        <w:jc w:val="left"/>
        <w:rPr>
          <w:rFonts w:ascii="Times New Roman" w:hAnsi="Times New Roman"/>
          <w:sz w:val="20"/>
        </w:rPr>
      </w:pPr>
      <w:r>
        <w:rPr>
          <w:rFonts w:ascii="Times New Roman" w:hAnsi="Times New Roman"/>
          <w:sz w:val="20"/>
        </w:rPr>
        <w:t xml:space="preserve">Our future results of consolidated operations and financial position may not be comparable to historical results for a variety of reasons, including as a result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Macroeconomic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Unfavorable conditions in the economy in the United States and abroad may negatively affect the growth of our business and our results of operations. For example, macroeconomic events, including the continuing effects of the COVID-19 pandemic, rising inflation, the U.S. Federal Reserve raising interest rates, the Russia-Ukraine war, and recent bank failures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Part I “Item 1A. Risk Factors” in our Annual Report on Form 10-K for the year ended December 31, 2022, including the risk factor titled “Unstable market and economic conditions have had and may continue to have serious adverse consequences on our business, financial condition and share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World Health Organization has declared COVID-19 is no longer a global public emergency. Specifically, the COVID-19 pandemic has limited and could further limit the ability of suppliers and business partners to perform, including third-party suppliers’ ability to provide components, services and materials. We have experienced and may experience further increases in the cost of raw materials. Furthermore, we have experienced supply chain challenges, which we largely attribute to the COVID-19 pandemic and the general disruptions resulting from the ongoing conflict between Ukraine and Russia and related sanctions, as well as increases in costs of component parts, labor and raw materials, which we largely attribute to rising inflation and high demand as a result of restricted supply. We expect these increased costs to remain high from any resulting disruption to the Company’s operations post COVID-19 pandemic, the Ukraine-Russia conflict and as their respective effects persist. As global economic conditions recover from the COVID-19 pandemic, the Ukraine-Russia conflict and the related sanctions, business activity may not recover as quickly as anticipated, and it is not possible at this time to estimate the long-term impact that these and related events could have on our business, as the impact will depend on future developments, which are highly uncertain and cannot be predicted. For instance, product demand may be reduced due to an economic recession, a decrease in corporate capital expenditures, prolonged unemployment, rising inflation and interest rates, labor shortages, reduction in consumer confidence, adverse geopolitical and macroeconomic events, or any similar negative economic condition. In addition, global economic conditions have been worsening, with disruptions to, and volatility and uncertainty in, the credit and financial markets in the U.S. and worldwide resulting from the effects of COVID-19 and increases in inflation, interest rates and recent and potential future disruptions in access to bank deposits or lending commitments due to bank failures.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taking actions to monitor our operations to account for the increases in the cost of capital. Specifically, this includes efforts to enhance our operational efficiency, maximize our R&amp;D spend through strategic collaborations, and being highly selective in hiring top-tier talent. </w:t>
      </w:r>
    </w:p>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Operations—Three Months Ended March 31, 2023 Compared to Three months Ended March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results of operations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43"/>
        <w:gridCol w:w="120"/>
        <w:gridCol w:w="224"/>
        <w:gridCol w:w="1209"/>
        <w:gridCol w:w="247"/>
        <w:gridCol w:w="191"/>
        <w:gridCol w:w="224"/>
        <w:gridCol w:w="1212"/>
        <w:gridCol w:w="155"/>
        <w:gridCol w:w="120"/>
        <w:gridCol w:w="85"/>
        <w:gridCol w:w="910"/>
        <w:gridCol w:w="155"/>
        <w:gridCol w:w="120"/>
        <w:gridCol w:w="96"/>
        <w:gridCol w:w="1019"/>
        <w:gridCol w:w="175"/>
      </w:tblGrid>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94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 vs. 2022</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 except per share amounts)</w:t>
            </w:r>
          </w:p>
        </w:tc>
        <w:tc>
          <w:tcPr>
            <w:tcW w:w="12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2,201</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2,104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4.6</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510</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414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23.2</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1,691</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13,707</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13,927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(1.6</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518</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1,475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(64.9</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8,495</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11,560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(3,065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(26.5</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991</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100.0</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23,711</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26,962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(3,251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(12.1</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(22,020</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(25,272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12.9</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(1,464</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(1,205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21.5</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1,284</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1,284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100.0</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(873</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3,771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(4,644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(123.2</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liabilities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(281</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5,991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(6,272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(104.7</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100.0</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(1,334</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7,630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(8,964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(117.5</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before provision for income taxes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(23,354</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(17,642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(5,712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(32.4</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09"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single" w:sz="2" w:space="1" w:color="000000"/>
              </w:pBdr>
              <w:bidi w:val="0"/>
              <w:spacing w:before="0" w:after="0"/>
              <w:jc w:val="left"/>
              <w:rPr/>
            </w:pPr>
            <w:r>
              <w:rPr/>
              <w:t> </w:t>
            </w:r>
          </w:p>
        </w:tc>
        <w:tc>
          <w:tcPr>
            <w:tcW w:w="101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9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(23,354</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(17,642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(5,712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(32.4</w:t>
            </w:r>
          </w:p>
        </w:tc>
        <w:tc>
          <w:tcPr>
            <w:tcW w:w="175" w:type="dxa"/>
            <w:tcBorders/>
            <w:shd w:fill="CCEEFF" w:val="clear"/>
            <w:vAlign w:val="center"/>
          </w:tcPr>
          <w:p>
            <w:pPr>
              <w:pStyle w:val="TableContents"/>
              <w:bidi w:val="0"/>
              <w:spacing w:before="0" w:after="283"/>
              <w:jc w:val="left"/>
              <w:rPr/>
            </w:pPr>
            <w:r>
              <w:rPr/>
              <w:t>) </w:t>
            </w:r>
          </w:p>
        </w:tc>
      </w:tr>
      <w:tr>
        <w:trPr/>
        <w:tc>
          <w:tcPr>
            <w:tcW w:w="3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1209" w:type="dxa"/>
            <w:tcBorders/>
            <w:vAlign w:val="center"/>
          </w:tcPr>
          <w:p>
            <w:pPr>
              <w:pStyle w:val="TableContents"/>
              <w:pBdr>
                <w:top w:val="double" w:sz="6"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121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double" w:sz="6" w:space="1" w:color="000000"/>
              </w:pBdr>
              <w:bidi w:val="0"/>
              <w:spacing w:before="0" w:after="0"/>
              <w:jc w:val="left"/>
              <w:rPr/>
            </w:pPr>
            <w:r>
              <w:rPr/>
              <w:t> </w:t>
            </w:r>
          </w:p>
        </w:tc>
        <w:tc>
          <w:tcPr>
            <w:tcW w:w="91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pBdr>
                <w:top w:val="double" w:sz="6" w:space="1" w:color="000000"/>
              </w:pBdr>
              <w:bidi w:val="0"/>
              <w:spacing w:before="0" w:after="0"/>
              <w:jc w:val="left"/>
              <w:rPr/>
            </w:pPr>
            <w:r>
              <w:rPr/>
              <w:t> </w:t>
            </w:r>
          </w:p>
        </w:tc>
        <w:tc>
          <w:tcPr>
            <w:tcW w:w="1019" w:type="dxa"/>
            <w:tcBorders/>
            <w:vAlign w:val="center"/>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through our development contracts, as well as from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 </w:t>
      </w:r>
    </w:p>
    <w:p>
      <w:pPr>
        <w:pStyle w:val="TextBody"/>
        <w:bidi w:val="0"/>
        <w:spacing w:before="160" w:after="0"/>
        <w:jc w:val="left"/>
        <w:rPr>
          <w:rFonts w:ascii="Times New Roman" w:hAnsi="Times New Roman"/>
          <w:sz w:val="20"/>
        </w:rPr>
      </w:pPr>
      <w:r>
        <w:rPr>
          <w:rFonts w:ascii="Times New Roman" w:hAnsi="Times New Roman"/>
          <w:sz w:val="20"/>
        </w:rPr>
        <w:t xml:space="preserve">Revenue increased by $0.1 million, or 4.6%, to $2.2 million in the three months ended March 31, 2023, from $2.1 million in the three months ended March 31, 2022. The increase was inconsequential and reflects typical variability in the timing of revenue recognition from development contracts. </w:t>
      </w:r>
    </w:p>
    <w:p>
      <w:pPr>
        <w:pStyle w:val="TextBody"/>
        <w:bidi w:val="0"/>
        <w:spacing w:before="160" w:after="0"/>
        <w:jc w:val="left"/>
        <w:rPr>
          <w:rFonts w:ascii="Times New Roman" w:hAnsi="Times New Roman"/>
          <w:sz w:val="20"/>
        </w:rPr>
      </w:pPr>
      <w:r>
        <w:rPr>
          <w:rFonts w:ascii="Times New Roman" w:hAnsi="Times New Roman"/>
          <w:sz w:val="20"/>
        </w:rPr>
        <w:t xml:space="preserve">For the next few years, we expect the majority of our revenue to be generated from development contracts. Our development contracts are typically fixed price milestone or cost share-based contracts and the timing and amounts of revenue recognized in any given quarter will vary significantly based on the delivery of the associated milestones and/or the work performed. Revenue from these contracts is expected to vary in terms of timing and size, resulting in significant quarter-to-quarter fluctuations in revenue levels. There may be some near-term reduction in revenue as we align to our updated strategy announced in February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cost associated with development contracts and providing QCaaS offerings and other services, including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 increased by $0.1 million, or 23.2%, to $0.5 million in the three months ended March 31, 2023, from $0.4 million in the three months ended March 31, 2022. The increase was inconsequential and was mainly due to the associated $0.1 increase in revenue in the three months ended March 31, 2023. Cost revenue and gross margins can vary significantly from quarter-to-quarter due to significant variability in the pricing and terms of our development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expenses primarily consist of research and development, sales and marketing and general and administrative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decreased by $0.2 million, or 1.6%, to $13.7 million in the three months ended March 31, 2023, from $13.9 million in the three months ended March 31, 2022. Increases in the three months ended March 31, 2023 for employee wages and benefits related to new employees of $1.2 million, depreciation of $0.6 million, facility costs of $0.2 million, and contractual executive severance costs of $0.3 million, were more than offset by a decrease in electricity expenses of $1.3 million, stock compensation costs of $0.8 million and material costs for research projects of $0.4 million. In the three months ended March 31, 2022, we recognized a $1.3 million out-of-period adjustment for electrical utility fees and $1.6 million of cumulative deferred stock compensation expense related to the satisfaction of a liquidity condition because of the closing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Current R&amp;D expenditures are primarily focused on our technology roadmap and long-term goal of achieving broad quantum advantage.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expenses consist primarily of compensation including stock-based compensation, employee benefits, outside consultant’s fees, travel and marketing promotion costs. </w:t>
      </w:r>
    </w:p>
    <w:p>
      <w:pPr>
        <w:pStyle w:val="TextBody"/>
        <w:bidi w:val="0"/>
        <w:spacing w:before="240" w:after="0"/>
        <w:jc w:val="left"/>
        <w:rPr>
          <w:rFonts w:ascii="Times New Roman" w:hAnsi="Times New Roman"/>
          <w:sz w:val="20"/>
        </w:rPr>
      </w:pPr>
      <w:r>
        <w:rPr>
          <w:rFonts w:ascii="Times New Roman" w:hAnsi="Times New Roman"/>
          <w:sz w:val="20"/>
        </w:rPr>
        <w:t xml:space="preserve">Sales and marketing expenses decreased by $1.0 million, or 64.9%, to $0.5 million in the three months ended March 31, 2023, from $1.5 million in the three months ended March 31, 2022. The decrease was due to lower employee wages and benefits of $0.4 million related to our restructuring in February 2023, when compared to the three months ended March 31, 2022, and a $0.9 reduction in stock compensation costs related to recognition of cumulative deferred stock compensation expense in March 2022 because of the closing of the Business Combination. These decreases were partially offset by contractual executive severance costs of $0.3 million. We reduced sales and marketing headcount in February 2023 in connection with our updated business strategy and nearer term focus on our technology roadmap. We expect selling and marketing expenses to increase over the longer term, after we achieve quantum advantage, and subsequently enhance our service offerings, expand our customer base, and implement new marketing strategies.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include compensation, employee benefits, stock-based compensation, insurance, facility costs, professional service fees, and other general overhead costs other than those associated with providing development contracts, QCaaS offerings and other services.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decreased by $3.1 million, or 26.5%, to $8.5 million in the three months ended March 31, 2023, from $11.6 million in the three months ended March 31, 2022. The decrease was primarily due to a reduction in stock-based compensation costs of $8.0 million and bonus expenses of $1.8 million, partly offset by a $4.0 million unfavorable change in the fair value of the Ampere Forward Warrant Agreement, higher costs for professional fees and insurance totaling $1.6 million, a $0.7 million impairment charge for deferred offering costs, and contractual executive severance costs of $0.3 million. The decline in stock-based compensation costs and bonus expenses in the three months ended March 31, 2023, when compared to the three months ended March 31, 2022, reflect the fact that we recognized $6.9 million of previously deferred stock-based compensation expenses and $2.1 million of transaction bonuses in connection with the closing of the Business Combination in March 2022. The higher costs for professional fees and insurance in the three months ended March 31, 2023 are related to being a public company for the entirety of the first quarter of 2023, compared to only one month in the first quarter of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Restructuring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2023, we announced an updated business strategy, including revisions to the Company’s technology roadmap. In connection with this updated strategy, the Company implemented a workforce reduction in order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began implementing activities with respect to the revised business plan, updated technology roadmap and reduction in workforce in February 2023, resulting in a $1.0 million restructuring charge in the three months ended March 31, 2023. The Company currently expects that the remaining balance in its restructuring accrual at March 31, 2023 will be paid by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Other income and (expense), net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Our outstanding debt carries a variable rate of interest. Interest expense increased by $0.3 million to $1.5 million in the three months ended March 31, 2023, from $1.2 million in the three months ended March 31, 2022. We paid a higher rate of interest on our debt in 2023 due to the increases in the prime interest rate that occurred throughout 2022.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$1.3 million in the three months ended March 31, 2023. We did not have any interest income in the three months ended March 31, 2022. The increase in interest income is due to higher rates of interest earned on available-for-sale securities and higher average invested balances, given that the Business Combination and PIPE financing closed on March 2, 2022.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the change in the fair value of warranty liabilities is included in Note 12 to our condensed consolidated financial statements for the three months ended March 31, 2023, included elsewhere in this Quarterly Report on Form 10-Q. The change in fair value of warrant liabilities was an expense of $0.9 million in the three months ended March 31, 2023, compared to income of $3.8 million in the three months ended March 31, 2022.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Fair Value of Earn-Out Liability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the change in the fair value of the earn-out liability is included in Note 4 to our condensed consolidated financial statements for the three months ending March 31, 2023, included elsewhere in this Quarterly Report on Form 10-Q. The change in fair value of our earn-out liability in the three months ended March 31, 2023 was an expense of $0.3 million, compared to income $6.0 million in the three months ended March 31, 2022.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allocated to liability-classified instruments must be expensed as incurred. Changes in these instruments are subsequently measured at fair value through earnings. In the three months ending March 31, 2022, transaction costs allocated to liability-classified instruments arising from the Business Combination totaled $0.9 million. No transaction costs were incurred in the three months ending March 31, 2023.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 The Company did not record income tax expense for the three months ended March 31, 2023 or the three months ended March 31, 2022 due to the Company’s loss position and full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net losses since inception and negative cash flows from operations. Prior to the Business Combination, we financed our operations primarily through the issuance of preferred stock, warrants, convertible notes, venture backed debt and revenues. During the year ended December 31, 2022 and the three months ended March 31, 2023, we incurred net losses of $71.5 million and $23.4 million, respectively. As of March 31, 2023, we had an accumulated deficit of $302.0 million, and we expect to incur additional losses for the foreseeable future. In connection with the closing of the Business Combination on March 2, 2022, we received net proceeds of $225.6 million. We believe that our existing balances of cash, cash equivalents and available-for-sale investments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sufficient to meet our anticipated operating cash needs for at least the next 12 months, based on our current business plan, and expectations and assumptions considering current macroeconomic conditions. Based on our estimates and current business plan, we expect that we will need to obtain additional capital by late 2024 or early 2025 to continue our research and development efforts and achieve our business objectives. We cannot be sure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under Part I “Item 1A. Risk Factors” in our Annual Report on Form 10-K for the year ended December 31, 2022 and elsewhere in this Quarterly Report on Form 10-Q. Global economic conditions have been worsening, with disruptions to, and volatility in, the credit and financial markets in the U.S. and worldwide resulting from the continuing effects of the COVID-19 pandemic, disruptions in the banking system, international conflicts and otherwise.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A recession or additional market corrections resulting from the impact of the continuing effects of the COVID-19 pandemic, disruptions in the banking system, and macroeconomic conditions could materially affect our business and the value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short-term cash requirements include capital expenditures for materials and components for research and development and quantum computing fridges; working capital requirements; and strategic collaborative arrangements and investments. </w:t>
      </w:r>
    </w:p>
    <w:p>
      <w:pPr>
        <w:pStyle w:val="TextBody"/>
        <w:bidi w:val="0"/>
        <w:spacing w:before="120" w:after="0"/>
        <w:jc w:val="left"/>
        <w:rPr>
          <w:rFonts w:ascii="Times New Roman" w:hAnsi="Times New Roman"/>
          <w:sz w:val="20"/>
        </w:rPr>
      </w:pPr>
      <w:r>
        <w:rPr>
          <w:rFonts w:ascii="Times New Roman" w:hAnsi="Times New Roman"/>
          <w:sz w:val="20"/>
        </w:rPr>
        <w:t xml:space="preserve">Our long-term requirements include expenditures for expansion of our quantum chip fabrication facility; planned development of multiple generations of quantum processors; and anticipated additional investments to scale our QCaaS offering. </w:t>
      </w:r>
    </w:p>
    <w:p>
      <w:pPr>
        <w:pStyle w:val="TextBody"/>
        <w:bidi w:val="0"/>
        <w:spacing w:before="120" w:after="0"/>
        <w:jc w:val="left"/>
        <w:rPr>
          <w:rFonts w:ascii="Times New Roman" w:hAnsi="Times New Roman"/>
          <w:sz w:val="20"/>
        </w:rPr>
      </w:pPr>
      <w:r>
        <w:rPr>
          <w:rFonts w:ascii="Times New Roman" w:hAnsi="Times New Roman"/>
          <w:sz w:val="20"/>
        </w:rPr>
        <w:t xml:space="preserve">We will require a significant amount of cash for expenditures as we invest in ongoing research and development and business operations. Until such time as we can generate significant revenue from sales of our development contracts and other services, including our QCaaS offering, we expect to finance our cash needs primarily through our existing cash, cash equivalents and available-for-sale investments on hand, our committed equity financing with B. Riley (subject to the price of our Common Stock trading above $1.00 as described below), and other potential securities financings or other capital sources, including development contract revenue with government agencies and strategic partnerships. To the extent that we raise additional capital through the sale of equity or convertible debt securities, including through the use of our committed equity financing with B. Riley,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2022, and elsewhere in this Quarterly Report on Form 10-Q. </w:t>
      </w:r>
    </w:p>
    <w:p>
      <w:pPr>
        <w:pStyle w:val="TextBody"/>
        <w:bidi w:val="0"/>
        <w:spacing w:before="120" w:after="0"/>
        <w:jc w:val="left"/>
        <w:rPr>
          <w:rFonts w:ascii="Times New Roman" w:hAnsi="Times New Roman"/>
          <w:sz w:val="20"/>
        </w:rPr>
      </w:pPr>
      <w:r>
        <w:rPr>
          <w:rFonts w:ascii="Times New Roman" w:hAnsi="Times New Roman"/>
          <w:sz w:val="20"/>
        </w:rPr>
        <w:t xml:space="preserve">In addition, actual sales, if any, of shares of our Common Stock to B. Riley pursuant to the committed equity financing will depend on a variety of factors to be determined by us from time to time, including, among other things, market conditions, the trading price of our Common Stock (including the condition that the price of our Common Stock is trading above $1.00) and determinations by us as to appropriate sources of funding for our business and operations. We cannot guarantee the extent to which we may utilize the committed equity financing. </w:t>
      </w:r>
    </w:p>
    <w:p>
      <w:pPr>
        <w:pStyle w:val="TextBody"/>
        <w:bidi w:val="0"/>
        <w:spacing w:before="240" w:after="0"/>
        <w:jc w:val="left"/>
        <w:rPr>
          <w:rFonts w:ascii="Times New Roman" w:hAnsi="Times New Roman"/>
          <w:b/>
          <w:sz w:val="20"/>
        </w:rPr>
      </w:pPr>
      <w:r>
        <w:rPr>
          <w:rFonts w:ascii="Times New Roman" w:hAnsi="Times New Roman"/>
          <w:b/>
          <w:sz w:val="20"/>
        </w:rPr>
        <w:t xml:space="preserve">Loan and 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In January 2022, we entered into the Third Amendment to the Loan Agreement with Trinity to increase the debt commitment by $5.0 million to $32.0 million thereunder. The amendment allowed us to draw an additional $5.0 million immediately with an additional $8.0 million to be drawn at the sole discretion of the lender. We drew the additional $5.0 million upon signing the amendment. The Third Amendment also included an extension of the requirement to raise an additional $75.0 million of equity which was satisfied through the Business Combination and a defined exit fee for the additional $5.0 million to be at 20% of the advanced funds under the Third Amendment. In conjunction with the amendment, we also guaranteed payment of all monetary amounts owed and performance of all covenants, obligations and liabilities. As of March 31, 2023, the total principal amount outstanding under the Loan Agreement was $28.9 million. We use borrowings under the Loan Agreement for working capital purposes. The Loan Agreement is secured by a first-priority security interest in substantially all of our assets. As of the date of this Quarterly Report on Form 10-Q, we are in compliance with all covenants under the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Our cash commitments at March 31, 2023 were primarily as follows: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3950"/>
        <w:gridCol w:w="120"/>
        <w:gridCol w:w="140"/>
        <w:gridCol w:w="680"/>
        <w:gridCol w:w="60"/>
        <w:gridCol w:w="120"/>
        <w:gridCol w:w="195"/>
        <w:gridCol w:w="950"/>
        <w:gridCol w:w="60"/>
        <w:gridCol w:w="120"/>
        <w:gridCol w:w="190"/>
        <w:gridCol w:w="925"/>
        <w:gridCol w:w="75"/>
      </w:tblGrid>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Short-term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Long-term</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10,819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18,092</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interest on financing obligations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2,158</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2,284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7,545</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9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pBdr>
                <w:top w:val="single" w:sz="2" w:space="1" w:color="000000"/>
              </w:pBdr>
              <w:bidi w:val="0"/>
              <w:spacing w:before="0" w:after="0"/>
              <w:jc w:val="left"/>
              <w:rPr/>
            </w:pPr>
            <w:r>
              <w:rPr/>
              <w:t> </w:t>
            </w:r>
          </w:p>
        </w:tc>
        <w:tc>
          <w:tcPr>
            <w:tcW w:w="92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44,729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16,934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27,795</w:t>
            </w:r>
          </w:p>
        </w:tc>
        <w:tc>
          <w:tcPr>
            <w:tcW w:w="7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95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pBdr>
                <w:top w:val="double" w:sz="6" w:space="1" w:color="000000"/>
              </w:pBdr>
              <w:bidi w:val="0"/>
              <w:spacing w:before="0" w:after="0"/>
              <w:jc w:val="left"/>
              <w:rPr/>
            </w:pPr>
            <w:r>
              <w:rPr/>
              <w:t> </w:t>
            </w:r>
          </w:p>
        </w:tc>
        <w:tc>
          <w:tcPr>
            <w:tcW w:w="92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Financing obligations consist of payments related to the Loan and Security Agreement. Operating lease obligations consist of obligations under non-cancelable operating leases for our offices and facilities.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cash flows from operating activities are significantly affected by our ability to achieve significant growth to offset expenditures related to research and development, sales and marketing, and general and administrative activities. Our operating cash flows are also affected by our working capital needs to support growth in personnel-related expenditures and fluctuations in accounts payable and other current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three months ended March 31, 2023 was $15.5 million, resulting primarily from our net loss of $23.4 million, adjusted for non-cash charges of $7.1 million. These non-cash charges were partially offset by adjustments for changes in operating assets and liabilities. Changes in operating assets and liabilities providing cash totaled $0.8 million, which primarily consisted of a decrease in accounts receivable of $0.9 million and a decrease in prepaid and other current assets of $0.7 million, offset in party by a decrease in accounts payable, accrued expenses and other current liabilities of $0.5 million and a decrease in deferred revenue of $0.4 million. The decrease in accounts receivable was due to higher sales in the fourth quarter of 2022, with collection of the related receivables in the first quarter of 2023. The decrease in prepaid expenses and other current assets was mainly due to recognition of previously paid premiums for Directors and Officers insurance. The decrease in accounts payable, accrued expenses and other liabilities was mainly due to slightly higher payments to vendors and payment of monthly rentals for operating lease liabilities. The decrease in deferred revenue was due to a decrease in prepayment by customers for goods or services that were yet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three months ended March 31, 2022 was $15.7 million, resulting primarily from our net loss of $17.6 million, adjusted for non-cash charges of $0.5 million. These non-cash charges were partially offset by adjustments for changes in operating assets and liabilities. Changes in operating assets and liabilities were $1.5 million, which primarily consisted of a decrease in accounts receivable of $0.3 million, an increase in prepaid and current assets of $3.1 million, an increase in accounts payable, accrued expenses and other current liabilities of $5.6 million, an increase in other assets of $0.9 million, and a decrease in deferred revenue of $0.5 million. The increase in prepaid expenses and other current assets was due to advance payment for goods or services that were expected to be recognized or realized within 12 months of March 31, 2022. The increase in accounts payable, accrued expenses and other liabilities was due to increased operating expenses in the three months ended March 31, 2022. The decrease in deferred revenue was due to a decrease in prepayment by customers for goods or services that were yet to be delivered, and the increase in accounts receivable was due to the timing of customer invoicing and payments. </w:t>
      </w:r>
    </w:p>
    <w:p>
      <w:pPr>
        <w:pStyle w:val="TextBody"/>
        <w:bidi w:val="0"/>
        <w:spacing w:before="240" w:after="0"/>
        <w:jc w:val="left"/>
        <w:rPr>
          <w:rFonts w:ascii="Times New Roman" w:hAnsi="Times New Roman"/>
          <w:sz w:val="20"/>
        </w:rPr>
      </w:pPr>
      <w:r>
        <w:rPr>
          <w:rFonts w:ascii="Times New Roman" w:hAnsi="Times New Roman"/>
          <w:sz w:val="20"/>
        </w:rPr>
        <w:t xml:space="preserve">Cash used in operating activities was reduced by $0.2 million to $15.5 million in the three months ended March 31, 2023 from $15.7 million in the three months ended March 31, 2022. Our net loss from operations increased by $5.7 million to $23.4 million in the three months ended March 31, 2023 from $17.6 million in the three months ended March 31, 2022. Non-cash charges favorably impacting our net loss from operations as reflected in the accompanying interim condensed consolidated statement of cash flows increased by $6.6 million to $7.1 million in the three months ended March 31, 2023, from $0.5 million in the three months ended March 31 2022. Changes in working capital favorably impacting cash used by operations declined by $0.7 million to $0.8 million in the three months ended March 31, 2023, from $1.5 million in the three months ended March 31, 2022.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investing activities during the three months ended March 31, 2023 totaled $15.0 million, resulting from $4.8 million of additions to property and equipment, and purchases of available for sale securities, net of maturities, totaling $10.2 million. Investments in property and equipment during this period primarily relate to quantum computing equipment and leasehold improvements for our chip fabrication facility. </w:t>
      </w:r>
    </w:p>
    <w:p>
      <w:pPr>
        <w:pStyle w:val="TextBody"/>
        <w:bidi w:val="0"/>
        <w:spacing w:before="240" w:after="0"/>
        <w:jc w:val="left"/>
        <w:rPr>
          <w:rFonts w:ascii="Times New Roman" w:hAnsi="Times New Roman"/>
          <w:sz w:val="20"/>
        </w:rPr>
      </w:pPr>
      <w:r>
        <w:rPr>
          <w:rFonts w:ascii="Times New Roman" w:hAnsi="Times New Roman"/>
          <w:sz w:val="20"/>
        </w:rPr>
        <w:t xml:space="preserve">Cash used in investing activities during the three months ended March 31, 2022 was $2.8 million, resulting solely from additions to property and equipment. Investments in property and equipment during this period relate primarily to process computing equipment, quantum computing equipment and development tools for our chip fabrication facility.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the three months ended March 31, 2023 increased by $12.2 million when compared to the three months ended March 31, 2022, mainly due to increased purchases of property and equipment and available for sale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Used in or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financing activities during the three months ended March 31, 2023 totaled $1.2 million, reflecting $1.8 million of principal payments under the Loan Agreement and payments of $0.1 million for deferred financing costs, offset in part by proceeds from the exercise of stock options and warrants totaling $0.8 million. </w:t>
      </w:r>
    </w:p>
    <w:p>
      <w:pPr>
        <w:pStyle w:val="TextBody"/>
        <w:bidi w:val="0"/>
        <w:spacing w:before="240" w:after="0"/>
        <w:jc w:val="left"/>
        <w:rPr>
          <w:rFonts w:ascii="Times New Roman" w:hAnsi="Times New Roman"/>
          <w:sz w:val="20"/>
        </w:rPr>
      </w:pPr>
      <w:r>
        <w:rPr>
          <w:rFonts w:ascii="Times New Roman" w:hAnsi="Times New Roman"/>
          <w:sz w:val="20"/>
        </w:rPr>
        <w:t xml:space="preserve">Cash provided by financing activities during the three months ended March 31, 2022 totaled $213.4 million, reflecting $225.2 million of proceeds from the Business Combination and PIPE Investment, net of transaction costs ,and offset by Rigetti transaction costs of $16.7 million, additional proceeds from the issuance of debt and warrants of $5.0 million associated with the third amendment to the Loan Agreement, less debt issuance costs and exit fees totaling $1.0 million, and proceeds from the exercise of stock options and warrants totaling $0.6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three months ended March 31, 2023 decreased by $214.6 million when compared to three months ended March 31, 2022, largely from the close of the Business Combination and PIPE Investment net of transaction costs, and additional proceeds from the issuance of debt and warrants during the three months ended March 31, 2022. We expect to continue to finance our cash needs primarily through cash, cash equivalents and available-for-sale investments on hand, our committed equity financing with B. Riley (subject to the price of our Common Stock trading above $1.00), and other potential securities financings or capital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Management’s Discussion and Analysis of Financial Condition and Results of Operations is based on our consolidated financial statements included in this Quarterly Report on Form 10-Q, which have been prepared in accordance with U.S. GAAP. 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w:t>
      </w:r>
    </w:p>
    <w:p>
      <w:pPr>
        <w:pStyle w:val="TextBody"/>
        <w:bidi w:val="0"/>
        <w:spacing w:before="160" w:after="0"/>
        <w:jc w:val="left"/>
        <w:rPr>
          <w:rFonts w:ascii="Times New Roman" w:hAnsi="Times New Roman"/>
          <w:sz w:val="20"/>
        </w:rPr>
      </w:pPr>
      <w:r>
        <w:rPr>
          <w:rFonts w:ascii="Times New Roman" w:hAnsi="Times New Roman"/>
          <w:sz w:val="20"/>
        </w:rPr>
        <w:t xml:space="preserve">While our significant accounting policies are described in the Notes to our consolidated financial statements included in our Annual Report on Form 10-K for the year ended December 31, 2022, we believe the following critical accounting policies and estimates are most important to understanding and evaluating our reported financial results. </w:t>
      </w:r>
    </w:p>
    <w:p>
      <w:pPr>
        <w:pStyle w:val="TextBody"/>
        <w:bidi w:val="0"/>
        <w:spacing w:before="240" w:after="0"/>
        <w:jc w:val="left"/>
        <w:rPr>
          <w:rFonts w:ascii="Times New Roman" w:hAnsi="Times New Roman"/>
          <w:b/>
          <w:sz w:val="20"/>
        </w:rPr>
      </w:pPr>
      <w:r>
        <w:rPr>
          <w:rFonts w:ascii="Times New Roman" w:hAnsi="Times New Roman"/>
          <w:b/>
          <w:sz w:val="20"/>
        </w:rPr>
        <w:t xml:space="preserve">Public and Private Warrants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Business Combination, Supernova issued 4,450,000 private placement warrants (“Private Warrants”) and 8,625,000 public warrants (“Public Warrants” and collectively, “Warrants”). Each whole warrant entitles the holder to purchase one share of our Common Stock at a price of $11.50 per share, subject to adjustments and will expire five years after the Merger or earlier upon redemption or liquidation. </w:t>
      </w:r>
    </w:p>
    <w:p>
      <w:pPr>
        <w:pStyle w:val="TextBody"/>
        <w:bidi w:val="0"/>
        <w:spacing w:before="160" w:after="0"/>
        <w:jc w:val="left"/>
        <w:rPr>
          <w:rFonts w:ascii="Times New Roman" w:hAnsi="Times New Roman"/>
          <w:sz w:val="20"/>
        </w:rPr>
      </w:pPr>
      <w:r>
        <w:rPr>
          <w:rFonts w:ascii="Times New Roman" w:hAnsi="Times New Roman"/>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in the consolidated balance sheet at fair value upon the closing of the Business Combination, with subsequent changes in the fair value recognized in the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 </w:t>
      </w:r>
    </w:p>
    <w:p>
      <w:pPr>
        <w:pStyle w:val="TextBody"/>
        <w:bidi w:val="0"/>
        <w:spacing w:before="160" w:after="0"/>
        <w:jc w:val="left"/>
        <w:rPr>
          <w:rFonts w:ascii="Times New Roman" w:hAnsi="Times New Roman"/>
          <w:sz w:val="20"/>
        </w:rPr>
      </w:pPr>
      <w:r>
        <w:rPr>
          <w:rFonts w:ascii="Times New Roman" w:hAnsi="Times New Roman"/>
          <w:sz w:val="20"/>
        </w:rPr>
        <w:t xml:space="preserve">Subsequent to the separate listing and trading of the Public Warrants, the fair value of the Public Warrants has been measured based on the observable listed prices for such warrants and the fair value of the Private Warrants are measured using a Monte Carlo Pricing Model. </w:t>
      </w:r>
    </w:p>
    <w:p>
      <w:pPr>
        <w:pStyle w:val="TextBody"/>
        <w:bidi w:val="0"/>
        <w:spacing w:before="160" w:after="0"/>
        <w:jc w:val="left"/>
        <w:rPr>
          <w:rFonts w:ascii="Times New Roman" w:hAnsi="Times New Roman"/>
          <w:sz w:val="20"/>
        </w:rPr>
      </w:pPr>
      <w:r>
        <w:rPr>
          <w:rFonts w:ascii="Times New Roman" w:hAnsi="Times New Roman"/>
          <w:sz w:val="20"/>
        </w:rPr>
        <w:t xml:space="preserve">On the consummation of the Business Combination, we recorded a liability related to the Private Warrants of $9.6 million, with an offsetting entry to additional paid-in capital. As of March 31, 2023, the fair value of the Private Warrants decreased to $1.7 million, with the change in fair value of the derivative warrant liabilities recorded in the consolidated statements of operations each reporting period. </w:t>
      </w:r>
    </w:p>
    <w:p>
      <w:pPr>
        <w:pStyle w:val="TextBody"/>
        <w:bidi w:val="0"/>
        <w:spacing w:before="160" w:after="0"/>
        <w:jc w:val="left"/>
        <w:rPr>
          <w:rFonts w:ascii="Times New Roman" w:hAnsi="Times New Roman"/>
          <w:sz w:val="20"/>
        </w:rPr>
      </w:pPr>
      <w:r>
        <w:rPr>
          <w:rFonts w:ascii="Times New Roman" w:hAnsi="Times New Roman"/>
          <w:sz w:val="20"/>
        </w:rPr>
        <w:t xml:space="preserve">Similarly, on the consummation of the Business Combination, we recorded a liability related to the Public Warrants of $16.3 million, with an offsetting entry to additional paid-in capital. As of March 31, 2023, the fair value of the Public Warrants decreased to $0.9 million with the change in fair value of derivative warrant liabilities recorded in the consolidated statements of operations each reporting period. </w:t>
      </w:r>
    </w:p>
    <w:p>
      <w:pPr>
        <w:pStyle w:val="TextBody"/>
        <w:bidi w:val="0"/>
        <w:spacing w:before="240" w:after="0"/>
        <w:jc w:val="left"/>
        <w:rPr>
          <w:rFonts w:ascii="Times New Roman" w:hAnsi="Times New Roman"/>
          <w:b/>
          <w:sz w:val="20"/>
        </w:rPr>
      </w:pPr>
      <w:r>
        <w:rPr>
          <w:rFonts w:ascii="Times New Roman" w:hAnsi="Times New Roman"/>
          <w:b/>
          <w:sz w:val="20"/>
        </w:rPr>
        <w:t xml:space="preserve">Other Derivative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 date. </w:t>
      </w:r>
    </w:p>
    <w:p>
      <w:pPr>
        <w:pStyle w:val="TextBody"/>
        <w:bidi w:val="0"/>
        <w:spacing w:before="160" w:after="0"/>
        <w:jc w:val="left"/>
        <w:rPr>
          <w:rFonts w:ascii="Times New Roman" w:hAnsi="Times New Roman"/>
          <w:sz w:val="20"/>
        </w:rPr>
      </w:pPr>
      <w:r>
        <w:rPr>
          <w:rFonts w:ascii="Times New Roman" w:hAnsi="Times New Roman"/>
          <w:sz w:val="20"/>
        </w:rPr>
        <w:t xml:space="preserve">Other than the Public Warrants and Private Warrants noted above, we also issued a total of 783,129 Common Stock warrants in conjunction with the Loan Agreement in 2021. Such derivative warrant liabilities are classified as non-current as their liquidation is not reasonably expected to require the use of current assets or require the creation of current liabilities. We utilized the Black-Scholes model to determine the inception date fair value of the warrants of approximately $2.7 million which was recorded as part of Debt Issuance Cost. The outstanding Common Stock warrants were subsequently remeasured at each reporting period using the Black-Scholes model with the change in fair value recorded as a component of other income in the Company’s consolidated statements of operations. </w:t>
      </w:r>
    </w:p>
    <w:p>
      <w:pPr>
        <w:pStyle w:val="TextBody"/>
        <w:bidi w:val="0"/>
        <w:spacing w:before="160" w:after="0"/>
        <w:jc w:val="left"/>
        <w:rPr>
          <w:rFonts w:ascii="Times New Roman" w:hAnsi="Times New Roman"/>
          <w:sz w:val="20"/>
        </w:rPr>
      </w:pPr>
      <w:r>
        <w:rPr>
          <w:rFonts w:ascii="Times New Roman" w:hAnsi="Times New Roman"/>
          <w:sz w:val="20"/>
        </w:rPr>
        <w:t xml:space="preserve">On June 2, 2022, the 783,129 Common Stock warrants that were issued in connection with the Loan Agreement were exercised and the $6.4 million warrant liability was reclassified to equity. We recorded a loss of $2.0 million from the change in the fair value of the warrant liability for the year ended December 31, 2022. </w:t>
      </w:r>
    </w:p>
    <w:p>
      <w:pPr>
        <w:pStyle w:val="TextBody"/>
        <w:bidi w:val="0"/>
        <w:spacing w:before="240" w:after="0"/>
        <w:jc w:val="left"/>
        <w:rPr>
          <w:rFonts w:ascii="Times New Roman" w:hAnsi="Times New Roman"/>
          <w:b/>
          <w:sz w:val="20"/>
        </w:rPr>
      </w:pPr>
      <w:r>
        <w:rPr>
          <w:rFonts w:ascii="Times New Roman" w:hAnsi="Times New Roman"/>
          <w:b/>
          <w:sz w:val="20"/>
        </w:rPr>
        <w:t xml:space="preserve">Earn-Out Liability </w:t>
      </w:r>
    </w:p>
    <w:p>
      <w:pPr>
        <w:pStyle w:val="TextBody"/>
        <w:bidi w:val="0"/>
        <w:spacing w:before="120" w:after="0"/>
        <w:jc w:val="left"/>
        <w:rPr>
          <w:rFonts w:ascii="Times New Roman" w:hAnsi="Times New Roman"/>
          <w:sz w:val="20"/>
        </w:rPr>
      </w:pPr>
      <w:r>
        <w:rPr>
          <w:rFonts w:ascii="Times New Roman" w:hAnsi="Times New Roman"/>
          <w:sz w:val="20"/>
        </w:rPr>
        <w:t xml:space="preserve">At Business Combination Closing, Supernova Sponsor subjected certain shares (“Sponsor Vesting Shares”) of Common Stock held by Supernova Sponsor and its permitted transferees (the “Sponsor Holders”) to forfeiture and vesting as of the Closing if thresholds related to the weighted average price of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will be forfeited.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Sponsor Vesting Shares are accounted for as liability classified instruments because the Earn-Out Triggering Events that determine the number of Sponsor Vesting Shares to be earned back by the Sponsor Holders include outcomes that are not solely indexed to our Common Stock. The aggregate fair value of the Sponsor Vesting Shares at the time of the Business Combination Closing was estimated using a Monte Carlo simulation model and was determined to be $20.4 million.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2023, the Earn-Out Triggering Events were not achieved for any of the tranches, and as such, the Company adjusted the carrying amount of the liability to its estimated fair value of $1.5 million with the change in fair value of the earn-out liability recorded in the consolidated statements of operations each reporting period. </w:t>
      </w:r>
    </w:p>
    <w:p>
      <w:pPr>
        <w:pStyle w:val="TextBody"/>
        <w:bidi w:val="0"/>
        <w:spacing w:before="240" w:after="0"/>
        <w:jc w:val="left"/>
        <w:rPr>
          <w:rFonts w:ascii="Times New Roman" w:hAnsi="Times New Roman"/>
          <w:b/>
          <w:sz w:val="20"/>
        </w:rPr>
      </w:pPr>
      <w:r>
        <w:rPr>
          <w:rFonts w:ascii="Times New Roman" w:hAnsi="Times New Roman"/>
          <w:b/>
          <w:sz w:val="20"/>
        </w:rPr>
        <w:t xml:space="preserve">Forward Warrant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 </w:t>
      </w:r>
    </w:p>
    <w:p>
      <w:pPr>
        <w:pStyle w:val="TextBody"/>
        <w:bidi w:val="0"/>
        <w:spacing w:before="120" w:after="0"/>
        <w:jc w:val="left"/>
        <w:rPr>
          <w:rFonts w:ascii="Times New Roman" w:hAnsi="Times New Roman"/>
          <w:sz w:val="20"/>
        </w:rPr>
      </w:pPr>
      <w:r>
        <w:rPr>
          <w:rFonts w:ascii="Times New Roman" w:hAnsi="Times New Roman"/>
          <w:sz w:val="20"/>
        </w:rPr>
        <w:t xml:space="preserve">On June 30, 2022, pursuant to the Forward Warrant Agreement, we issued the warrant to Ampere upon receipt of an aggregate of $5.0 million (including the exercise price), and upon such payment and issuance, 500,000 shares of our Common Stock vested under the warrant and were immediately exercised by Ampere pursuant to the terms of the warrant. Ampere is required to pay an additional $5.0 million to us no later than the closing date of the listing of Ampere’s capital stock on a stock exchange, provided that if the listing has not occurred by the second anniversary of the Forward Warrant Agreement, Ampere is not obligated to make the additional payment and we are not obligated to issue the remaining shares underlying the warrants. The Forward Warrant Agreement further provides that we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 We filed such registration statement, and it became effective in the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We evaluated the Forward Warrant Agreement as a derivative in accordance with the guidance of ASC 480, “Distinguishing Liabilities from Equity”. We calculated the fair value of the Forward Warrant Agreement by using the Forward Contract Pricing methodology at inception and at the end of March 31, 2023. The fair value of the Forward Warrant Agreement was estimated based on the following key inputs and assumptions 1) Assumed holding period 2) Related risk-free rate and 3) Likelihood of the outcome of the various contingencies specified in the agreement. In the three months ended March 31, 2023, we reduced the estimated probability of occurrence for the forward warrant agreement from 50% to 25% due to less than favorable market conditions and reduced time until expiration.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these inputs and assumptions, we calculated the fair value of the Forward Warrant Agreement to be a derivative asset of $1.1 million as of March 31, 2023, and a derivative asset of $2.2 million as of December 31, 2022. We have included the derivative as a forward contract asset in the accompanying consolidated balance sheets as of March 31, 2023 and December 31, 2022. The change in fair value is recorded as part of general and administrative expense in our consolidated statements of operations. </w:t>
      </w:r>
    </w:p>
    <w:p>
      <w:pPr>
        <w:pStyle w:val="TextBody"/>
        <w:bidi w:val="0"/>
        <w:spacing w:before="240" w:after="0"/>
        <w:jc w:val="left"/>
        <w:rPr>
          <w:rFonts w:ascii="Times New Roman" w:hAnsi="Times New Roman"/>
          <w:b/>
          <w:sz w:val="20"/>
        </w:rPr>
      </w:pPr>
      <w:r>
        <w:rPr>
          <w:rFonts w:ascii="Times New Roman" w:hAnsi="Times New Roman"/>
          <w:b/>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consists primarily of our contracts that provide access to Rigetti quantum computing systems, collaborative research services, professional services, and the sale of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three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 For fixed price milestone-based contracts, revenue is recognized based on the input measure explained above as control is expected to transfer over the time period a milestone is completed. Revenue related to the sale of custom quantum computing components is recognized at a point in time upon acceptance by the customer. </w:t>
      </w:r>
    </w:p>
    <w:p>
      <w:pPr>
        <w:pStyle w:val="TextBody"/>
        <w:bidi w:val="0"/>
        <w:spacing w:before="120" w:after="0"/>
        <w:jc w:val="left"/>
        <w:rPr>
          <w:rFonts w:ascii="Times New Roman" w:hAnsi="Times New Roman"/>
          <w:sz w:val="20"/>
        </w:rPr>
      </w:pPr>
      <w:r>
        <w:rPr>
          <w:rFonts w:ascii="Times New Roman" w:hAnsi="Times New Roman"/>
          <w:sz w:val="20"/>
        </w:rPr>
        <w:t xml:space="preserve">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w:t>
      </w:r>
    </w:p>
    <w:p>
      <w:pPr>
        <w:pStyle w:val="TextBody"/>
        <w:bidi w:val="0"/>
        <w:spacing w:before="240" w:after="0"/>
        <w:jc w:val="left"/>
        <w:rPr>
          <w:rFonts w:ascii="Times New Roman" w:hAnsi="Times New Roman"/>
          <w:sz w:val="20"/>
        </w:rPr>
      </w:pPr>
      <w:r>
        <w:rPr>
          <w:rFonts w:ascii="Times New Roman" w:hAnsi="Times New Roman"/>
          <w:sz w:val="20"/>
        </w:rPr>
        <w:t xml:space="preserve">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our financial position and results of operations is disclosed in Note 2 of our condensed consolidated financial statements for the period ended March 31, 2023 included elsewhere in this Quarterly Report on Form 10-Q.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and Smaller Reporting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under the JOBS Act until the earliest of (a) December 31, 2026,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860"/>
        <w:gridCol w:w="7205"/>
      </w:tblGrid>
      <w:tr>
        <w:trPr/>
        <w:tc>
          <w:tcPr>
            <w:tcW w:w="860" w:type="dxa"/>
            <w:tcBorders/>
            <w:vAlign w:val="center"/>
          </w:tcPr>
          <w:p>
            <w:pPr>
              <w:pStyle w:val="TableContents"/>
              <w:bidi w:val="0"/>
              <w:spacing w:before="0" w:after="283"/>
              <w:jc w:val="left"/>
              <w:rPr>
                <w:b/>
              </w:rPr>
            </w:pPr>
            <w:bookmarkStart w:id="6" w:name="fin493342_10"/>
            <w:bookmarkEnd w:id="6"/>
            <w:r>
              <w:rPr>
                <w:b/>
              </w:rPr>
              <w:t>ITEM 3</w:t>
            </w:r>
          </w:p>
        </w:tc>
        <w:tc>
          <w:tcPr>
            <w:tcW w:w="7205" w:type="dxa"/>
            <w:tcBorders/>
            <w:vAlign w:val="center"/>
          </w:tcPr>
          <w:p>
            <w:pPr>
              <w:pStyle w:val="TableContents"/>
              <w:bidi w:val="0"/>
              <w:spacing w:before="0" w:after="0"/>
              <w:jc w:val="left"/>
              <w:rPr/>
            </w:pPr>
            <w:r>
              <w:rPr/>
              <w:t xml:space="preserve">– </w:t>
            </w: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as defined by Rule12b- of the Exchange Act and are not required to provide the information required under this item.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860"/>
        <w:gridCol w:w="3155"/>
      </w:tblGrid>
      <w:tr>
        <w:trPr/>
        <w:tc>
          <w:tcPr>
            <w:tcW w:w="860" w:type="dxa"/>
            <w:tcBorders/>
            <w:vAlign w:val="center"/>
          </w:tcPr>
          <w:p>
            <w:pPr>
              <w:pStyle w:val="TableContents"/>
              <w:bidi w:val="0"/>
              <w:spacing w:before="0" w:after="283"/>
              <w:jc w:val="left"/>
              <w:rPr>
                <w:b/>
              </w:rPr>
            </w:pPr>
            <w:bookmarkStart w:id="7" w:name="fin493342_11"/>
            <w:bookmarkEnd w:id="7"/>
            <w:r>
              <w:rPr>
                <w:b/>
              </w:rPr>
              <w:t>ITEM 4</w:t>
            </w:r>
          </w:p>
        </w:tc>
        <w:tc>
          <w:tcPr>
            <w:tcW w:w="3155" w:type="dxa"/>
            <w:tcBorders/>
            <w:vAlign w:val="center"/>
          </w:tcPr>
          <w:p>
            <w:pPr>
              <w:pStyle w:val="TableContents"/>
              <w:bidi w:val="0"/>
              <w:spacing w:before="0" w:after="0"/>
              <w:jc w:val="left"/>
              <w:rPr/>
            </w:pPr>
            <w:r>
              <w:rPr/>
              <w:t xml:space="preserve">– </w:t>
            </w: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principal executive officer and principal financial officer, evaluated the effectiveness of our disclosure controls and procedures (as defined in Rules 13a-15(e) and 15d15(e) under the Securities Exchange Act) as of March 31, 2023. Based on the evaluation of our disclosure controls and procedures, our management concluded that, as of March 31, 2023, our disclosure controls and procedures were not effective due to the material weaknesses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adding additional controls over review of complex financial instrument valuations and our year-end and quarter-end close process, which are still being implemented, as well as additional technical accounting resources. The material weaknesses will not be considered remediated until such time as management designs and implements effective controls that operate for a sufficient period of time and has concluded, through testing, that these controls are effective. </w:t>
      </w:r>
    </w:p>
    <w:p>
      <w:pPr>
        <w:pStyle w:val="TextBody"/>
        <w:bidi w:val="0"/>
        <w:spacing w:before="240" w:after="0"/>
        <w:jc w:val="left"/>
        <w:rPr>
          <w:rFonts w:ascii="Times New Roman" w:hAnsi="Times New Roman"/>
          <w:sz w:val="20"/>
        </w:rPr>
      </w:pPr>
      <w:r>
        <w:rPr>
          <w:rFonts w:ascii="Times New Roman" w:hAnsi="Times New Roman"/>
          <w:sz w:val="20"/>
        </w:rPr>
        <w:t xml:space="preserve">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After giving full consideration to the material weaknesses and the additional procedures that we performed, management has concluded that the interim consolidated financial statements contained in this Quarterly Report on Form 10-Q fairly present, in all material respects, our financial condition, results of operations and cash flows for the periods presented in conformity with U.S. GAAP for interim financial statements; however, the material weaknesses could have resulted in a misstatement of account balances or disclosures that would be considered material to the annual or interim consolidated financial statements and certain of the material weaknesses did result in errors in the financial statements and related disclosures as described below for the quarters ended March 31, 2022 and June 30, 2022, which we restated in 2022.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Weaknesses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was subsequently cancelled and reissued for a new warrant in connection with an amendment to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preparation of the financial statements for the second quarter of 2022, we also identified and corrected an immaterial error related to the revaluation of the liability associated with the same warrants issued to Trinity Capital.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the financial statements for the third quarter of 2022, we discovered that the previously identified material weakness led to additional material errors related to the valuation of the Earn-out liability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concluded that the previously identified material weakness in our internal control over financial reporting related to complex financial instruments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complex financial instruments. This material weakness continued to exist as of March 31, 2023 because the controls that were implemented as part of our plan to remediate this material weakness have not been operating for a sufficient period of time to allow management to conclude through testing that the controls are effective.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previously disclosed, in connection with the preparation of the financial statements for the year ended December 31, 2022, we identified a material weakness in our internal control over financial reporting related to the design and operation of our overall closing and financial reporting processes, including the timely preparation of account reconciliations, effective segregation of duties, and a lack of timely review over the financial statement close process. 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March 31, 2023 due to the reasons described above, the relatively short period of time since the material weakness was first identified, and because all of the necessary controls to remediate the material weakness have not yet been implemented and sufficiently tested. </w:t>
      </w:r>
    </w:p>
    <w:p>
      <w:pPr>
        <w:pStyle w:val="TextBody"/>
        <w:bidi w:val="0"/>
        <w:spacing w:before="360" w:after="0"/>
        <w:jc w:val="left"/>
        <w:rPr>
          <w:rFonts w:ascii="Times New Roman" w:hAnsi="Times New Roman"/>
          <w:b/>
          <w:sz w:val="20"/>
        </w:rPr>
      </w:pPr>
      <w:r>
        <w:rPr>
          <w:rFonts w:ascii="Times New Roman" w:hAnsi="Times New Roman"/>
          <w:b/>
          <w:sz w:val="20"/>
        </w:rPr>
        <w:t xml:space="preserve">Remediation Plan </w:t>
      </w:r>
    </w:p>
    <w:p>
      <w:pPr>
        <w:pStyle w:val="TextBody"/>
        <w:bidi w:val="0"/>
        <w:spacing w:before="120" w:after="0"/>
        <w:jc w:val="left"/>
        <w:rPr>
          <w:rFonts w:ascii="Times New Roman" w:hAnsi="Times New Roman"/>
          <w:sz w:val="20"/>
        </w:rPr>
      </w:pPr>
      <w:r>
        <w:rPr>
          <w:rFonts w:ascii="Times New Roman" w:hAnsi="Times New Roman"/>
          <w:sz w:val="20"/>
        </w:rPr>
        <w:t xml:space="preserve">Our remediation plan related to the material weakness over the accounting for complex financial instruments includes: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additional controls and procedures over the review of complex financial instrument valuations as well as technical accounting resources to identify the inventory of complex accounting and financial instruments that require accounting analysis and evaluation;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enhancing the precision of review controls over complex financial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augmenting the review process relating to the valuation analyses performed by the third-party valuation experts and accounting firms that are utilized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remediation plan related to the material weakness over our overall closing and financial reporting processes includes: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sufficient personnel with technical accounting and financial reporting experience to augment our current staff, to achieve appropriate segregation of duties and to improve the effectiveness of our closing and financial reporting processes;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improved accounting and financial reporting procedures and systems to improve the completeness, timeliness and accuracy of our financial reporting and disclosures, including the assessment of more judgmental areas of accounting.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elements of our remediation plan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weaknesses. These material weaknesses will not be considered remediated unless and until such time as management designs and implements effective controls that operate for a sufficient period of time and concludes, through testing, that these controls are effective. Until the controls have been operating for a sufficient period of time and management has concluded, through testing, that these controls are operating effectively, the material weaknesses described above will continue to exist. Management will monitor the progress of the remediation plan and report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weaknesses identified or that any additional material weakness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2023, other than the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8" w:name="fin493342_12"/>
      <w:bookmarkEnd w:id="8"/>
      <w:r>
        <w:rPr>
          <w:rFonts w:ascii="Times New Roman" w:hAnsi="Times New Roman"/>
          <w:b/>
          <w:sz w:val="20"/>
        </w:rPr>
        <w:t xml:space="preserve">PART II. OTHER INFORMATION </w:t>
      </w:r>
    </w:p>
    <w:p>
      <w:pPr>
        <w:pStyle w:val="TextBody"/>
        <w:bidi w:val="0"/>
        <w:spacing w:before="240" w:after="0"/>
        <w:jc w:val="left"/>
        <w:rPr>
          <w:rFonts w:ascii="Times New Roman" w:hAnsi="Times New Roman"/>
          <w:b/>
          <w:sz w:val="20"/>
        </w:rPr>
      </w:pPr>
      <w:bookmarkStart w:id="9" w:name="fin493342_13"/>
      <w:bookmarkEnd w:id="9"/>
      <w:r>
        <w:rPr>
          <w:rFonts w:ascii="Times New Roman" w:hAnsi="Times New Roman"/>
          <w:b/>
          <w:sz w:val="20"/>
        </w:rPr>
        <w:t xml:space="preserve">ITEM 1 –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 </w:t>
      </w:r>
    </w:p>
    <w:p>
      <w:pPr>
        <w:pStyle w:val="TextBody"/>
        <w:bidi w:val="0"/>
        <w:spacing w:before="360" w:after="0"/>
        <w:jc w:val="left"/>
        <w:rPr>
          <w:rFonts w:ascii="Times New Roman" w:hAnsi="Times New Roman"/>
          <w:b/>
          <w:sz w:val="20"/>
        </w:rPr>
      </w:pPr>
      <w:bookmarkStart w:id="10" w:name="fin493342_14"/>
      <w:bookmarkEnd w:id="10"/>
      <w:r>
        <w:rPr>
          <w:rFonts w:ascii="Times New Roman" w:hAnsi="Times New Roman"/>
          <w:b/>
          <w:sz w:val="20"/>
        </w:rPr>
        <w:t xml:space="preserve">ITEM 1A – RISK FACTORS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other information set forth in this report, you should carefully consider the risk factors discussed in Part I “Item 1A. Risk Factors” in our Annual Report on Form 10-K for the year ended December 31, 2022 for a discussion of material factors that make an investment in our ordinary shares speculative or risky. </w:t>
      </w:r>
    </w:p>
    <w:p>
      <w:pPr>
        <w:pStyle w:val="TextBody"/>
        <w:bidi w:val="0"/>
        <w:spacing w:before="360" w:after="0"/>
        <w:jc w:val="left"/>
        <w:rPr>
          <w:rFonts w:ascii="Times New Roman" w:hAnsi="Times New Roman"/>
          <w:b/>
          <w:sz w:val="20"/>
        </w:rPr>
      </w:pPr>
      <w:bookmarkStart w:id="11" w:name="fin493342_15"/>
      <w:bookmarkEnd w:id="11"/>
      <w:r>
        <w:rPr>
          <w:rFonts w:ascii="Times New Roman" w:hAnsi="Times New Roman"/>
          <w:b/>
          <w:sz w:val="20"/>
        </w:rPr>
        <w:t>ITEM 2 – UNREGISTERED SALES OF EQUITY SECURITIES, USE OF PROCEEDS AND ISSUER PURCHASES OF EQUITY SECURITIES</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2" w:name="fin493342_16"/>
      <w:bookmarkEnd w:id="12"/>
      <w:r>
        <w:rPr>
          <w:rFonts w:ascii="Times New Roman" w:hAnsi="Times New Roman"/>
          <w:b/>
          <w:sz w:val="20"/>
        </w:rPr>
        <w:t xml:space="preserve">ITEM 3 –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3" w:name="fin493342_17"/>
      <w:bookmarkEnd w:id="13"/>
      <w:r>
        <w:rPr>
          <w:rFonts w:ascii="Times New Roman" w:hAnsi="Times New Roman"/>
          <w:b/>
          <w:sz w:val="20"/>
        </w:rPr>
        <w:t>ITEM 4 – MINE SAFETY DISCLOSURES</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4" w:name="fin493342_18"/>
      <w:bookmarkEnd w:id="14"/>
      <w:r>
        <w:rPr>
          <w:rFonts w:ascii="Times New Roman" w:hAnsi="Times New Roman"/>
          <w:b/>
          <w:sz w:val="20"/>
        </w:rPr>
        <w:t xml:space="preserve">ITEM 5 –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 w:name="fin493342_19"/>
      <w:bookmarkEnd w:id="15"/>
      <w:r>
        <w:rPr>
          <w:rFonts w:ascii="Times New Roman" w:hAnsi="Times New Roman"/>
          <w:b/>
          <w:sz w:val="20"/>
        </w:rPr>
        <w:t xml:space="preserve">ITEM 6 –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5"/>
        <w:gridCol w:w="60"/>
        <w:gridCol w:w="4559"/>
        <w:gridCol w:w="120"/>
        <w:gridCol w:w="920"/>
        <w:gridCol w:w="120"/>
        <w:gridCol w:w="800"/>
        <w:gridCol w:w="120"/>
        <w:gridCol w:w="560"/>
        <w:gridCol w:w="120"/>
        <w:gridCol w:w="1911"/>
      </w:tblGrid>
      <w:tr>
        <w:trPr/>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bottom w:val="single" w:sz="8" w:space="0" w:color="000000"/>
            </w:tcBorders>
            <w:tcMar>
              <w:bottom w:w="28" w:type="dxa"/>
            </w:tcMar>
            <w:vAlign w:val="center"/>
          </w:tcPr>
          <w:p>
            <w:pPr>
              <w:pStyle w:val="TableContents"/>
              <w:bidi w:val="0"/>
              <w:spacing w:before="0" w:after="283"/>
              <w:jc w:val="left"/>
              <w:rPr>
                <w:b/>
              </w:rPr>
            </w:pPr>
            <w:r>
              <w:rPr>
                <w:b/>
              </w:rPr>
              <w:t>Exhibit</w:t>
              <w:br/>
              <w:t>Number</w:t>
            </w:r>
          </w:p>
        </w:tc>
        <w:tc>
          <w:tcPr>
            <w:tcW w:w="60" w:type="dxa"/>
            <w:tcBorders/>
            <w:vAlign w:val="center"/>
          </w:tcPr>
          <w:p>
            <w:pPr>
              <w:pStyle w:val="TableContents"/>
              <w:bidi w:val="0"/>
              <w:spacing w:before="0" w:after="283"/>
              <w:jc w:val="left"/>
              <w:rPr/>
            </w:pPr>
            <w:r>
              <w:rPr/>
              <w:t> </w:t>
            </w:r>
          </w:p>
        </w:tc>
        <w:tc>
          <w:tcPr>
            <w:tcW w:w="45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2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120"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19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2.1+</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2">
              <w:r>
                <w:rPr>
                  <w:rStyle w:val="InternetLink"/>
                </w:rPr>
                <w:t>Agreement and Plan of Merger, dated as of October 6, 2021, by and among Supernova Partners Acquisition Company II, Ltd., Supernova Merger Sub, Inc., Supernova Romeo</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October 6, 2021</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2.2</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3">
              <w:r>
                <w:rPr>
                  <w:rStyle w:val="InternetLink"/>
                </w:rPr>
                <w:t>First Amendment to Agreement and Plan of Merger, dated as of December 23, 2021, by and among Supernova Partners Acquisition Company II, Ltd., Supernova Merger Sub, Inc., Supernova Romeo Merger Sub, LLC and Rigetti Holdings, Inc.</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December 23, 2021</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2.3</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4">
              <w:r>
                <w:rPr>
                  <w:rStyle w:val="InternetLink"/>
                </w:rPr>
                <w:t>Second Amendment to Agreement and Plan of Merger, dated as of January 10, 2022, by and among Supernova Partners Acquisition Company II, Ltd., Supernova Merger Sub, Inc., Supernova Romeo Merger Sub, LLC and Rigetti Holdings, Inc.</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2.1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January 10, 2022</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3.1</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5">
              <w:r>
                <w:rPr>
                  <w:rStyle w:val="InternetLink"/>
                </w:rPr>
                <w:t xml:space="preserve">Certificate of Incorporation of Rigetti Computing, Inc.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3.1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March 7, 2022</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3.2</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6">
              <w:r>
                <w:rPr>
                  <w:rStyle w:val="InternetLink"/>
                </w:rPr>
                <w:t xml:space="preserve">Bylaws of Rigetti Computing, Inc.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3.2</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March 7, 2022</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4.1</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7">
              <w:r>
                <w:rPr>
                  <w:rStyle w:val="InternetLink"/>
                </w:rPr>
                <w:t xml:space="preserve">Specimen Common Stock Certificate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4.1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March 7, 2022</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4.2</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8">
              <w:r>
                <w:rPr>
                  <w:rStyle w:val="InternetLink"/>
                </w:rPr>
                <w:t>Specimen Warrant Certificate</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4.2</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March 7, 2022</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10.1#</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9">
              <w:r>
                <w:rPr>
                  <w:rStyle w:val="InternetLink"/>
                </w:rPr>
                <w:t>Executive Employment Agreement, dated February 9, 2023, by and between Rigetti Computing, Inc. and Jeffrey Bertelsen</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10.1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February 10, 2023</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10.2#</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10">
              <w:r>
                <w:rPr>
                  <w:rStyle w:val="InternetLink"/>
                </w:rPr>
                <w:t>Separation Agreement for Chad Rigetti, dated as of February 14, 2023</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001-40140</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10.1</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February 16, 2023</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10.3#</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r:id="rId11">
              <w:r>
                <w:rPr>
                  <w:rStyle w:val="InternetLink"/>
                </w:rPr>
                <w:t>Amended and Restated Employment Agreement, dated as of March 2, 2023, between Rigetti Computing, Inc. and David Rivas.</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POS AM</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333-263798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10.30</w:t>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center"/>
              <w:rPr/>
            </w:pPr>
            <w:r>
              <w:rPr/>
              <w:t>April 5, 2023</w:t>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10.4*#</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w:anchor="d493342dex104.htm">
              <w:r>
                <w:rPr>
                  <w:rStyle w:val="InternetLink"/>
                </w:rPr>
                <w:t xml:space="preserve">Separation Agreement for Michael Harburn, dated as of February 15, 2023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10.5*#</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w:anchor="d493342dex105.htm">
              <w:r>
                <w:rPr>
                  <w:rStyle w:val="InternetLink"/>
                </w:rPr>
                <w:t xml:space="preserve">Separation Agreement for Brian Sereda, dated as of March 28, 2023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31.1*</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w:anchor="d493342dex311.htm">
              <w:r>
                <w:rPr>
                  <w:rStyle w:val="InternetLink"/>
                </w:rPr>
                <w:t xml:space="preserve">Certification of Chief Executive Officer Pursuant to Section 302 of the Sarbanes-Oxley Act of 2022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31.2*</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w:anchor="d493342dex312.htm">
              <w:r>
                <w:rPr>
                  <w:rStyle w:val="InternetLink"/>
                </w:rPr>
                <w:t xml:space="preserve">Certification of Chief Financial Officer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  </w:t>
            </w:r>
            <w:r>
              <w:rPr/>
              <w:t>32.1*</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hyperlink w:anchor="d493342dex321.htm">
              <w:r>
                <w:rPr>
                  <w:rStyle w:val="InternetLink"/>
                </w:rPr>
                <w:t xml:space="preserve">Certification of Chief Executive Officer and Chief Financial Officer Pursuant to 18 U.S.C. Section 1350 as adopted pursuant to Section 906 of the Sarbanes-Oxley Act of 2002. </w:t>
              </w:r>
            </w:hyperlink>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101.INS*</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Inline XBRL Instance Document—the instance document does not appear in the interactive data file because its XBRL tags are embedded within the Inline XBRL document.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Inline XBRL Taxonomy Extension Schema Document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101.CAL*</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Inline XBRL Taxonomy Extension Calculation Linkbase Document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101.DEF*</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Inline XBRL Taxonomy Extension Definition Linkbase Document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101.LAB*</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Inline XBRL Taxonomy Extension Label Linkbase Document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101.PRE*</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Inline XBRL Taxonomy Extension Presentation Linkbase Document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2031" w:type="dxa"/>
            <w:gridSpan w:val="2"/>
            <w:tcBorders/>
            <w:vAlign w:val="center"/>
          </w:tcPr>
          <w:p>
            <w:pPr>
              <w:pStyle w:val="TableContents"/>
              <w:bidi w:val="0"/>
              <w:spacing w:before="0" w:after="283"/>
              <w:jc w:val="left"/>
              <w:rPr>
                <w:sz w:val="4"/>
                <w:szCs w:val="4"/>
              </w:rPr>
            </w:pPr>
            <w:r>
              <w:rPr>
                <w:sz w:val="4"/>
                <w:szCs w:val="4"/>
              </w:rPr>
            </w:r>
          </w:p>
        </w:tc>
      </w:tr>
      <w:tr>
        <w:trPr/>
        <w:tc>
          <w:tcPr>
            <w:tcW w:w="91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4559" w:type="dxa"/>
            <w:tcBorders/>
            <w:vAlign w:val="center"/>
          </w:tcPr>
          <w:p>
            <w:pPr>
              <w:pStyle w:val="TableContents"/>
              <w:bidi w:val="0"/>
              <w:spacing w:before="0" w:after="283"/>
              <w:jc w:val="left"/>
              <w:rPr/>
            </w:pPr>
            <w:r>
              <w:rPr/>
              <w:t>Cover Page Interactive Data File (formatted as Inline XBRL and contained in Exhibit 101)</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815" w:type="dxa"/>
        <w:jc w:val="left"/>
        <w:tblInd w:w="0" w:type="dxa"/>
        <w:tblLayout w:type="fixed"/>
        <w:tblCellMar>
          <w:top w:w="0" w:type="dxa"/>
          <w:left w:w="0" w:type="dxa"/>
          <w:bottom w:w="0" w:type="dxa"/>
          <w:right w:w="0" w:type="dxa"/>
        </w:tblCellMar>
      </w:tblPr>
      <w:tblGrid>
        <w:gridCol w:w="155"/>
        <w:gridCol w:w="5660"/>
      </w:tblGrid>
      <w:tr>
        <w:trPr/>
        <w:tc>
          <w:tcPr>
            <w:tcW w:w="155"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fin493342_20"/>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center"/>
          </w:tcPr>
          <w:p>
            <w:pPr>
              <w:pStyle w:val="TableContents"/>
              <w:bidi w:val="0"/>
              <w:spacing w:before="0" w:after="283"/>
              <w:jc w:val="left"/>
              <w:rPr/>
            </w:pPr>
            <w:r>
              <w:rPr/>
              <w:t>RIGETTI COMPUTING, INC.</w:t>
            </w:r>
          </w:p>
        </w:tc>
      </w:tr>
      <w:tr>
        <w:trPr/>
        <w:tc>
          <w:tcPr>
            <w:tcW w:w="5750" w:type="dxa"/>
            <w:tcBorders/>
            <w:vAlign w:val="center"/>
          </w:tcPr>
          <w:p>
            <w:pPr>
              <w:pStyle w:val="TableContents"/>
              <w:bidi w:val="0"/>
              <w:spacing w:before="0" w:after="283"/>
              <w:jc w:val="left"/>
              <w:rPr>
                <w:sz w:val="4"/>
                <w:szCs w:val="4"/>
              </w:rPr>
            </w:pPr>
            <w:r>
              <w:rPr>
                <w:sz w:val="4"/>
                <w:szCs w:val="4"/>
              </w:rPr>
            </w:r>
          </w:p>
        </w:tc>
      </w:tr>
      <w:tr>
        <w:trPr/>
        <w:tc>
          <w:tcPr>
            <w:tcW w:w="5750" w:type="dxa"/>
            <w:tcBorders>
              <w:bottom w:val="single" w:sz="6" w:space="0" w:color="000000"/>
            </w:tcBorders>
            <w:tcMar>
              <w:bottom w:w="28" w:type="dxa"/>
            </w:tcMar>
            <w:vAlign w:val="center"/>
          </w:tcPr>
          <w:p>
            <w:pPr>
              <w:pStyle w:val="TableContents"/>
              <w:bidi w:val="0"/>
              <w:spacing w:before="0" w:after="283"/>
              <w:jc w:val="left"/>
              <w:rPr/>
            </w:pPr>
            <w:r>
              <w:rPr/>
              <w:t>/s/ Subodh Kulkarni</w:t>
            </w:r>
          </w:p>
        </w:tc>
      </w:tr>
      <w:tr>
        <w:trPr/>
        <w:tc>
          <w:tcPr>
            <w:tcW w:w="5750" w:type="dxa"/>
            <w:tcBorders/>
            <w:vAlign w:val="center"/>
          </w:tcPr>
          <w:p>
            <w:pPr>
              <w:pStyle w:val="TableContents"/>
              <w:bidi w:val="0"/>
              <w:spacing w:before="0" w:after="283"/>
              <w:jc w:val="left"/>
              <w:rPr/>
            </w:pPr>
            <w:r>
              <w:rPr/>
              <w:t>By Subodh Kulkarni, President and Chief Executive Officer</w:t>
            </w:r>
          </w:p>
        </w:tc>
      </w:tr>
      <w:tr>
        <w:trPr/>
        <w:tc>
          <w:tcPr>
            <w:tcW w:w="5750" w:type="dxa"/>
            <w:tcBorders/>
            <w:vAlign w:val="center"/>
          </w:tcPr>
          <w:p>
            <w:pPr>
              <w:pStyle w:val="TableContents"/>
              <w:bidi w:val="0"/>
              <w:spacing w:before="0" w:after="283"/>
              <w:jc w:val="left"/>
              <w:rPr/>
            </w:pPr>
            <w:r>
              <w:rPr/>
              <w:t>(Principal Executive Officer and Duly Authorized Officer)</w:t>
            </w:r>
          </w:p>
        </w:tc>
      </w:tr>
      <w:tr>
        <w:trPr/>
        <w:tc>
          <w:tcPr>
            <w:tcW w:w="5750" w:type="dxa"/>
            <w:tcBorders/>
            <w:vAlign w:val="center"/>
          </w:tcPr>
          <w:p>
            <w:pPr>
              <w:pStyle w:val="TableContents"/>
              <w:bidi w:val="0"/>
              <w:spacing w:before="0" w:after="283"/>
              <w:jc w:val="left"/>
              <w:rPr>
                <w:sz w:val="4"/>
                <w:szCs w:val="4"/>
              </w:rPr>
            </w:pPr>
            <w:r>
              <w:rPr>
                <w:sz w:val="4"/>
                <w:szCs w:val="4"/>
              </w:rPr>
            </w:r>
          </w:p>
        </w:tc>
      </w:tr>
      <w:tr>
        <w:trPr/>
        <w:tc>
          <w:tcPr>
            <w:tcW w:w="5750" w:type="dxa"/>
            <w:tcBorders>
              <w:bottom w:val="single" w:sz="6" w:space="0" w:color="000000"/>
            </w:tcBorders>
            <w:tcMar>
              <w:bottom w:w="28" w:type="dxa"/>
            </w:tcMar>
            <w:vAlign w:val="center"/>
          </w:tcPr>
          <w:p>
            <w:pPr>
              <w:pStyle w:val="TableContents"/>
              <w:bidi w:val="0"/>
              <w:spacing w:before="0" w:after="283"/>
              <w:jc w:val="left"/>
              <w:rPr/>
            </w:pPr>
            <w:r>
              <w:rPr/>
              <w:t>/s/ Jeffrey A. Bertelsen</w:t>
            </w:r>
          </w:p>
        </w:tc>
      </w:tr>
      <w:tr>
        <w:trPr/>
        <w:tc>
          <w:tcPr>
            <w:tcW w:w="5750" w:type="dxa"/>
            <w:tcBorders/>
            <w:vAlign w:val="center"/>
          </w:tcPr>
          <w:p>
            <w:pPr>
              <w:pStyle w:val="TableContents"/>
              <w:bidi w:val="0"/>
              <w:spacing w:before="0" w:after="283"/>
              <w:jc w:val="left"/>
              <w:rPr/>
            </w:pPr>
            <w:r>
              <w:rPr/>
              <w:t>By Jeffrey A. Bertelsen, Chief Financial Officer</w:t>
            </w:r>
          </w:p>
        </w:tc>
      </w:tr>
      <w:tr>
        <w:trPr/>
        <w:tc>
          <w:tcPr>
            <w:tcW w:w="5750" w:type="dxa"/>
            <w:tcBorders/>
            <w:vAlign w:val="center"/>
          </w:tcPr>
          <w:p>
            <w:pPr>
              <w:pStyle w:val="TableContents"/>
              <w:bidi w:val="0"/>
              <w:spacing w:before="0" w:after="283"/>
              <w:jc w:val="left"/>
              <w:rPr/>
            </w:pPr>
            <w:r>
              <w:rPr/>
              <w:t>(Principal Accounting Officer and Duly Authorized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May 11,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TextBody"/>
        <w:bidi w:val="0"/>
        <w:spacing w:before="0" w:after="0"/>
        <w:jc w:val="right"/>
        <w:rPr>
          <w:rFonts w:ascii="Times New Roman" w:hAnsi="Times New Roman"/>
          <w:b/>
          <w:sz w:val="20"/>
        </w:rPr>
      </w:pPr>
      <w:bookmarkStart w:id="17" w:name="d493342dex104.htm"/>
      <w:bookmarkStart w:id="18" w:name="ksd493342dex104"/>
      <w:bookmarkEnd w:id="17"/>
      <w:bookmarkEnd w:id="18"/>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Rigetti Computing, Inc. </w:t>
      </w:r>
    </w:p>
    <w:p>
      <w:pPr>
        <w:pStyle w:val="TextBody"/>
        <w:bidi w:val="0"/>
        <w:spacing w:before="240" w:after="0"/>
        <w:jc w:val="left"/>
        <w:rPr>
          <w:rFonts w:ascii="Times New Roman" w:hAnsi="Times New Roman"/>
          <w:sz w:val="20"/>
        </w:rPr>
      </w:pPr>
      <w:r>
        <w:rPr>
          <w:rFonts w:ascii="Times New Roman" w:hAnsi="Times New Roman"/>
          <w:sz w:val="20"/>
        </w:rPr>
        <w:t xml:space="preserve">February 13, 2023 </w:t>
      </w:r>
    </w:p>
    <w:p>
      <w:pPr>
        <w:pStyle w:val="TextBody"/>
        <w:bidi w:val="0"/>
        <w:spacing w:before="240" w:after="0"/>
        <w:jc w:val="left"/>
        <w:rPr>
          <w:rFonts w:ascii="Times New Roman" w:hAnsi="Times New Roman"/>
          <w:sz w:val="20"/>
        </w:rPr>
      </w:pPr>
      <w:r>
        <w:rPr>
          <w:rFonts w:ascii="Times New Roman" w:hAnsi="Times New Roman"/>
          <w:sz w:val="20"/>
        </w:rPr>
        <w:t xml:space="preserve">Mike Harburn </w:t>
      </w:r>
    </w:p>
    <w:p>
      <w:pPr>
        <w:pStyle w:val="TextBody"/>
        <w:bidi w:val="0"/>
        <w:spacing w:before="0" w:after="0"/>
        <w:jc w:val="left"/>
        <w:rPr>
          <w:rFonts w:ascii="Times New Roman" w:hAnsi="Times New Roman"/>
          <w:sz w:val="20"/>
        </w:rPr>
      </w:pPr>
      <w:r>
        <w:rPr>
          <w:rFonts w:ascii="Times New Roman" w:hAnsi="Times New Roman"/>
          <w:sz w:val="20"/>
        </w:rPr>
        <w:t xml:space="preserve">583 Battery Street </w:t>
      </w:r>
    </w:p>
    <w:p>
      <w:pPr>
        <w:pStyle w:val="TextBody"/>
        <w:bidi w:val="0"/>
        <w:spacing w:before="0" w:after="0"/>
        <w:jc w:val="left"/>
        <w:rPr>
          <w:rFonts w:ascii="Times New Roman" w:hAnsi="Times New Roman"/>
          <w:sz w:val="20"/>
        </w:rPr>
      </w:pPr>
      <w:r>
        <w:rPr>
          <w:rFonts w:ascii="Times New Roman" w:hAnsi="Times New Roman"/>
          <w:sz w:val="20"/>
        </w:rPr>
        <w:t xml:space="preserve">Apt 2803 </w:t>
      </w:r>
    </w:p>
    <w:p>
      <w:pPr>
        <w:pStyle w:val="TextBody"/>
        <w:bidi w:val="0"/>
        <w:spacing w:before="0" w:after="0"/>
        <w:jc w:val="left"/>
        <w:rPr>
          <w:rFonts w:ascii="Times New Roman" w:hAnsi="Times New Roman"/>
          <w:sz w:val="20"/>
        </w:rPr>
      </w:pPr>
      <w:r>
        <w:rPr>
          <w:rFonts w:ascii="Times New Roman" w:hAnsi="Times New Roman"/>
          <w:sz w:val="20"/>
        </w:rPr>
        <w:t xml:space="preserve">Seattle, WA 98121 </w:t>
      </w:r>
    </w:p>
    <w:p>
      <w:pPr>
        <w:pStyle w:val="TextBody"/>
        <w:bidi w:val="0"/>
        <w:spacing w:before="240" w:after="0"/>
        <w:jc w:val="left"/>
        <w:rPr>
          <w:rFonts w:ascii="Times New Roman" w:hAnsi="Times New Roman"/>
          <w:sz w:val="20"/>
        </w:rPr>
      </w:pPr>
      <w:r>
        <w:rPr>
          <w:rFonts w:ascii="Times New Roman" w:hAnsi="Times New Roman"/>
          <w:sz w:val="20"/>
        </w:rPr>
        <w:t xml:space="preserve">Dear Mike: </w:t>
      </w:r>
    </w:p>
    <w:p>
      <w:pPr>
        <w:pStyle w:val="TextBody"/>
        <w:bidi w:val="0"/>
        <w:spacing w:before="120" w:after="0"/>
        <w:jc w:val="left"/>
        <w:rPr>
          <w:rFonts w:ascii="Times New Roman" w:hAnsi="Times New Roman"/>
          <w:sz w:val="20"/>
        </w:rPr>
      </w:pPr>
      <w:r>
        <w:rPr>
          <w:rFonts w:ascii="Times New Roman" w:hAnsi="Times New Roman"/>
          <w:sz w:val="20"/>
        </w:rPr>
        <w:t>As you know, your employment with Rigetti Computing, Inc. (the </w:t>
      </w:r>
      <w:r>
        <w:rPr>
          <w:rFonts w:ascii="Times New Roman" w:hAnsi="Times New Roman"/>
          <w:b/>
          <w:sz w:val="20"/>
        </w:rPr>
        <w:t>Company</w:t>
      </w:r>
      <w:r>
        <w:rPr>
          <w:rFonts w:ascii="Times New Roman" w:hAnsi="Times New Roman"/>
          <w:sz w:val="20"/>
        </w:rPr>
        <w:t>) will terminate effective February 15, 2023 (the </w:t>
      </w:r>
      <w:r>
        <w:rPr>
          <w:rFonts w:ascii="Times New Roman" w:hAnsi="Times New Roman"/>
          <w:b/>
          <w:sz w:val="20"/>
        </w:rPr>
        <w:t>Separation Date</w:t>
      </w:r>
      <w:r>
        <w:rPr>
          <w:rFonts w:ascii="Times New Roman" w:hAnsi="Times New Roman"/>
          <w:sz w:val="20"/>
        </w:rPr>
        <w:t>) in a reduction in force resulting from the Companys decision to eliminate and restructure certain positions in order to reduce operational costs in current challenging market conditions, and we desire to resolve any and all issues relating to your employment and the conclusion of your employment with the Company amicably and on mutually satisfactory terms. Accordingly, this letter sets forth the terms of the separation agreement (the </w:t>
      </w:r>
      <w:r>
        <w:rPr>
          <w:rFonts w:ascii="Times New Roman" w:hAnsi="Times New Roman"/>
          <w:b/>
          <w:sz w:val="20"/>
        </w:rPr>
        <w:t>Agreement</w:t>
      </w:r>
      <w:r>
        <w:rPr>
          <w:rFonts w:ascii="Times New Roman" w:hAnsi="Times New Roman"/>
          <w:sz w:val="20"/>
        </w:rPr>
        <w:t xml:space="preserve">) the Company is offering you to reach an amicable separation. </w:t>
      </w:r>
    </w:p>
    <w:p>
      <w:pPr>
        <w:pStyle w:val="TextBody"/>
        <w:bidi w:val="0"/>
        <w:spacing w:before="480" w:after="0"/>
        <w:jc w:val="center"/>
        <w:rPr>
          <w:rFonts w:ascii="Times New Roman" w:hAnsi="Times New Roman"/>
          <w:b/>
          <w:sz w:val="20"/>
        </w:rPr>
      </w:pPr>
      <w:r>
        <w:rPr>
          <w:rFonts w:ascii="Times New Roman" w:hAnsi="Times New Roman"/>
          <w:b/>
          <w:sz w:val="20"/>
        </w:rPr>
        <w:t xml:space="preserve">Do not sign and return this Agreement before the Separation Date </w:t>
      </w:r>
    </w:p>
    <w:p>
      <w:pPr>
        <w:pStyle w:val="TextBody"/>
        <w:bidi w:val="0"/>
        <w:spacing w:before="240" w:after="0"/>
        <w:jc w:val="left"/>
        <w:rPr>
          <w:rFonts w:ascii="Times New Roman" w:hAnsi="Times New Roman"/>
          <w:sz w:val="20"/>
        </w:rPr>
      </w:pPr>
      <w:r>
        <w:rPr>
          <w:rFonts w:ascii="Times New Roman" w:hAnsi="Times New Roman"/>
          <w:b/>
          <w:sz w:val="20"/>
        </w:rPr>
        <w:t>1. Separation.</w:t>
      </w:r>
      <w:r>
        <w:rPr>
          <w:rFonts w:ascii="Times New Roman" w:hAnsi="Times New Roman"/>
          <w:sz w:val="20"/>
        </w:rPr>
        <w:t xml:space="preserve"> Your employment termination date will be the Separation Date. You will be deemed to have resigned, effective as of the Separation Date, from all positions, titles, duties, authorities, and responsibilities at or with the Company and its affiliates, and you agree to execute all additional documents and take such further steps as the Company may require to effectuate such resignation. </w:t>
      </w:r>
    </w:p>
    <w:p>
      <w:pPr>
        <w:pStyle w:val="TextBody"/>
        <w:bidi w:val="0"/>
        <w:spacing w:before="240" w:after="0"/>
        <w:jc w:val="left"/>
        <w:rPr>
          <w:rFonts w:ascii="Times New Roman" w:hAnsi="Times New Roman"/>
          <w:sz w:val="20"/>
        </w:rPr>
      </w:pPr>
      <w:r>
        <w:rPr>
          <w:rFonts w:ascii="Times New Roman" w:hAnsi="Times New Roman"/>
          <w:b/>
          <w:sz w:val="20"/>
        </w:rPr>
        <w:t>2. Accrued Obligations</w:t>
      </w:r>
      <w:r>
        <w:rPr>
          <w:rFonts w:ascii="Times New Roman" w:hAnsi="Times New Roman"/>
          <w:sz w:val="20"/>
        </w:rPr>
        <w:t xml:space="preserve">. No later than the Companys next regular pay day following the Separation Date, unless sooner required by law, you will receive your accrued but unpaid salary through the Separation Date. You agree that, within ten (10) days after the Separation Date, you will submit your final documented expense reimbursement statement reflecting all business expenses you incurred through the Separation Date, if any, for which you seek reimbursement. The Company will reimburse you for these expenses in accordance with the Companys standard expense reimbursement policies. You shall also be entitled to vested benefits owed to you under any qualified retirement plan or health and welfare benefit plan in which you were a participant in accordance with applicable law and the provisions of such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3. Severance Benefits.</w:t>
      </w:r>
      <w:r>
        <w:rPr>
          <w:rFonts w:ascii="Times New Roman" w:hAnsi="Times New Roman"/>
          <w:sz w:val="20"/>
        </w:rPr>
        <w:t xml:space="preserve"> If you timely sign and return this Agreement to the Company, allow it to become effective, and comply fully with your obligations hereunder, then in full satisfaction of any obligations for the Company to provide you with severance benefits under your Amended and Restated Executive Employment Agreement, dated February 2, 2022 (the </w:t>
      </w:r>
      <w:r>
        <w:rPr>
          <w:rFonts w:ascii="Times New Roman" w:hAnsi="Times New Roman"/>
          <w:b/>
          <w:sz w:val="20"/>
        </w:rPr>
        <w:t>Employment Agreement</w:t>
      </w:r>
      <w:r>
        <w:rPr>
          <w:rFonts w:ascii="Times New Roman" w:hAnsi="Times New Roman"/>
          <w:sz w:val="20"/>
        </w:rPr>
        <w:t>), the Company will provide you with the following severance benefits (the </w:t>
      </w:r>
      <w:r>
        <w:rPr>
          <w:rFonts w:ascii="Times New Roman" w:hAnsi="Times New Roman"/>
          <w:b/>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(a) Severance Payment. </w:t>
      </w:r>
      <w:r>
        <w:rPr>
          <w:rFonts w:ascii="Times New Roman" w:hAnsi="Times New Roman"/>
          <w:sz w:val="20"/>
        </w:rPr>
        <w:t>The Company shall pay you as severance an amount equal to twelve (12) months of your base salary in effect as of the Separation Date (</w:t>
      </w:r>
      <w:r>
        <w:rPr>
          <w:rFonts w:ascii="Times New Roman" w:hAnsi="Times New Roman"/>
          <w:b/>
          <w:sz w:val="20"/>
        </w:rPr>
        <w:t>Severance Payment</w:t>
      </w:r>
      <w:r>
        <w:rPr>
          <w:rFonts w:ascii="Times New Roman" w:hAnsi="Times New Roman"/>
          <w:sz w:val="20"/>
        </w:rPr>
        <w:t>). The Severance Payment will be paid in equal installments on the Companys normal payroll schedule following the Separation Date, with the first payment beginning within sixty (60) days following the Separation Date (but no earlier than the Effective Date) (such date, the </w:t>
      </w:r>
      <w:r>
        <w:rPr>
          <w:rFonts w:ascii="Times New Roman" w:hAnsi="Times New Roman"/>
          <w:b/>
          <w:sz w:val="20"/>
        </w:rPr>
        <w:t>Severance Pay Commencement Date</w:t>
      </w:r>
      <w:r>
        <w:rPr>
          <w:rFonts w:ascii="Times New Roman" w:hAnsi="Times New Roman"/>
          <w:sz w:val="20"/>
        </w:rPr>
        <w:t xml:space="preserve">), and the remaining installments occurring on the Companys regularly scheduled payroll dates thereafter; provided that on the Severance Pay Commencement Date, the Company will pay in a lump sum the aggregate amount of the cash severance payments that the Company would have paid you through such date had the payments commenced on the Companys first regularly scheduled payroll date after the Separation Date. </w:t>
      </w:r>
    </w:p>
    <w:p>
      <w:pPr>
        <w:pStyle w:val="TextBody"/>
        <w:bidi w:val="0"/>
        <w:spacing w:before="240" w:after="0"/>
        <w:jc w:val="left"/>
        <w:rPr>
          <w:rFonts w:ascii="Times New Roman" w:hAnsi="Times New Roman"/>
          <w:sz w:val="20"/>
        </w:rPr>
      </w:pPr>
      <w:r>
        <w:rPr>
          <w:rFonts w:ascii="Times New Roman" w:hAnsi="Times New Roman"/>
          <w:b/>
          <w:sz w:val="20"/>
        </w:rPr>
        <w:t xml:space="preserve">(b) COBRA Premium Payments. </w:t>
      </w:r>
      <w:r>
        <w:rPr>
          <w:rFonts w:ascii="Times New Roman" w:hAnsi="Times New Roman"/>
          <w:sz w:val="20"/>
        </w:rPr>
        <w:t>If you timely elect continued coverage under COBRA for you and your covered dependents under the Companys group health plans following the Separation Date, then the Company shall pay the COBRA premiums necessary to continue you and your covered dependents health insurance coverage in effect for you (and your covered dependents) on the Separation Date until the earliest of: (i) twelve (12) months following the termination date; (ii) the date when you become eligible for substantially equivalent health insurance coverage in connection with new employment or self-employment; or (iii) the date you cease to be eligible for COBRA continuation coverage for any reason, including plan termination (such period from the Separation Date through the earlier of (i)-(iii), the </w:t>
      </w:r>
      <w:r>
        <w:rPr>
          <w:rFonts w:ascii="Times New Roman" w:hAnsi="Times New Roman"/>
          <w:b/>
          <w:i/>
          <w:sz w:val="20"/>
        </w:rPr>
        <w:t>COBRA Payment Period</w:t>
      </w:r>
      <w:r>
        <w:rPr>
          <w:rFonts w:ascii="Times New Roman" w:hAnsi="Times New Roman"/>
          <w:sz w:val="20"/>
        </w:rPr>
        <w:t xml:space="preserve">). You agree to notify the Company of the occurrence of (ii) or (iii), as applicable, in advance, in writing, c/o Senior Vice President, Human Resources. Notwithstanding the foregoing, if at any time the Company determines that its payment of COBRA premiums on your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you on the last day of each remaining month of the COBRA Payment Period, a fully taxable cash payment equal to the COBRA premium for such month, subject to applicable tax withholding, for the remainder of the COBRA Payment Period. Nothing in this Agreement shall deprive you of your rights under COBRA or ERISA for benefits under plans and policies arising under your employment by the Company. </w:t>
      </w:r>
    </w:p>
    <w:p>
      <w:pPr>
        <w:pStyle w:val="TextBody"/>
        <w:bidi w:val="0"/>
        <w:spacing w:before="240" w:after="0"/>
        <w:jc w:val="left"/>
        <w:rPr>
          <w:rFonts w:ascii="Times New Roman" w:hAnsi="Times New Roman"/>
          <w:sz w:val="20"/>
        </w:rPr>
      </w:pPr>
      <w:r>
        <w:rPr>
          <w:rFonts w:ascii="Times New Roman" w:hAnsi="Times New Roman"/>
          <w:b/>
          <w:sz w:val="20"/>
        </w:rPr>
        <w:t>4. Equity Awards.</w:t>
      </w:r>
      <w:r>
        <w:rPr>
          <w:rFonts w:ascii="Times New Roman" w:hAnsi="Times New Roman"/>
          <w:sz w:val="20"/>
        </w:rPr>
        <w:t xml:space="preserve"> Under the terms of your equity award agreement and the applicable plan documents, vesting of any of your equity awards will cease as of the Separation Date. Your right to exercise any vested shares, and all other rights and obligations with respect to your equity awards, will be as set forth in your award agreement, grant notice and applicable plan documents. </w:t>
      </w:r>
    </w:p>
    <w:p>
      <w:pPr>
        <w:pStyle w:val="TextBody"/>
        <w:bidi w:val="0"/>
        <w:spacing w:before="240" w:after="0"/>
        <w:jc w:val="left"/>
        <w:rPr>
          <w:rFonts w:ascii="Times New Roman" w:hAnsi="Times New Roman"/>
          <w:sz w:val="20"/>
        </w:rPr>
      </w:pPr>
      <w:r>
        <w:rPr>
          <w:rFonts w:ascii="Times New Roman" w:hAnsi="Times New Roman"/>
          <w:b/>
          <w:sz w:val="20"/>
        </w:rPr>
        <w:t>5. Other Compensation or Benefits.</w:t>
      </w:r>
      <w:r>
        <w:rPr>
          <w:rFonts w:ascii="Times New Roman" w:hAnsi="Times New Roman"/>
          <w:sz w:val="20"/>
        </w:rPr>
        <w:t xml:space="preserve"> By executing this Agreement, you acknowledge and agree that the Companys obligations to provide you with any severance benefits or any other payments are hereby extinguished (except for the benefits described in this Agreement). You further expressly acknowledge and agree that the Severance Benefits, and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benefits provided herein, are in full and complete satisfaction of the Companys obligations, if any, to pay you severance benefits or any other payments pursuant your Employment Agreement, or any other agreements, plans or policies, and that this Agreement hereby supersedes and extinguishes any severance benefits you are or could be eligible to receive under your Employment Agreement, or any other employment agreement, plan, policy or other agreement applicable to you. You also acknowledge that, except as expressly provided in this Agreement, you have not earned and will not receive from the Company any additional compensation, severance, or benefits on or after the Separation Date, with the exception of any vested right you may have under the express terms of a written ERISA-qualified benefit plan (e.g., 401(k) account). By way of example, you acknowledge that you have not earned and are not owed any bonus, vacation, incentive compensation, commissions, or equity. </w:t>
      </w:r>
    </w:p>
    <w:p>
      <w:pPr>
        <w:pStyle w:val="TextBody"/>
        <w:bidi w:val="0"/>
        <w:spacing w:before="240" w:after="0"/>
        <w:jc w:val="left"/>
        <w:rPr>
          <w:rFonts w:ascii="Times New Roman" w:hAnsi="Times New Roman"/>
          <w:b/>
          <w:sz w:val="20"/>
        </w:rPr>
      </w:pPr>
      <w:r>
        <w:rPr>
          <w:rFonts w:ascii="Times New Roman" w:hAnsi="Times New Roman"/>
          <w:b/>
          <w:sz w:val="20"/>
        </w:rPr>
        <w:t xml:space="preserve">6. Release of Claims. </w:t>
      </w:r>
    </w:p>
    <w:p>
      <w:pPr>
        <w:pStyle w:val="TextBody"/>
        <w:bidi w:val="0"/>
        <w:spacing w:before="240" w:after="0"/>
        <w:jc w:val="left"/>
        <w:rPr>
          <w:rFonts w:ascii="Times New Roman" w:hAnsi="Times New Roman"/>
          <w:sz w:val="20"/>
        </w:rPr>
      </w:pPr>
      <w:r>
        <w:rPr>
          <w:rFonts w:ascii="Times New Roman" w:hAnsi="Times New Roman"/>
          <w:b/>
          <w:sz w:val="20"/>
        </w:rPr>
        <w:t>(a) General Release of Claims</w:t>
      </w:r>
      <w:r>
        <w:rPr>
          <w:rFonts w:ascii="Times New Roman" w:hAnsi="Times New Roman"/>
          <w:sz w:val="20"/>
        </w:rPr>
        <w:t>. 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attorneys, advisors, predecessors, successors, insurers, affiliates, and assigns (collectively, the </w:t>
      </w:r>
      <w:r>
        <w:rPr>
          <w:rFonts w:ascii="Times New Roman" w:hAnsi="Times New Roman"/>
          <w:b/>
          <w:sz w:val="20"/>
        </w:rPr>
        <w:t>Released Parties</w:t>
      </w:r>
      <w:r>
        <w:rPr>
          <w:rFonts w:ascii="Times New Roman" w:hAnsi="Times New Roman"/>
          <w:sz w:val="20"/>
        </w:rPr>
        <w:t xml:space="preserve">) from any and all claims, liabilities, demands, causes of action, and obligations, both known and unknown, arising from or in any way related to events, acts, conduct, or omissions occurring at any time prior to and including the date you sign this Agreement. </w:t>
      </w:r>
    </w:p>
    <w:p>
      <w:pPr>
        <w:pStyle w:val="TextBody"/>
        <w:bidi w:val="0"/>
        <w:spacing w:before="240" w:after="0"/>
        <w:jc w:val="left"/>
        <w:rPr>
          <w:rFonts w:ascii="Times New Roman" w:hAnsi="Times New Roman"/>
          <w:sz w:val="20"/>
        </w:rPr>
      </w:pPr>
      <w:r>
        <w:rPr>
          <w:rFonts w:ascii="Times New Roman" w:hAnsi="Times New Roman"/>
          <w:b/>
          <w:sz w:val="20"/>
        </w:rPr>
        <w:t>(b) Scope of Release</w:t>
      </w:r>
      <w:r>
        <w:rPr>
          <w:rFonts w:ascii="Times New Roman" w:hAnsi="Times New Roman"/>
          <w:sz w:val="20"/>
        </w:rPr>
        <w:t>. 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hAnsi="Times New Roman"/>
          <w:b/>
          <w:sz w:val="20"/>
        </w:rPr>
        <w:t>ADEA</w:t>
      </w:r>
      <w:r>
        <w:rPr>
          <w:rFonts w:ascii="Times New Roman" w:hAnsi="Times New Roman"/>
          <w:sz w:val="20"/>
        </w:rPr>
        <w:t xml:space="preserve">), the California Labor Code (as amended), the California Family Rights Act, the California Fair Employment and Housing Act (as amended), the Washington Law Against Discrimination (RCW chapter 49.60; WAC 162-04-10, </w:t>
      </w:r>
      <w:r>
        <w:rPr>
          <w:rFonts w:ascii="Times New Roman" w:hAnsi="Times New Roman"/>
          <w:i/>
          <w:sz w:val="20"/>
        </w:rPr>
        <w:t>et seq.</w:t>
      </w:r>
      <w:r>
        <w:rPr>
          <w:rFonts w:ascii="Times New Roman" w:hAnsi="Times New Roman"/>
          <w:sz w:val="20"/>
        </w:rPr>
        <w:t xml:space="preserve">), the Washington Family Leave Act, the Washington Industrial Welfare Act, and the Washington Minimum Wage Act. </w:t>
      </w:r>
    </w:p>
    <w:p>
      <w:pPr>
        <w:pStyle w:val="TextBody"/>
        <w:bidi w:val="0"/>
        <w:spacing w:before="240" w:after="0"/>
        <w:jc w:val="left"/>
        <w:rPr>
          <w:rFonts w:ascii="Times New Roman" w:hAnsi="Times New Roman"/>
          <w:sz w:val="20"/>
        </w:rPr>
      </w:pPr>
      <w:r>
        <w:rPr>
          <w:rFonts w:ascii="Times New Roman" w:hAnsi="Times New Roman"/>
          <w:b/>
          <w:sz w:val="20"/>
        </w:rPr>
        <w:t xml:space="preserve">(c) ADEA Release. </w:t>
      </w:r>
      <w:r>
        <w:rPr>
          <w:rFonts w:ascii="Times New Roman" w:hAnsi="Times New Roman"/>
          <w:sz w:val="20"/>
        </w:rPr>
        <w:t xml:space="preserve">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 (although you may choose voluntarily not to do so); (c) you have forty-five (45) days to consider this Agreement (although you may choose voluntarily to sign it sooner); (d) you have seven (7) days following the date you sign this Agreement to revoke this Agreement (in a written revocation sent to the Company by email, c/o Senior Vice President, Human Resources, at </w:t>
      </w:r>
      <w:r>
        <w:rPr>
          <w:rFonts w:ascii="Times New Roman" w:hAnsi="Times New Roman"/>
          <w:sz w:val="20"/>
          <w:u w:val="single"/>
        </w:rPr>
        <w:t>jakaweck@rigetti.com</w:t>
      </w:r>
      <w:r>
        <w:rPr>
          <w:rFonts w:ascii="Times New Roman" w:hAnsi="Times New Roman"/>
          <w:sz w:val="20"/>
        </w:rPr>
        <w:t>); and (e) this Agreement will not be effective until the date upon which the revocation period has expired, which will be the eighth calendar day after you sign this Agreement provided that you do not revoke it (the </w:t>
      </w:r>
      <w:r>
        <w:rPr>
          <w:rFonts w:ascii="Times New Roman" w:hAnsi="Times New Roman"/>
          <w:b/>
          <w:sz w:val="20"/>
        </w:rPr>
        <w:t>Effective Date</w:t>
      </w:r>
      <w:r>
        <w:rPr>
          <w:rFonts w:ascii="Times New Roman" w:hAnsi="Times New Roman"/>
          <w:sz w:val="20"/>
        </w:rPr>
        <w:t xml:space="preserve">). You hereby further acknowledge that the Company has provided you with ADEA disclosure information (under 29 U.S.C. § 626(f)(1)(H)), attached hereto as </w:t>
      </w:r>
      <w:r>
        <w:rPr>
          <w:rFonts w:ascii="Times New Roman" w:hAnsi="Times New Roman"/>
          <w:b/>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 Section</w:t>
      </w:r>
      <w:r>
        <w:rPr>
          <w:rFonts w:ascii="Times New Roman" w:hAnsi="Times New Roman"/>
          <w:sz w:val="20"/>
        </w:rPr>
        <w:t> </w:t>
      </w:r>
      <w:r>
        <w:rPr>
          <w:rFonts w:ascii="Times New Roman" w:hAnsi="Times New Roman"/>
          <w:b/>
          <w:sz w:val="20"/>
        </w:rPr>
        <w:t>1542 Waiver.</w:t>
      </w:r>
      <w:r>
        <w:rPr>
          <w:rFonts w:ascii="Times New Roman" w:hAnsi="Times New Roman"/>
          <w:sz w:val="20"/>
        </w:rPr>
        <w:t xml:space="preserve"> In giving the release herein, which includes claims which may be unknown to you at present, you acknowledge that you have read and understand Section 1542 of the California Civil Code, which reads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You hereby expressly waive and relinquish all rights and benefits under that section and any law of any other jurisdiction of similar effect with respect to your release of claims herein, including but not limited to your release of unknown claims. </w:t>
      </w:r>
    </w:p>
    <w:p>
      <w:pPr>
        <w:pStyle w:val="TextBody"/>
        <w:bidi w:val="0"/>
        <w:spacing w:before="240" w:after="0"/>
        <w:jc w:val="left"/>
        <w:rPr>
          <w:rFonts w:ascii="Times New Roman" w:hAnsi="Times New Roman"/>
          <w:sz w:val="20"/>
        </w:rPr>
      </w:pPr>
      <w:r>
        <w:rPr>
          <w:rFonts w:ascii="Times New Roman" w:hAnsi="Times New Roman"/>
          <w:b/>
          <w:sz w:val="20"/>
        </w:rPr>
        <w:t>(e) Exceptions</w:t>
      </w:r>
      <w:r>
        <w:rPr>
          <w:rFonts w:ascii="Times New Roman" w:hAnsi="Times New Roman"/>
          <w:sz w:val="20"/>
        </w:rPr>
        <w:t xml:space="preserve">. Notwithstanding the foregoing, you are not releasing the Company hereby from: (i) any obligation to indemnify you pursuant to the Articles and Bylaws of the Company, any valid fully executed indemnification agreement with the Company, applicable law, or applicable directors and officers liability insurance; (ii) any claims that cannot be waived by law; or (iii) any claims for breach of this Agreement. </w:t>
      </w:r>
    </w:p>
    <w:p>
      <w:pPr>
        <w:pStyle w:val="TextBody"/>
        <w:bidi w:val="0"/>
        <w:spacing w:before="240" w:after="0"/>
        <w:jc w:val="left"/>
        <w:rPr>
          <w:rFonts w:ascii="Times New Roman" w:hAnsi="Times New Roman"/>
          <w:sz w:val="20"/>
        </w:rPr>
      </w:pPr>
      <w:r>
        <w:rPr>
          <w:rFonts w:ascii="Times New Roman" w:hAnsi="Times New Roman"/>
          <w:b/>
          <w:sz w:val="20"/>
        </w:rPr>
        <w:t>(f) Protected Rights.</w:t>
      </w:r>
      <w:r>
        <w:rPr>
          <w:rFonts w:ascii="Times New Roman" w:hAnsi="Times New Roman"/>
          <w:sz w:val="20"/>
        </w:rPr>
        <w:t xml:space="preserve"> You understand that nothing in this Agreement limits your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Times New Roman" w:hAnsi="Times New Roman"/>
          <w:b/>
          <w:sz w:val="20"/>
        </w:rPr>
        <w:t>Government Agencies</w:t>
      </w:r>
      <w:r>
        <w:rPr>
          <w:rFonts w:ascii="Times New Roman" w:hAnsi="Times New Roman"/>
          <w:sz w:val="20"/>
        </w:rPr>
        <w:t xml:space="preserve">).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any other conduct that you have reason to believe is unlawful or in violation of public policy.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7. Return of Company Property</w:t>
      </w:r>
      <w:r>
        <w:rPr>
          <w:rFonts w:ascii="Times New Roman" w:hAnsi="Times New Roman"/>
          <w:sz w:val="20"/>
        </w:rPr>
        <w:t xml:space="preserve">. You agree that, within five (5) days after the Separation Date (or earlier if requested by the Company),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within five (5)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Times New Roman" w:hAnsi="Times New Roman"/>
          <w:b/>
          <w:sz w:val="20"/>
        </w:rPr>
        <w:t xml:space="preserve">Your timely compliance with this paragraph is a condition to your receipt of the severance benefits provided under this Agreement. </w:t>
      </w:r>
    </w:p>
    <w:p>
      <w:pPr>
        <w:pStyle w:val="TextBody"/>
        <w:bidi w:val="0"/>
        <w:spacing w:before="240" w:after="0"/>
        <w:jc w:val="left"/>
        <w:rPr>
          <w:rFonts w:ascii="Times New Roman" w:hAnsi="Times New Roman"/>
          <w:sz w:val="20"/>
        </w:rPr>
      </w:pPr>
      <w:r>
        <w:rPr>
          <w:rFonts w:ascii="Times New Roman" w:hAnsi="Times New Roman"/>
          <w:b/>
          <w:sz w:val="20"/>
        </w:rPr>
        <w:t>8. Confidential Information Obligations</w:t>
      </w:r>
      <w:r>
        <w:rPr>
          <w:rFonts w:ascii="Times New Roman" w:hAnsi="Times New Roman"/>
          <w:sz w:val="20"/>
        </w:rPr>
        <w:t xml:space="preserve">. You acknowledge and reaffirm your continuing obligations under your Confidential Information and Invention Assignment Agreement, a copy of which is attached hereto as </w:t>
      </w:r>
      <w:r>
        <w:rPr>
          <w:rFonts w:ascii="Times New Roman" w:hAnsi="Times New Roman"/>
          <w:b/>
          <w:sz w:val="20"/>
          <w:u w:val="single"/>
        </w:rPr>
        <w:t>Exhibit B</w:t>
      </w:r>
      <w:r>
        <w:rPr>
          <w:rFonts w:ascii="Times New Roman" w:hAnsi="Times New Roman"/>
          <w:sz w:val="20"/>
        </w:rPr>
        <w:t xml:space="preserve"> and incorporated herein by reference. </w:t>
      </w:r>
    </w:p>
    <w:p>
      <w:pPr>
        <w:pStyle w:val="TextBody"/>
        <w:bidi w:val="0"/>
        <w:spacing w:before="240" w:after="0"/>
        <w:jc w:val="left"/>
        <w:rPr>
          <w:rFonts w:ascii="Times New Roman" w:hAnsi="Times New Roman"/>
          <w:sz w:val="20"/>
        </w:rPr>
      </w:pPr>
      <w:r>
        <w:rPr>
          <w:rFonts w:ascii="Times New Roman" w:hAnsi="Times New Roman"/>
          <w:b/>
          <w:sz w:val="20"/>
        </w:rPr>
        <w:t xml:space="preserve">9. No Voluntary Adverse Action. </w:t>
      </w:r>
      <w:r>
        <w:rPr>
          <w:rFonts w:ascii="Times New Roman" w:hAnsi="Times New Roman"/>
          <w:sz w:val="20"/>
        </w:rPr>
        <w:t xml:space="preserve">You agree that you will not voluntarily (except in response to legal compulsion or as permitted under the section of this Agreement entitled Protected Rights) assist any person in bringing or pursuing any proposed or pending litigation, arbitration, administrative claim or other formal proceeding against the Released Parties. </w:t>
      </w:r>
    </w:p>
    <w:p>
      <w:pPr>
        <w:pStyle w:val="TextBody"/>
        <w:bidi w:val="0"/>
        <w:spacing w:before="240" w:after="0"/>
        <w:jc w:val="left"/>
        <w:rPr>
          <w:rFonts w:ascii="Times New Roman" w:hAnsi="Times New Roman"/>
          <w:sz w:val="20"/>
        </w:rPr>
      </w:pPr>
      <w:r>
        <w:rPr>
          <w:rFonts w:ascii="Times New Roman" w:hAnsi="Times New Roman"/>
          <w:b/>
          <w:sz w:val="20"/>
        </w:rPr>
        <w:t>10. Cooperation.</w:t>
      </w:r>
      <w:r>
        <w:rPr>
          <w:rFonts w:ascii="Times New Roman" w:hAnsi="Times New Roman"/>
          <w:sz w:val="20"/>
        </w:rPr>
        <w:t xml:space="preserve"> You agree to provide reasonable cooperation to the Company in connection 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salary, or other compensation) and will make reasonable efforts to accommodate your scheduling needs and for more than de minimis service, you and the Company will agree on a mutually agreeable per diem rate. In addition, in the event you are receiving Severance Benefits, for twelve (12) months after the Separation Date, you agree to reasonably cooperate with the Company in all matters relating to the transition of your work and responsibilities on behalf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any present, prior or subsequent relationships and the orderly transfer of any such work and institutional knowledge to such other persons as may be designated by the Company. Such transition assistance described in the previous sentence shall not be subject to additional compensation, and the Company will make reasonable efforts to accommodate your scheduling needs. </w:t>
      </w:r>
    </w:p>
    <w:p>
      <w:pPr>
        <w:pStyle w:val="TextBody"/>
        <w:bidi w:val="0"/>
        <w:spacing w:before="240" w:after="0"/>
        <w:jc w:val="left"/>
        <w:rPr>
          <w:rFonts w:ascii="Times New Roman" w:hAnsi="Times New Roman"/>
          <w:sz w:val="20"/>
        </w:rPr>
      </w:pPr>
      <w:r>
        <w:rPr>
          <w:rFonts w:ascii="Times New Roman" w:hAnsi="Times New Roman"/>
          <w:b/>
          <w:sz w:val="20"/>
        </w:rPr>
        <w:t xml:space="preserve">11. No Admissions. </w:t>
      </w:r>
      <w:r>
        <w:rPr>
          <w:rFonts w:ascii="Times New Roman" w:hAnsi="Times New Roman"/>
          <w:sz w:val="20"/>
        </w:rPr>
        <w:t xml:space="preserve">You understand and agree that the promises and payments in consideration of this Agreement shall not be construed to be an admission of any liability or obligation by the Company to you or to any other person, and that the Company makes no such admission. </w:t>
      </w:r>
    </w:p>
    <w:p>
      <w:pPr>
        <w:pStyle w:val="TextBody"/>
        <w:bidi w:val="0"/>
        <w:spacing w:before="240" w:after="0"/>
        <w:jc w:val="left"/>
        <w:rPr>
          <w:rFonts w:ascii="Times New Roman" w:hAnsi="Times New Roman"/>
          <w:sz w:val="20"/>
        </w:rPr>
      </w:pPr>
      <w:r>
        <w:rPr>
          <w:rFonts w:ascii="Times New Roman" w:hAnsi="Times New Roman"/>
          <w:b/>
          <w:sz w:val="20"/>
        </w:rPr>
        <w:t>12. Representations.</w:t>
      </w:r>
      <w:r>
        <w:rPr>
          <w:rFonts w:ascii="Times New Roman" w:hAnsi="Times New Roman"/>
          <w:sz w:val="20"/>
        </w:rPr>
        <w:t xml:space="preserve"> You hereby represent that you have: been paid all compensation owed and for all hours worked; received all leave and leave benefits and protections for which you are eligible pursuant to the Family and Medical Leave Act or otherwise; and not suffered any on-the-job injury for which you have not already filed a workers compensation claim. </w:t>
      </w:r>
    </w:p>
    <w:p>
      <w:pPr>
        <w:pStyle w:val="TextBody"/>
        <w:bidi w:val="0"/>
        <w:spacing w:before="240" w:after="0"/>
        <w:jc w:val="left"/>
        <w:rPr>
          <w:rFonts w:ascii="Times New Roman" w:hAnsi="Times New Roman"/>
          <w:sz w:val="20"/>
        </w:rPr>
      </w:pPr>
      <w:r>
        <w:rPr>
          <w:rFonts w:ascii="Times New Roman" w:hAnsi="Times New Roman"/>
          <w:b/>
          <w:sz w:val="20"/>
        </w:rPr>
        <w:t>13. Dispute Resolution</w:t>
      </w:r>
      <w:r>
        <w:rPr>
          <w:rFonts w:ascii="Times New Roman" w:hAnsi="Times New Roman"/>
          <w:sz w:val="20"/>
        </w:rPr>
        <w:t xml:space="preserve">. You and the Company recognize that litigation in federal or state courts or before federal or state administrative agencies of disputes arising out of your employment with the Company or out of this Agreement, or your termination of employment, may not be in the best interests of either you or the Company, and may result in unnecessary costs, delays, complexities, and uncertainty. Except where prohibited by law, you and the Company agree that any dispute between the parties arising out of or relating to the negotiation, execution, performance or termination of this Agreement or your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The location for the arbitration shall be in King County, Washington.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hAnsi="Times New Roman"/>
          <w:i/>
          <w:sz w:val="20"/>
        </w:rPr>
        <w:t>provided however</w:t>
      </w:r>
      <w:r>
        <w:rPr>
          <w:rFonts w:ascii="Times New Roman" w:hAnsi="Times New Roman"/>
          <w:sz w:val="20"/>
        </w:rPr>
        <w:t xml:space="preserve">, that at your option, you may voluntarily pay up to one-half the costs and fees. You and the Company acknowledge and agree that our obligations to arbitrate under this section survive the termination of this Agreement and continue after the termination of the employment relationship between you and the Company. You and the Company each further agree that the arbitration provisions of this Agreement shall provide each party with its </w:t>
      </w:r>
      <w:r>
        <w:rPr>
          <w:rFonts w:ascii="Times New Roman" w:hAnsi="Times New Roman"/>
          <w:b/>
          <w:sz w:val="20"/>
        </w:rPr>
        <w:t>exclusive remedy</w:t>
      </w:r>
      <w:r>
        <w:rPr>
          <w:rFonts w:ascii="Times New Roman" w:hAnsi="Times New Roman"/>
          <w:sz w:val="20"/>
        </w:rPr>
        <w:t xml:space="preserve">, and each party expressly waives any right it might have to seek redress in any other forum, except as otherwise expressly provided in this Agreement. By election arbitration as the means for final settlement of all claims, </w:t>
      </w:r>
      <w:r>
        <w:rPr>
          <w:rFonts w:ascii="Times New Roman" w:hAnsi="Times New Roman"/>
          <w:b/>
          <w:sz w:val="20"/>
        </w:rPr>
        <w:t>you and the Company hereby waive their respective rights to, and agree not to, sue each other in any action in a Federal, State or local court with respect to such claims, but may seek to enforce in court an arbitration award rendered pursuant to this Agreement. You and the Company specifically agree to waive their respective rights to a trial by jury, and further agree that no demand, request or motion will be made for trial by jury.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14. Miscellaneous.</w:t>
      </w:r>
      <w:r>
        <w:rPr>
          <w:rFonts w:ascii="Times New Roman" w:hAnsi="Times New Roman"/>
          <w:sz w:val="20"/>
        </w:rPr>
        <w:t xml:space="preserve"> This Agreement, including its attachments and exhibits, constitutes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Washington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w:t>
      </w:r>
    </w:p>
    <w:p>
      <w:pPr>
        <w:pStyle w:val="TextBody"/>
        <w:bidi w:val="0"/>
        <w:spacing w:before="360" w:after="0"/>
        <w:jc w:val="center"/>
        <w:rPr>
          <w:rFonts w:ascii="Times New Roman" w:hAnsi="Times New Roman"/>
          <w:i/>
          <w:sz w:val="20"/>
        </w:rPr>
      </w:pPr>
      <w:r>
        <w:rPr>
          <w:rFonts w:ascii="Times New Roman" w:hAnsi="Times New Roman"/>
          <w:i/>
          <w:sz w:val="20"/>
        </w:rPr>
        <w:t xml:space="preserve">(Signatures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Signature Page </w:t>
      </w:r>
    </w:p>
    <w:p>
      <w:pPr>
        <w:pStyle w:val="TextBody"/>
        <w:bidi w:val="0"/>
        <w:spacing w:before="120" w:after="0"/>
        <w:jc w:val="left"/>
        <w:rPr>
          <w:rFonts w:ascii="Times New Roman" w:hAnsi="Times New Roman"/>
          <w:sz w:val="20"/>
        </w:rPr>
      </w:pPr>
      <w:r>
        <w:rPr>
          <w:rFonts w:ascii="Times New Roman" w:hAnsi="Times New Roman"/>
          <w:sz w:val="20"/>
        </w:rPr>
        <w:t xml:space="preserve">If this Agreement is acceptable to you, please sign below and return the original to me no later than forty-five (45) days after the date you receive it, but no earlier than the Separation Date. The Companys offer contained herein will automatically expire and become null and void if you do not sign and return it within this timeframe. </w:t>
      </w:r>
    </w:p>
    <w:p>
      <w:pPr>
        <w:pStyle w:val="TextBody"/>
        <w:bidi w:val="0"/>
        <w:spacing w:before="240" w:after="0"/>
        <w:jc w:val="left"/>
        <w:rPr>
          <w:rFonts w:ascii="Times New Roman" w:hAnsi="Times New Roman"/>
          <w:sz w:val="20"/>
        </w:rPr>
      </w:pPr>
      <w:r>
        <w:rPr>
          <w:rFonts w:ascii="Times New Roman" w:hAnsi="Times New Roman"/>
          <w:sz w:val="20"/>
        </w:rPr>
        <w:t xml:space="preserve">You acknowledge that you have been advised that you have the right to consult an attorney regarding this Agreement and that you were given a reasonable time period as set forth above in which to do so. You further 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Jackie Kaweck</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Jackie Kaweck</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SVP, HR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 have read, understand and agree fully to the foregoing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Mike Harburn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Mike Harburn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2/15/2023</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ADEA Disclosure Information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Confidential Information and Invention Assignment Agreement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right"/>
        <w:rPr>
          <w:rFonts w:ascii="Times New Roman" w:hAnsi="Times New Roman"/>
          <w:b/>
          <w:sz w:val="20"/>
        </w:rPr>
      </w:pPr>
      <w:bookmarkStart w:id="19" w:name="d493342dex105.htm"/>
      <w:bookmarkStart w:id="20" w:name="ksd493342dex105"/>
      <w:bookmarkEnd w:id="19"/>
      <w:bookmarkEnd w:id="20"/>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Rigetti Computing, Inc. </w:t>
      </w:r>
    </w:p>
    <w:p>
      <w:pPr>
        <w:pStyle w:val="TextBody"/>
        <w:bidi w:val="0"/>
        <w:spacing w:before="240" w:after="0"/>
        <w:jc w:val="left"/>
        <w:rPr>
          <w:rFonts w:ascii="Times New Roman" w:hAnsi="Times New Roman"/>
          <w:sz w:val="20"/>
        </w:rPr>
      </w:pPr>
      <w:r>
        <w:rPr>
          <w:rFonts w:ascii="Times New Roman" w:hAnsi="Times New Roman"/>
          <w:sz w:val="20"/>
        </w:rPr>
        <w:t xml:space="preserve">February 15, 2023 </w:t>
      </w:r>
    </w:p>
    <w:p>
      <w:pPr>
        <w:pStyle w:val="TextBody"/>
        <w:bidi w:val="0"/>
        <w:spacing w:before="240" w:after="0"/>
        <w:jc w:val="left"/>
        <w:rPr>
          <w:rFonts w:ascii="Times New Roman" w:hAnsi="Times New Roman"/>
          <w:sz w:val="20"/>
        </w:rPr>
      </w:pPr>
      <w:r>
        <w:rPr>
          <w:rFonts w:ascii="Times New Roman" w:hAnsi="Times New Roman"/>
          <w:sz w:val="20"/>
        </w:rPr>
        <w:t xml:space="preserve">Brian Sereda </w:t>
      </w:r>
    </w:p>
    <w:p>
      <w:pPr>
        <w:pStyle w:val="TextBody"/>
        <w:bidi w:val="0"/>
        <w:spacing w:before="0" w:after="0"/>
        <w:jc w:val="left"/>
        <w:rPr>
          <w:rFonts w:ascii="Times New Roman" w:hAnsi="Times New Roman"/>
          <w:sz w:val="20"/>
        </w:rPr>
      </w:pPr>
      <w:r>
        <w:rPr>
          <w:rFonts w:ascii="Times New Roman" w:hAnsi="Times New Roman"/>
          <w:sz w:val="20"/>
        </w:rPr>
        <w:t xml:space="preserve">809 Montevino Dr. </w:t>
      </w:r>
    </w:p>
    <w:p>
      <w:pPr>
        <w:pStyle w:val="TextBody"/>
        <w:bidi w:val="0"/>
        <w:spacing w:before="0" w:after="0"/>
        <w:jc w:val="left"/>
        <w:rPr>
          <w:rFonts w:ascii="Times New Roman" w:hAnsi="Times New Roman"/>
          <w:sz w:val="20"/>
        </w:rPr>
      </w:pPr>
      <w:r>
        <w:rPr>
          <w:rFonts w:ascii="Times New Roman" w:hAnsi="Times New Roman"/>
          <w:sz w:val="20"/>
        </w:rPr>
        <w:t xml:space="preserve">Pleasanton, CA 94566 </w:t>
      </w:r>
    </w:p>
    <w:p>
      <w:pPr>
        <w:pStyle w:val="TextBody"/>
        <w:bidi w:val="0"/>
        <w:spacing w:before="240" w:after="0"/>
        <w:jc w:val="left"/>
        <w:rPr>
          <w:rFonts w:ascii="Times New Roman" w:hAnsi="Times New Roman"/>
          <w:sz w:val="20"/>
        </w:rPr>
      </w:pPr>
      <w:r>
        <w:rPr>
          <w:rFonts w:ascii="Times New Roman" w:hAnsi="Times New Roman"/>
          <w:sz w:val="20"/>
        </w:rPr>
        <w:t xml:space="preserve">Dear Brian: </w:t>
      </w:r>
    </w:p>
    <w:p>
      <w:pPr>
        <w:pStyle w:val="TextBody"/>
        <w:bidi w:val="0"/>
        <w:spacing w:before="120" w:after="0"/>
        <w:jc w:val="left"/>
        <w:rPr>
          <w:rFonts w:ascii="Times New Roman" w:hAnsi="Times New Roman"/>
          <w:sz w:val="20"/>
        </w:rPr>
      </w:pPr>
      <w:r>
        <w:rPr>
          <w:rFonts w:ascii="Times New Roman" w:hAnsi="Times New Roman"/>
          <w:sz w:val="20"/>
        </w:rPr>
        <w:t>As you know, your employment with Rigetti Computing, Inc. (the </w:t>
      </w:r>
      <w:r>
        <w:rPr>
          <w:rFonts w:ascii="Times New Roman" w:hAnsi="Times New Roman"/>
          <w:b/>
          <w:sz w:val="20"/>
        </w:rPr>
        <w:t>Company</w:t>
      </w:r>
      <w:r>
        <w:rPr>
          <w:rFonts w:ascii="Times New Roman" w:hAnsi="Times New Roman"/>
          <w:sz w:val="20"/>
        </w:rPr>
        <w:t>) is terminated effective March 27, 2023 (the </w:t>
      </w:r>
      <w:r>
        <w:rPr>
          <w:rFonts w:ascii="Times New Roman" w:hAnsi="Times New Roman"/>
          <w:b/>
          <w:sz w:val="20"/>
        </w:rPr>
        <w:t>Separation Date</w:t>
      </w:r>
      <w:r>
        <w:rPr>
          <w:rFonts w:ascii="Times New Roman" w:hAnsi="Times New Roman"/>
          <w:sz w:val="20"/>
        </w:rPr>
        <w:t>), and we desire to resolve any and all issues relating to your employment and the conclusion of your employment with the Company amicably and on mutually satisfactory terms. Accordingly, this letter sets forth the terms of the separation agreement (the </w:t>
      </w:r>
      <w:r>
        <w:rPr>
          <w:rFonts w:ascii="Times New Roman" w:hAnsi="Times New Roman"/>
          <w:b/>
          <w:sz w:val="20"/>
        </w:rPr>
        <w:t>Agreement</w:t>
      </w:r>
      <w:r>
        <w:rPr>
          <w:rFonts w:ascii="Times New Roman" w:hAnsi="Times New Roman"/>
          <w:sz w:val="20"/>
        </w:rPr>
        <w:t xml:space="preserve">) the Company is offering you to reach an amicable separation. </w:t>
      </w:r>
    </w:p>
    <w:p>
      <w:pPr>
        <w:pStyle w:val="TextBody"/>
        <w:bidi w:val="0"/>
        <w:spacing w:before="480" w:after="0"/>
        <w:jc w:val="center"/>
        <w:rPr>
          <w:rFonts w:ascii="Times New Roman" w:hAnsi="Times New Roman"/>
          <w:b/>
          <w:sz w:val="20"/>
        </w:rPr>
      </w:pPr>
      <w:r>
        <w:rPr>
          <w:rFonts w:ascii="Times New Roman" w:hAnsi="Times New Roman"/>
          <w:b/>
          <w:sz w:val="20"/>
        </w:rPr>
        <w:t xml:space="preserve">Do not sign and return this Agreement before the Separation Date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SEPARATION</w:t>
      </w:r>
      <w:r>
        <w:rPr>
          <w:rFonts w:ascii="Times New Roman" w:hAnsi="Times New Roman"/>
          <w:sz w:val="20"/>
        </w:rPr>
        <w:t xml:space="preserve">. Your last day of work with the Company and your employment termination date is the Separation Date. You are hereby deemed to have resigned, effective as of the Separation Date, from all positions, titles, duties, authorities, and responsibilities at or with the Company and its affiliates, and you agree to execute all additional documents and take such further steps as the Company may require to effectuate such resignation.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ACCRUED OBLIGATIONS</w:t>
      </w:r>
      <w:r>
        <w:rPr>
          <w:rFonts w:ascii="Times New Roman" w:hAnsi="Times New Roman"/>
          <w:sz w:val="20"/>
        </w:rPr>
        <w:t xml:space="preserve">. On the Separation Date, you will receive your accrued but unpaid salary through the Separation Date. You agree that, within ten (10) days after the Separation Date, you will submit your final documented expense reimbursement statement reflecting all business expenses you incurred through the Separation Date, if any, for which you seek reimbursement. The Company will reimburse you for these expenses in accordance with the Companys standard expense reimbursement policies. You shall also be entitled to vested benefits owed to you under any qualified retirement plan or health and welfare benefit plan in which you were a participant in accordance with applicable law and the provisions of such plan.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 xml:space="preserve">SEVERANCE BENEFITS. </w:t>
      </w:r>
      <w:r>
        <w:rPr>
          <w:rFonts w:ascii="Times New Roman" w:hAnsi="Times New Roman"/>
          <w:sz w:val="20"/>
        </w:rPr>
        <w:t>If you timely sign and return this Agreement to the Company, allow it to become effective, and comply fully with your obligations hereunder, then in full satisfaction of any obligations for the Company to provide you with severance benefits under your Amended and Restated Executive Employment Agreement, dated February 2, 2022 (the </w:t>
      </w:r>
      <w:r>
        <w:rPr>
          <w:rFonts w:ascii="Times New Roman" w:hAnsi="Times New Roman"/>
          <w:b/>
          <w:sz w:val="20"/>
        </w:rPr>
        <w:t>Employment Agreement</w:t>
      </w:r>
      <w:r>
        <w:rPr>
          <w:rFonts w:ascii="Times New Roman" w:hAnsi="Times New Roman"/>
          <w:sz w:val="20"/>
        </w:rPr>
        <w:t>), the Company will provide you with the following severance benefits (the </w:t>
      </w:r>
      <w:r>
        <w:rPr>
          <w:rFonts w:ascii="Times New Roman" w:hAnsi="Times New Roman"/>
          <w:b/>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(a) Severance Payment. </w:t>
      </w:r>
      <w:r>
        <w:rPr>
          <w:rFonts w:ascii="Times New Roman" w:hAnsi="Times New Roman"/>
          <w:sz w:val="20"/>
        </w:rPr>
        <w:t>The Company shall pay you as severance an amount equal to twelve (12) months of your base salary in effect as of the Separation Date (</w:t>
      </w:r>
      <w:r>
        <w:rPr>
          <w:rFonts w:ascii="Times New Roman" w:hAnsi="Times New Roman"/>
          <w:b/>
          <w:sz w:val="20"/>
        </w:rPr>
        <w:t>Severance Payment</w:t>
      </w:r>
      <w:r>
        <w:rPr>
          <w:rFonts w:ascii="Times New Roman" w:hAnsi="Times New Roman"/>
          <w:sz w:val="20"/>
        </w:rPr>
        <w:t xml:space="preserve">). The Severance Payment will be paid in equal installments 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Companys normal payroll schedule following the Separation Date, with the first payment beginning within sixty (60) days following the Separation Date (but no earlier than the Effective Date) (such date, the </w:t>
      </w:r>
      <w:r>
        <w:rPr>
          <w:rFonts w:ascii="Times New Roman" w:hAnsi="Times New Roman"/>
          <w:b/>
          <w:sz w:val="20"/>
        </w:rPr>
        <w:t>Severance Pay Commencement Date</w:t>
      </w:r>
      <w:r>
        <w:rPr>
          <w:rFonts w:ascii="Times New Roman" w:hAnsi="Times New Roman"/>
          <w:sz w:val="20"/>
        </w:rPr>
        <w:t xml:space="preserve">), and the remaining installments occurring on the Companys regularly scheduled payroll dates thereafter; provided that on the Severance Pay Commencement Date, the Company will pay in a lump sum the aggregate amount of the cash severance payments that the Company would have paid you through such date had the payments commenced on the Companys first regularly scheduled payroll date after the Separation Date. </w:t>
      </w:r>
    </w:p>
    <w:p>
      <w:pPr>
        <w:pStyle w:val="TextBody"/>
        <w:bidi w:val="0"/>
        <w:spacing w:before="240" w:after="0"/>
        <w:jc w:val="left"/>
        <w:rPr>
          <w:rFonts w:ascii="Times New Roman" w:hAnsi="Times New Roman"/>
          <w:sz w:val="20"/>
        </w:rPr>
      </w:pPr>
      <w:r>
        <w:rPr>
          <w:rFonts w:ascii="Times New Roman" w:hAnsi="Times New Roman"/>
          <w:b/>
          <w:sz w:val="20"/>
        </w:rPr>
        <w:t xml:space="preserve">(b) COBRA Premium Payments. </w:t>
      </w:r>
      <w:r>
        <w:rPr>
          <w:rFonts w:ascii="Times New Roman" w:hAnsi="Times New Roman"/>
          <w:sz w:val="20"/>
        </w:rPr>
        <w:t>If you timely elect continued coverage under COBRA for you and your covered dependents under the Companys group health plans following the Separation Date, then the Company shall pay the COBRA premiums necessary to continue you and your covered dependents health insurance coverage in effect for you (and your covered dependents) on the Separation Date until the earliest of: (i) twelve (12) months following the termination date; (ii) the date when you become eligible for substantially equivalent health insurance coverage in connection with new employment or self-employment; or (iii) the date you cease to be eligible for COBRA continuation coverage for any reason, including plan termination (such period from the Separation Date through the earlier of (i)-(iii), the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premiums on your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you on the last day of each remaining month of the COBRA Payment Period, a fully taxable cash payment equal to the COBRA premium for such month, subject to applicable tax withholding, for the remainder of the COBRA Payment Period. Nothing in this Agreement shall deprive you of your rights under COBRA or ERISA for benefits under plans and policies arising under your employment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 xml:space="preserve">EQUITY AWARDS. </w:t>
      </w:r>
      <w:r>
        <w:rPr>
          <w:rFonts w:ascii="Times New Roman" w:hAnsi="Times New Roman"/>
          <w:sz w:val="20"/>
        </w:rPr>
        <w:t xml:space="preserve">Under the terms of your equity award agreement and the applicable plan documents, vesting of any of your equity awards will cease as of the Separation Date. Your right to exercise any vested shares, and all other rights and obligations with respect to your equity awards, will be as set forth in your award agreement, grant notice and applicable plan documents.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 xml:space="preserve">OTHER COMPENSATION OR BENEFITS. </w:t>
      </w:r>
      <w:r>
        <w:rPr>
          <w:rFonts w:ascii="Times New Roman" w:hAnsi="Times New Roman"/>
          <w:sz w:val="20"/>
        </w:rPr>
        <w:t xml:space="preserve">By executing this Agreement, you acknowledge and agree that the Companys obligations to provide you with any severance benefits or any other payments are hereby extinguished (except for the benefits described in this Agreement). You further expressly acknowledge and agree that the Severance Benefits, and other benefits provided herein, are in full and complete satisfaction of the Companys obligations, if any, to pay you severance benefits or any other payments pursuant your Employment Agreement, or any other agreements, plans or policies, and that this Agreement hereby supersedes and extinguishes any severance benefits you are or could be eligible to receive under your Employment Agreement, or any other employment agreement, plan, policy or other agreement applicable to you. You also acknowledge that, except as expressly provided in this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 you have not earned and will not receive from the Company any additional compensation, severance, or benefits on or after the Separation Date, with the exception of any vested right you may have under the express terms of a written ERISA-qualified benefit plan (e.g., 401(k) account). By way of example, you acknowledge that you have not earned and are not owed any bonus, vacation, incentive compensation, commissions, or equity. </w:t>
      </w:r>
    </w:p>
    <w:p>
      <w:pPr>
        <w:pStyle w:val="TextBody"/>
        <w:bidi w:val="0"/>
        <w:spacing w:before="240" w:after="0"/>
        <w:jc w:val="left"/>
        <w:rPr>
          <w:rFonts w:ascii="Times New Roman" w:hAnsi="Times New Roman"/>
          <w:b/>
          <w:sz w:val="20"/>
        </w:rPr>
      </w:pPr>
      <w:r>
        <w:rPr>
          <w:rFonts w:ascii="Times New Roman" w:hAnsi="Times New Roman"/>
          <w:b/>
          <w:sz w:val="20"/>
        </w:rPr>
        <w:t xml:space="preserve">6. RELEASE OF CLAIMS.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Release of Claims</w:t>
      </w:r>
      <w:r>
        <w:rPr>
          <w:rFonts w:ascii="Times New Roman" w:hAnsi="Times New Roman"/>
          <w:sz w:val="20"/>
        </w:rPr>
        <w:t>. 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attorneys, advisors, predecessors, successors, insurers, affiliates, and assigns (collectively, the </w:t>
      </w:r>
      <w:r>
        <w:rPr>
          <w:rFonts w:ascii="Times New Roman" w:hAnsi="Times New Roman"/>
          <w:b/>
          <w:sz w:val="20"/>
        </w:rPr>
        <w:t>Released Parties</w:t>
      </w:r>
      <w:r>
        <w:rPr>
          <w:rFonts w:ascii="Times New Roman" w:hAnsi="Times New Roman"/>
          <w:sz w:val="20"/>
        </w:rPr>
        <w:t xml:space="preserve">) from any and all claims, liabilities, demands, causes of action, and obligations, both known and unknown, arising from or in any way related to events, acts, conduct, or omissions occurring at any time prior to and including the date you sign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Scope of Release</w:t>
      </w:r>
      <w:r>
        <w:rPr>
          <w:rFonts w:ascii="Times New Roman" w:hAnsi="Times New Roman"/>
          <w:sz w:val="20"/>
        </w:rPr>
        <w:t>. 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hAnsi="Times New Roman"/>
          <w:b/>
          <w:sz w:val="20"/>
        </w:rPr>
        <w:t>ADEA</w:t>
      </w:r>
      <w:r>
        <w:rPr>
          <w:rFonts w:ascii="Times New Roman" w:hAnsi="Times New Roman"/>
          <w:sz w:val="20"/>
        </w:rPr>
        <w:t xml:space="preserve">), the California Labor Code (as amended), the California Family Rights Act, and the California Fair Employment and Housing Act (as amended).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 xml:space="preserve">ADEA Release. </w:t>
      </w:r>
      <w:r>
        <w:rPr>
          <w:rFonts w:ascii="Times New Roman" w:hAnsi="Times New Roman"/>
          <w:sz w:val="20"/>
        </w:rPr>
        <w:t>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at least twenty-one (21) days to consider this Agreement (although you may choose voluntarily to sign it sooner); (d) you have seven (7) days following the date you sign this Agreement to revoke this Agreement (in a written revocation sent to the Company); and (e) this Agreement will not be effective until the date upon which the revocation period has expired, which will be the eighth day after you sign this Agreement provided that you do not revoke it (the </w:t>
      </w:r>
      <w:r>
        <w:rPr>
          <w:rFonts w:ascii="Times New Roman" w:hAnsi="Times New Roman"/>
          <w:b/>
          <w:sz w:val="20"/>
        </w:rPr>
        <w:t>Effective Date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1542 Waiver. </w:t>
      </w:r>
      <w:r>
        <w:rPr>
          <w:rFonts w:ascii="Times New Roman" w:hAnsi="Times New Roman"/>
          <w:sz w:val="20"/>
        </w:rPr>
        <w:t xml:space="preserve">In giving the release herein, which includes claims which may be unknown to you at present, you acknowledge that you have read and understand Section 1542 of the California Civil Code, which reads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You hereby expressly waive and relinquish all rights and benefits under that section and any law of any other jurisdiction of similar effect with respect to your release of claims herein, including but not limited to your release of unknown claims.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Exceptions</w:t>
      </w:r>
      <w:r>
        <w:rPr>
          <w:rFonts w:ascii="Times New Roman" w:hAnsi="Times New Roman"/>
          <w:sz w:val="20"/>
        </w:rPr>
        <w:t xml:space="preserve">. Notwithstanding the foregoing, you are not releasing the Company hereby from: (i) any obligation to indemnify you pursuant to the Articles and Bylaws of the Company, any valid fully executed indemnification agreement with the Company, applicable law, or applicable directors and officers liability insurance; (ii) any claims that cannot be waived by law; or (iii) any claims for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 xml:space="preserve">Protected Rights. </w:t>
      </w:r>
      <w:r>
        <w:rPr>
          <w:rFonts w:ascii="Times New Roman" w:hAnsi="Times New Roman"/>
          <w:sz w:val="20"/>
        </w:rPr>
        <w:t>You understand that nothing in this Agreement limits your ability to file a charge or 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Times New Roman" w:hAnsi="Times New Roman"/>
          <w:b/>
          <w:sz w:val="20"/>
        </w:rPr>
        <w:t>Government Agencies</w:t>
      </w:r>
      <w:r>
        <w:rPr>
          <w:rFonts w:ascii="Times New Roman" w:hAnsi="Times New Roman"/>
          <w:sz w:val="20"/>
        </w:rPr>
        <w:t xml:space="preserve">).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any other conduct that you have reason to believe is unlawful or in violation of public policy. </w:t>
      </w:r>
    </w:p>
    <w:p>
      <w:pPr>
        <w:pStyle w:val="TextBody"/>
        <w:bidi w:val="0"/>
        <w:spacing w:before="240" w:after="0"/>
        <w:jc w:val="left"/>
        <w:rPr>
          <w:rFonts w:ascii="Times New Roman" w:hAnsi="Times New Roman"/>
          <w:sz w:val="20"/>
        </w:rPr>
      </w:pPr>
      <w:r>
        <w:rPr>
          <w:rFonts w:ascii="Times New Roman" w:hAnsi="Times New Roman"/>
          <w:b/>
          <w:sz w:val="20"/>
        </w:rPr>
        <w:t>7. RETURN OF COMPANY PROPERTY</w:t>
      </w:r>
      <w:r>
        <w:rPr>
          <w:rFonts w:ascii="Times New Roman" w:hAnsi="Times New Roman"/>
          <w:sz w:val="20"/>
        </w:rPr>
        <w:t xml:space="preserve">. You agree that, within five (5) days after the Separation Date (or earlier if requested by the Company),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within five (5)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Times New Roman" w:hAnsi="Times New Roman"/>
          <w:b/>
          <w:sz w:val="20"/>
        </w:rPr>
        <w:t>Your timely compliance with this paragraph is a condition to your receipt of the severance benefits provided under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 CONFIDENTIAL INFORMATION OBLIGATIONS</w:t>
      </w:r>
      <w:r>
        <w:rPr>
          <w:rFonts w:ascii="Times New Roman" w:hAnsi="Times New Roman"/>
          <w:sz w:val="20"/>
        </w:rPr>
        <w:t xml:space="preserve">. You acknowledge and reaffirm your continuing obligations under your Confidential Information and Invention Assignment Agreement, a copy of which is attached hereto as </w:t>
      </w:r>
      <w:r>
        <w:rPr>
          <w:rFonts w:ascii="Times New Roman" w:hAnsi="Times New Roman"/>
          <w:b/>
          <w:sz w:val="20"/>
          <w:u w:val="single"/>
        </w:rPr>
        <w:t>Exhibit A</w:t>
      </w:r>
      <w:r>
        <w:rPr>
          <w:rFonts w:ascii="Times New Roman" w:hAnsi="Times New Roman"/>
          <w:b/>
          <w:sz w:val="20"/>
        </w:rPr>
        <w:t xml:space="preserve"> </w:t>
      </w:r>
      <w:r>
        <w:rPr>
          <w:rFonts w:ascii="Times New Roman" w:hAnsi="Times New Roman"/>
          <w:sz w:val="20"/>
        </w:rPr>
        <w:t xml:space="preserve">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 xml:space="preserve">NO VOLUNTARY ADVERSE ACTION. </w:t>
      </w:r>
      <w:r>
        <w:rPr>
          <w:rFonts w:ascii="Times New Roman" w:hAnsi="Times New Roman"/>
          <w:sz w:val="20"/>
        </w:rPr>
        <w:t xml:space="preserve">You agree that you will not voluntarily (except in response to legal compulsion or as permitted under the section of this Agreement entitled Protected Rights) assist any person in bringing or pursuing any proposed or pending litigation, arbitration, administrative claim or other formal proceeding against the Released Parties.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 xml:space="preserve">COOPERATION. </w:t>
      </w:r>
      <w:r>
        <w:rPr>
          <w:rFonts w:ascii="Times New Roman" w:hAnsi="Times New Roman"/>
          <w:sz w:val="20"/>
        </w:rPr>
        <w:t xml:space="preserve">You agree to provide reasonable cooperation to the Company in connection 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salary, or other compensation) and will make reasonable efforts to accommodate your scheduling needs and for more than de minimis service, you and the Company will agree on a mutually agreeable per diem rate. In addition, in the event you are receiving Severance Benefits, for twelve (12) months after the Separation Date, you agree to reasonably cooperate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Such transition assistance described in the previous sentence shall not be subject to additional compensation, and the Company will make reasonable efforts to accommodate your scheduling needs.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11. NO ADMISSIONS. </w:t>
      </w:r>
      <w:r>
        <w:rPr>
          <w:rFonts w:ascii="Times New Roman" w:hAnsi="Times New Roman"/>
          <w:sz w:val="20"/>
        </w:rPr>
        <w:t xml:space="preserve">You understand and agree that the promises and payments in consideration of this Agreement shall not be construed to be an admission of any liability or obligation by the Company to you or to any other person, and that the Company makes no such admission.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 xml:space="preserve">REPRESENTATIONS. </w:t>
      </w:r>
      <w:r>
        <w:rPr>
          <w:rFonts w:ascii="Times New Roman" w:hAnsi="Times New Roman"/>
          <w:sz w:val="20"/>
        </w:rPr>
        <w:t xml:space="preserve">You hereby represent that you have: been paid all compensation owed and for all hours worked; received all leave and leave benefits and protections for which you are eligible pursuant to the Family and Medical Leave Act, the California Family Rights Act, or otherwise; and not suffered any on-the-job injury for which you have not already filed a workers compensation claim.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DISPUTE RESOLUTION</w:t>
      </w:r>
      <w:r>
        <w:rPr>
          <w:rFonts w:ascii="Times New Roman" w:hAnsi="Times New Roman"/>
          <w:sz w:val="20"/>
        </w:rPr>
        <w:t xml:space="preserve">. You and the Company recognize that litigation in federal or state courts or before federal or state administrative agencies of disputes arising out of your employment with the Company or out of this Agreement, or your termination of employment, may not be in the best interests of either you or the Company, and may result in unnecessary costs, delays, complexities, and uncertainty. Except where prohibited by law, you and the Company agree that any dispute between the parties arising out of or relating to the negotiation, execution, performance or termination of this Agreement or your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The location for the arbitration shall be in Alameda County, California.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hAnsi="Times New Roman"/>
          <w:i/>
          <w:sz w:val="20"/>
        </w:rPr>
        <w:t>provided however</w:t>
      </w:r>
      <w:r>
        <w:rPr>
          <w:rFonts w:ascii="Times New Roman" w:hAnsi="Times New Roman"/>
          <w:sz w:val="20"/>
        </w:rPr>
        <w:t xml:space="preserve">, that at your option, you may voluntarily pay up to one-half the costs and fees. You and the Company acknowledge and agree that our obligations to arbitrate under this section survive the termination of this Agreement and continue after the termination of the employment relationship between you and the Company. You and the Company each further agree that the arbitration provisions of this Agreement shall provide each party with its exclusive remedy, and each party expressly waives any right it might have to seek redress in any other forum, except as otherwise expressly provided in this Agreement. By election arbitration as the means for final settlement of all claims, </w:t>
      </w:r>
      <w:r>
        <w:rPr>
          <w:rFonts w:ascii="Times New Roman" w:hAnsi="Times New Roman"/>
          <w:b/>
          <w:sz w:val="20"/>
        </w:rPr>
        <w:t>you and the Company hereby waive their respective rights to, and agree not to, sue each other in any action in a Federal, State or local court with respect to such claims, but may seek to enforce in court an arbitration award rendered pursuant to this Agreement. You and the Company specifically agree to waive their respective rights to a trial by jury, and further agree that no demand, request or motion will be made for trial by jury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 xml:space="preserve">MISCELLANEOUS. </w:t>
      </w:r>
      <w:r>
        <w:rPr>
          <w:rFonts w:ascii="Times New Roman" w:hAnsi="Times New Roman"/>
          <w:sz w:val="20"/>
        </w:rPr>
        <w:t xml:space="preserve">This Agreement, including its attachments and exhibits, constitutes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w:t>
      </w:r>
    </w:p>
    <w:p>
      <w:pPr>
        <w:pStyle w:val="TextBody"/>
        <w:bidi w:val="0"/>
        <w:spacing w:before="360" w:after="0"/>
        <w:jc w:val="center"/>
        <w:rPr>
          <w:rFonts w:ascii="Times New Roman" w:hAnsi="Times New Roman"/>
          <w:i/>
          <w:sz w:val="20"/>
        </w:rPr>
      </w:pPr>
      <w:r>
        <w:rPr>
          <w:rFonts w:ascii="Times New Roman" w:hAnsi="Times New Roman"/>
          <w:i/>
          <w:sz w:val="20"/>
        </w:rPr>
        <w:t xml:space="preserve">(Signatures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SIGNATURE PAGE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Subodh Kulkarni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Subodh Kulkarni</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CEO</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 HAVE READ, UNDERSTAND AND AGREE FULLY TO THE FOREGOING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Brian Sereda</w:t>
            </w:r>
          </w:p>
        </w:tc>
      </w:tr>
      <w:tr>
        <w:trPr/>
        <w:tc>
          <w:tcPr>
            <w:tcW w:w="4082" w:type="dxa"/>
            <w:tcBorders/>
          </w:tcPr>
          <w:p>
            <w:pPr>
              <w:pStyle w:val="TableContents"/>
              <w:bidi w:val="0"/>
              <w:spacing w:before="0" w:after="283"/>
              <w:jc w:val="left"/>
              <w:rPr/>
            </w:pPr>
            <w:r>
              <w:rPr/>
              <w:t>Brian Sereda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3/28/2023</w:t>
            </w:r>
          </w:p>
        </w:tc>
      </w:tr>
      <w:tr>
        <w:trPr/>
        <w:tc>
          <w:tcPr>
            <w:tcW w:w="4082" w:type="dxa"/>
            <w:tcBorders/>
          </w:tcPr>
          <w:p>
            <w:pPr>
              <w:pStyle w:val="TableContents"/>
              <w:bidi w:val="0"/>
              <w:spacing w:before="0" w:after="283"/>
              <w:jc w:val="left"/>
              <w:rPr/>
            </w:pPr>
            <w:r>
              <w:rPr/>
              <w:t>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Confidential Information and Invention Assignment Agreement </w:t>
      </w:r>
    </w:p>
    <w:p>
      <w:pPr>
        <w:pStyle w:val="TextBody"/>
        <w:bidi w:val="0"/>
        <w:spacing w:before="120" w:after="0"/>
        <w:jc w:val="center"/>
        <w:rPr>
          <w:rFonts w:ascii="Times New Roman" w:hAnsi="Times New Roman"/>
          <w:sz w:val="20"/>
        </w:rPr>
      </w:pPr>
      <w:r>
        <w:rPr>
          <w:rFonts w:ascii="Times New Roman" w:hAnsi="Times New Roman"/>
          <w:sz w:val="20"/>
        </w:rPr>
        <w:t xml:space="preserve">(See Inclusion in Offboarding Envelope) </w:t>
      </w:r>
    </w:p>
    <w:p>
      <w:pPr>
        <w:pStyle w:val="TextBody"/>
        <w:bidi w:val="0"/>
        <w:spacing w:before="0" w:after="0"/>
        <w:jc w:val="right"/>
        <w:rPr>
          <w:rFonts w:ascii="Times New Roman" w:hAnsi="Times New Roman"/>
          <w:b/>
          <w:sz w:val="20"/>
        </w:rPr>
      </w:pPr>
      <w:bookmarkStart w:id="21" w:name="d493342dex311.htm"/>
      <w:bookmarkStart w:id="22" w:name="ksd493342dex311"/>
      <w:bookmarkEnd w:id="21"/>
      <w:bookmarkEnd w:id="22"/>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RULES 13a-14(a) AND 15d-14(a) UNDER THE 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Subodh Kulkarni,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Form 10-Q of Rigetti Computing, Inc.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May 11,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Subodh Kulkarni</w:t>
            </w:r>
          </w:p>
        </w:tc>
      </w:tr>
      <w:tr>
        <w:trPr/>
        <w:tc>
          <w:tcPr>
            <w:tcW w:w="4082" w:type="dxa"/>
            <w:tcBorders/>
          </w:tcPr>
          <w:p>
            <w:pPr>
              <w:pStyle w:val="TableContents"/>
              <w:bidi w:val="0"/>
              <w:spacing w:before="0" w:after="283"/>
              <w:jc w:val="left"/>
              <w:rPr/>
            </w:pPr>
            <w:r>
              <w:rPr/>
              <w:t>Signature</w:t>
            </w:r>
          </w:p>
        </w:tc>
      </w:tr>
      <w:tr>
        <w:trPr/>
        <w:tc>
          <w:tcPr>
            <w:tcW w:w="4082" w:type="dxa"/>
            <w:tcBorders/>
          </w:tcPr>
          <w:p>
            <w:pPr>
              <w:pStyle w:val="TableContents"/>
              <w:bidi w:val="0"/>
              <w:spacing w:before="0" w:after="283"/>
              <w:jc w:val="left"/>
              <w:rPr/>
            </w:pPr>
            <w:r>
              <w:rPr/>
              <w:t>Subodh Kulkarni</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3" w:name="d493342dex312.htm"/>
      <w:bookmarkStart w:id="24" w:name="ksd493342dex312"/>
      <w:bookmarkEnd w:id="23"/>
      <w:bookmarkEnd w:id="24"/>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RULES 13a-14(a) AND 15d-14(a) UNDER THE 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Jeffrey A. Bertelsen,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Form 10-Q of Rigetti Computing, Inc.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May 11,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Jeffrey A. Bertelsen</w:t>
            </w:r>
          </w:p>
        </w:tc>
      </w:tr>
      <w:tr>
        <w:trPr/>
        <w:tc>
          <w:tcPr>
            <w:tcW w:w="4082" w:type="dxa"/>
            <w:tcBorders/>
          </w:tcPr>
          <w:p>
            <w:pPr>
              <w:pStyle w:val="TableContents"/>
              <w:bidi w:val="0"/>
              <w:spacing w:before="0" w:after="283"/>
              <w:jc w:val="left"/>
              <w:rPr/>
            </w:pPr>
            <w:r>
              <w:rPr/>
              <w:t>Signature</w:t>
            </w:r>
          </w:p>
        </w:tc>
      </w:tr>
      <w:tr>
        <w:trPr/>
        <w:tc>
          <w:tcPr>
            <w:tcW w:w="4082" w:type="dxa"/>
            <w:tcBorders/>
          </w:tcPr>
          <w:p>
            <w:pPr>
              <w:pStyle w:val="TableContents"/>
              <w:bidi w:val="0"/>
              <w:spacing w:before="0" w:after="283"/>
              <w:jc w:val="left"/>
              <w:rPr/>
            </w:pPr>
            <w:r>
              <w:rPr/>
              <w:t>Jeffrey A. Bertelsen</w:t>
            </w:r>
          </w:p>
        </w:tc>
      </w:tr>
      <w:tr>
        <w:trPr/>
        <w:tc>
          <w:tcPr>
            <w:tcW w:w="4082"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5" w:name="d493342dex321.htm"/>
      <w:bookmarkStart w:id="26" w:name="ksd493342dex321"/>
      <w:bookmarkEnd w:id="25"/>
      <w:bookmarkEnd w:id="26"/>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18 U.S.C. §1350, </w:t>
      </w:r>
    </w:p>
    <w:p>
      <w:pPr>
        <w:pStyle w:val="TextBody"/>
        <w:bidi w:val="0"/>
        <w:spacing w:before="12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and Jeffrey A. Bertelsen, Chief Financial Officer of the Company, each hereby certifies that, to the best of his knowledge:</w:t>
      </w:r>
    </w:p>
    <w:p>
      <w:pPr>
        <w:pStyle w:val="TextBody"/>
        <w:bidi w:val="0"/>
        <w:spacing w:before="120" w:after="0"/>
        <w:jc w:val="left"/>
        <w:rPr>
          <w:rFonts w:ascii="Times New Roman" w:hAnsi="Times New Roman"/>
          <w:sz w:val="20"/>
        </w:rPr>
      </w:pPr>
      <w:r>
        <w:rPr>
          <w:rFonts w:ascii="Times New Roman" w:hAnsi="Times New Roman"/>
          <w:sz w:val="20"/>
        </w:rPr>
        <w:t xml:space="preserve">1. The Companys Quarterly Report on Form 10-Q for the period ended March 31, 2023, to which this Certification is attached as Exhibit 32.1 (the Periodic Report), fully complies with the requirements of Section 13(a) or 15(d) of the Securities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Period Report fairly presents, in all material respects, the financial condition and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Dated: May 11, 2023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set their hands hereto as of the 11th day of May,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Subodh Kulkarni</w:t>
            </w:r>
          </w:p>
        </w:tc>
      </w:tr>
      <w:tr>
        <w:trPr/>
        <w:tc>
          <w:tcPr>
            <w:tcW w:w="4082" w:type="dxa"/>
            <w:tcBorders/>
          </w:tcPr>
          <w:p>
            <w:pPr>
              <w:pStyle w:val="TableContents"/>
              <w:bidi w:val="0"/>
              <w:spacing w:before="0" w:after="283"/>
              <w:jc w:val="left"/>
              <w:rPr/>
            </w:pPr>
            <w:r>
              <w:rPr/>
              <w:t>Subodh Kulkarni</w:t>
            </w:r>
          </w:p>
        </w:tc>
      </w:tr>
      <w:tr>
        <w:trPr/>
        <w:tc>
          <w:tcPr>
            <w:tcW w:w="4082" w:type="dxa"/>
            <w:tcBorders/>
          </w:tcPr>
          <w:p>
            <w:pPr>
              <w:pStyle w:val="TableContents"/>
              <w:bidi w:val="0"/>
              <w:spacing w:before="0" w:after="283"/>
              <w:jc w:val="left"/>
              <w:rPr/>
            </w:pPr>
            <w:r>
              <w:rPr/>
              <w:t>President and Chief Executive Officer</w:t>
            </w:r>
          </w:p>
        </w:tc>
      </w:tr>
      <w:tr>
        <w:trPr/>
        <w:tc>
          <w:tcPr>
            <w:tcW w:w="4082" w:type="dxa"/>
            <w:tcBorders/>
          </w:tcPr>
          <w:p>
            <w:pPr>
              <w:pStyle w:val="TableContents"/>
              <w:bidi w:val="0"/>
              <w:spacing w:before="0" w:after="283"/>
              <w:jc w:val="left"/>
              <w:rPr/>
            </w:pPr>
            <w:r>
              <w:rPr/>
              <w:t>May 11, 2023</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Jeffrey A. Bertelsen</w:t>
            </w:r>
          </w:p>
        </w:tc>
      </w:tr>
      <w:tr>
        <w:trPr/>
        <w:tc>
          <w:tcPr>
            <w:tcW w:w="4082" w:type="dxa"/>
            <w:tcBorders/>
          </w:tcPr>
          <w:p>
            <w:pPr>
              <w:pStyle w:val="TableContents"/>
              <w:bidi w:val="0"/>
              <w:spacing w:before="0" w:after="283"/>
              <w:jc w:val="left"/>
              <w:rPr/>
            </w:pPr>
            <w:r>
              <w:rPr/>
              <w:t>Jeffrey A. Bertelsen</w:t>
            </w:r>
          </w:p>
        </w:tc>
      </w:tr>
      <w:tr>
        <w:trPr/>
        <w:tc>
          <w:tcPr>
            <w:tcW w:w="4082" w:type="dxa"/>
            <w:tcBorders/>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283"/>
              <w:jc w:val="left"/>
              <w:rPr/>
            </w:pPr>
            <w:r>
              <w:rPr/>
              <w:t>May 11, 2023</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8359/000119312521292696/d228756dex21.htm" TargetMode="External"/><Relationship Id="rId3" Type="http://schemas.openxmlformats.org/officeDocument/2006/relationships/hyperlink" Target="http://www.sec.gov/Archives/edgar/data/1838359/000119312521366325/d260312dex21.htm" TargetMode="External"/><Relationship Id="rId4" Type="http://schemas.openxmlformats.org/officeDocument/2006/relationships/hyperlink" Target="http://www.sec.gov/Archives/edgar/data/1838359/000119312522005796/d254318dex21.htm" TargetMode="External"/><Relationship Id="rId5" Type="http://schemas.openxmlformats.org/officeDocument/2006/relationships/hyperlink" Target="http://www.sec.gov/Archives/edgar/data/1838359/000119312522067932/d506107dex31.htm" TargetMode="External"/><Relationship Id="rId6" Type="http://schemas.openxmlformats.org/officeDocument/2006/relationships/hyperlink" Target="http://www.sec.gov/Archives/edgar/data/1838359/000119312522067932/d506107dex32.htm" TargetMode="External"/><Relationship Id="rId7" Type="http://schemas.openxmlformats.org/officeDocument/2006/relationships/hyperlink" Target="http://www.sec.gov/Archives/edgar/data/1838359/000119312522067932/d506107dex41.htm" TargetMode="External"/><Relationship Id="rId8" Type="http://schemas.openxmlformats.org/officeDocument/2006/relationships/hyperlink" Target="http://www.sec.gov/Archives/edgar/data/1838359/000119312522067932/d506107dex42.htm" TargetMode="External"/><Relationship Id="rId9" Type="http://schemas.openxmlformats.org/officeDocument/2006/relationships/hyperlink" Target="http://www.sec.gov/Archives/edgar/data/1838359/000119312523031410/d406416dex101.htm" TargetMode="External"/><Relationship Id="rId10" Type="http://schemas.openxmlformats.org/officeDocument/2006/relationships/hyperlink" Target="http://www.sec.gov/Archives/edgar/data/1838359/000119312523040758/d440145dex101.htm" TargetMode="External"/><Relationship Id="rId11" Type="http://schemas.openxmlformats.org/officeDocument/2006/relationships/hyperlink" Target="http://www.sec.gov/Archives/edgar/data/1838359/000119312523092226/d486993dex1030.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37363</Words>
  <Characters>203534</Characters>
  <CharactersWithSpaces>244585</CharactersWithSpaces>
  <Paragraphs>7125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