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Clifton Michael S.</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Rigetti Computing,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RGTI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RIGETTI COMPUTING,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775 HEINZ AVENUE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BERKELEY</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94710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9,208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512,974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for service as a director of the Issuer. The shares underlying the RSUs will vest in full on the earlier of (i) the date of the Issuer's 2027 annual meeting of the stockholders (or the date immediately prior to such annual meeting if the Reporting Person's service as a director ends at such annual meeting) or (ii) on June 9,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Bertelsen, Attorney- </w:t>
      </w:r>
      <w:r>
        <w:rPr>
          <w:rFonts w:ascii="Times New Roman" w:cs="Times New Roman" w:eastAsia="Times New Roman" w:hAnsi="Times New Roman"/>
          <w:sz w:val="33"/>
          <w:szCs w:val="33"/>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0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853"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2026-06-10T07:08:03Z</dcterms:created>
  <dcterms:modified xsi:type="dcterms:W3CDTF">2026-06-10T07:08:03Z</dcterms:modified>
</cp:coreProperties>
</file>