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RIGETTI COMPUTING,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001-40140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88-0950636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862" w:right="339" w:bottom="1440" w:gutter="0" w:footer="0" w:header="0"/>
          <w:type w:val="continuous"/>
        </w:sectPr>
      </w:pPr>
    </w:p>
    <w:p>
      <w:pPr>
        <w:spacing w:after="0" w:line="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775 Heinz Avenue, Berkeley, California</w:t>
      </w:r>
    </w:p>
    <w:p>
      <w:pPr>
        <w:spacing w:after="0" w:line="4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94710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86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210-5550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460" w:hanging="3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3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RGTI</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RGTIW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 share</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62"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12529"/>
        </w:rPr>
        <w:t>Rigetti Computing, Inc. (the “Company”) held its 2026 Annual Meeting of Stockholders (the “Annual Meeting”) on June 9, 2026. The final results for each of the proposals submitted to a vote of the Company’s stockholders at the Annual Meeting are set forth below. These proposals are described in the Company’s definitive proxy statement filed with the Securities and Exchange Commission on April 24,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Proposal 1. Election of Directors.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12529"/>
        </w:rPr>
        <w:t>The Company’s stockholders elected the person listed below as a Class I Director to serve until the Company’s 2029 Annual Meeting of Stockholders and until their successor is duly elected and qualified or until their earlier death, resignation or removal. The final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Subodh Kulkarni</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4"/>
              </w:rPr>
              <w:t>84,378,493 </w:t>
            </w:r>
          </w:p>
        </w:tc>
        <w:tc>
          <w:tcPr>
            <w:tcW w:w="26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5"/>
              </w:rPr>
              <w:t>9,946,548 </w:t>
            </w:r>
          </w:p>
        </w:tc>
        <w:tc>
          <w:tcPr>
            <w:tcW w:w="2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93,703,628 </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Proposal 2. Ratification of the Appointment of Independent Registered Public Accounting Firm.</w:t>
      </w:r>
    </w:p>
    <w:p>
      <w:pPr>
        <w:spacing w:after="0" w:line="229"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212529"/>
        </w:rPr>
        <w:t>The Company’s stockholders ratified the appointment of BDO USA, P.C. as the Company’s independent registered public accounting firm for the fiscal year ending December 31, 2026. The final voting results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185,103,270</w:t>
            </w:r>
          </w:p>
        </w:tc>
        <w:tc>
          <w:tcPr>
            <w:tcW w:w="24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1,473,228</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1,452,171 </w:t>
            </w:r>
          </w:p>
        </w:tc>
        <w:tc>
          <w:tcPr>
            <w:tcW w:w="2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7"/>
          <w:szCs w:val="17"/>
          <w:b w:val="1"/>
          <w:bCs w:val="1"/>
          <w:color w:val="auto"/>
        </w:rPr>
        <w:t>RIGETTI COMPUTING,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Bertelsen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2026-06-11T06:32:18Z</dcterms:created>
  <dcterms:modified xsi:type="dcterms:W3CDTF">2026-06-11T06:32:18Z</dcterms:modified>
</cp:coreProperties>
</file>