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0001913235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1"/>
          <w:szCs w:val="21"/>
          <w:color w:val="auto"/>
        </w:rPr>
        <w:t>Rigetti Computing, Inc.</w:t>
      </w:r>
    </w:p>
    <w:p>
      <w:pPr>
        <w:spacing w:after="0" w:line="56"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001-40140</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775 HEINZ AVENUE</w:t>
      </w: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BERKELEY</w:t>
      </w:r>
    </w:p>
    <w:p>
      <w:pPr>
        <w:ind w:left="4"/>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94710</w:t>
      </w:r>
    </w:p>
    <w:p>
      <w:pPr>
        <w:spacing w:after="0" w:line="20" w:lineRule="exact"/>
        <w:rPr>
          <w:sz w:val="24"/>
          <w:szCs w:val="24"/>
          <w:color w:val="auto"/>
        </w:rPr>
      </w:pPr>
    </w:p>
    <w:p>
      <w:pPr>
        <w:ind w:left="524" w:hanging="524"/>
        <w:spacing w:after="0"/>
        <w:tabs>
          <w:tab w:leader="none" w:pos="52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210-5550</w:t>
      </w:r>
    </w:p>
    <w:p>
      <w:pPr>
        <w:spacing w:after="0" w:line="44"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Sandford Helene Gail</w:t>
      </w:r>
    </w:p>
    <w:p>
      <w:pPr>
        <w:spacing w:after="0" w:line="44" w:lineRule="exact"/>
        <w:rPr>
          <w:sz w:val="24"/>
          <w:szCs w:val="24"/>
          <w:color w:val="auto"/>
        </w:rPr>
      </w:pPr>
    </w:p>
    <w:p>
      <w:pPr>
        <w:sectPr>
          <w:pgSz w:w="11900" w:h="16838" w:orient="portrait"/>
          <w:cols w:equalWidth="0" w:num="2">
            <w:col w:w="7536" w:space="720"/>
            <w:col w:w="298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Piper Sandler and Co 350 North 5th Street Minneapolis MN 55401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9038</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186453.94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332400000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446" w:lineRule="exact"/>
        <w:rPr>
          <w:sz w:val="24"/>
          <w:szCs w:val="24"/>
          <w:color w:val="auto"/>
        </w:rPr>
      </w:pPr>
    </w:p>
    <w:p>
      <w:pPr>
        <w:sectPr>
          <w:pgSz w:w="11900" w:h="16838" w:orient="portrait"/>
          <w:cols w:equalWidth="0" w:num="4">
            <w:col w:w="2220" w:space="280"/>
            <w:col w:w="2300" w:space="80"/>
            <w:col w:w="2320" w:space="220"/>
            <w:col w:w="3820"/>
          </w:cols>
          <w:pgMar w:left="320" w:top="261" w:right="339" w:bottom="0" w:gutter="0" w:footer="0" w:header="0"/>
          <w:type w:val="continuous"/>
        </w:sectPr>
      </w:pPr>
    </w:p>
    <w:p>
      <w:pPr>
        <w:spacing w:after="0" w:line="28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06/10/2026 RSU</w:t>
      </w:r>
      <w:r>
        <w:rPr>
          <w:sz w:val="20"/>
          <w:szCs w:val="20"/>
          <w:color w:val="auto"/>
        </w:rPr>
        <w:tab/>
      </w:r>
      <w:r>
        <w:rPr>
          <w:rFonts w:ascii="Times New Roman" w:cs="Times New Roman" w:eastAsia="Times New Roman" w:hAnsi="Times New Roman"/>
          <w:sz w:val="22"/>
          <w:szCs w:val="22"/>
          <w:color w:val="auto"/>
        </w:rPr>
        <w:t xml:space="preserve">Company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9038</w:t>
      </w:r>
      <w:r>
        <w:rPr>
          <w:sz w:val="20"/>
          <w:szCs w:val="20"/>
          <w:color w:val="auto"/>
        </w:rPr>
        <w:tab/>
      </w:r>
      <w:r>
        <w:rPr>
          <w:rFonts w:ascii="Times New Roman" w:cs="Times New Roman" w:eastAsia="Times New Roman" w:hAnsi="Times New Roman"/>
          <w:sz w:val="21"/>
          <w:szCs w:val="21"/>
          <w:color w:val="auto"/>
        </w:rPr>
        <w:t>06/10/2026 Cash</w:t>
      </w:r>
    </w:p>
    <w:p>
      <w:pPr>
        <w:spacing w:after="0" w:line="288"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06/12/2025</w:t>
      </w:r>
    </w:p>
    <w:p>
      <w:pPr>
        <w:spacing w:after="0" w:line="623" w:lineRule="exact"/>
        <w:rPr>
          <w:sz w:val="20"/>
          <w:szCs w:val="20"/>
          <w:color w:val="auto"/>
        </w:rPr>
      </w:pPr>
    </w:p>
    <w:p>
      <w:pPr>
        <w:sectPr>
          <w:pgSz w:w="11900" w:h="16838" w:orient="portrait"/>
          <w:cols w:equalWidth="0" w:num="2">
            <w:col w:w="3380" w:space="560"/>
            <w:col w:w="7300"/>
          </w:cols>
          <w:pgMar w:left="320" w:top="111"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8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7"/>
              </w:rPr>
              <w:t>Dan Schmidt, as a duly authorized representative of Piper Sandler &amp; Co Corporate</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868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&amp; Venture Services FA, as attorney-in-fact Gail Sandford</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2026-06-11T16:08:06Z</dcterms:created>
  <dcterms:modified xsi:type="dcterms:W3CDTF">2026-06-11T16:08:06Z</dcterms:modified>
</cp:coreProperties>
</file>