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Clifton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Supernova Partners Acquisition Co II, Ltd.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4301 50th Street NW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300 PMB 1044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20016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Supernova Partners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 II,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333-260692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Clifton: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November 30,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Rigetti's Financial Condition and Status as an Early Stage Company, page 59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Supplement your risk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by acknowledging that Rigetti has in the past failed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meet its publicly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announced timetables for technological advancement. For example,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in 2018,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Rigetti publicly announced plans to produce a quantum computer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128 qubits within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year of such statement.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here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highest number of qubits Rigetti has deployed in a quantum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computer is 40 qubits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conflict with other references in the prospectus and with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statements from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6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Rigetti's management. For example, the disclosure on page 156 Michael Clifton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Supernova Partners Acquisition Co II,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5,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assertions in recent filings made under Rule 425 suggest that Rigetti currently has an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 qubit system. Please reconcile these statements in your next filing. Critical Accounting Policies and Estimates, page 274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35 that the majority of your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are fixed fee arrangements. As such, please provide disclosure that addresses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negative impact to your profitability if you do not complete these fixed fee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within budget and on time. In addition, please consider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this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possibility should be addressed in a risk factor disclosure.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Restatement to Previously Reported Financial Statement, page F-8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company filed an Item 8.01 Form 8-K on March 10, 2021 that included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audited balance sheet dated March 4, 2021. We further note that the company has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such balance sheet here on an unaudited basis. Please explain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restated balance sheet was not subject to an audit.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throughout to reflect the $45 million additional PIPE commitment. Discuss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parties negotiated these additional commitments at a premium to the previously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announced PIPE.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Ryan Rohn, Senior Staff Accountant, at (202) 551-3739 or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Priscilla Dao,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551-5997 or Joshua Shainess, Legal Branch Chief, at (202) 551-7951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Clifton</w:t>
      </w:r>
    </w:p>
    <w:p>
      <w:pPr>
        <w:ind w:left="5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NameSupernova Partners Acquisition Co II, Ltd.</w:t>
      </w:r>
    </w:p>
    <w:p>
      <w:pPr>
        <w:ind w:left="5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5, 2022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 K. Pandya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2022-03-11T22:34:40Z</dcterms:created>
  <dcterms:modified xsi:type="dcterms:W3CDTF">2022-03-11T22:34:40Z</dcterms:modified>
</cp:coreProperties>
</file>