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7"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9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OR</w:t>
      </w:r>
    </w:p>
    <w:p>
      <w:pPr>
        <w:ind w:left="540" w:hanging="424"/>
        <w:spacing w:after="0" w:line="203" w:lineRule="auto"/>
        <w:tabs>
          <w:tab w:leader="none" w:pos="54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 FOR THE</w:t>
      </w:r>
    </w:p>
    <w:p>
      <w:pPr>
        <w:spacing w:after="0" w:line="203" w:lineRule="exact"/>
        <w:rPr>
          <w:sz w:val="24"/>
          <w:szCs w:val="24"/>
          <w:color w:val="auto"/>
        </w:rPr>
      </w:pPr>
    </w:p>
    <w:p>
      <w:pPr>
        <w:ind w:left="540"/>
        <w:spacing w:after="0"/>
        <w:tabs>
          <w:tab w:leader="none" w:pos="36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113"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Commission File Number 001-40140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160655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RIGETTI COMPUTING, INC.</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jc w:val="center"/>
              <w:ind w:right="488"/>
              <w:spacing w:after="0"/>
              <w:rPr>
                <w:sz w:val="20"/>
                <w:szCs w:val="20"/>
                <w:color w:val="auto"/>
              </w:rPr>
            </w:pPr>
            <w:r>
              <w:rPr>
                <w:rFonts w:ascii="Arial" w:cs="Arial" w:eastAsia="Arial" w:hAnsi="Arial"/>
                <w:sz w:val="14"/>
                <w:szCs w:val="14"/>
                <w:b w:val="1"/>
                <w:bCs w:val="1"/>
                <w:color w:val="auto"/>
                <w:w w:val="94"/>
              </w:rPr>
              <w:t>Delaware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gridSpan w:val="2"/>
          </w:tcPr>
          <w:p>
            <w:pPr>
              <w:jc w:val="right"/>
              <w:ind w:right="1830"/>
              <w:spacing w:after="0"/>
              <w:rPr>
                <w:sz w:val="20"/>
                <w:szCs w:val="20"/>
                <w:color w:val="auto"/>
              </w:rPr>
            </w:pPr>
            <w:r>
              <w:rPr>
                <w:rFonts w:ascii="Arial" w:cs="Arial" w:eastAsia="Arial" w:hAnsi="Arial"/>
                <w:sz w:val="14"/>
                <w:szCs w:val="14"/>
                <w:b w:val="1"/>
                <w:bCs w:val="1"/>
                <w:color w:val="auto"/>
              </w:rPr>
              <w:t>88-0950636</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480" w:type="dxa"/>
            <w:vAlign w:val="bottom"/>
            <w:gridSpan w:val="2"/>
          </w:tcPr>
          <w:p>
            <w:pPr>
              <w:jc w:val="center"/>
              <w:ind w:left="4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gridSpan w:val="2"/>
          </w:tcPr>
          <w:p>
            <w:pPr>
              <w:jc w:val="center"/>
              <w:ind w:right="121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248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4"/>
              </w:rPr>
              <w:t>incorporation or organization)</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2"/>
          </w:tcPr>
          <w:p>
            <w:pPr>
              <w:jc w:val="center"/>
              <w:ind w:right="1210"/>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59"/>
        </w:trPr>
        <w:tc>
          <w:tcPr>
            <w:tcW w:w="1260" w:type="dxa"/>
            <w:vAlign w:val="bottom"/>
          </w:tcPr>
          <w:p>
            <w:pPr>
              <w:spacing w:after="0"/>
              <w:rPr>
                <w:sz w:val="22"/>
                <w:szCs w:val="22"/>
                <w:color w:val="auto"/>
              </w:rPr>
            </w:pPr>
          </w:p>
        </w:tc>
        <w:tc>
          <w:tcPr>
            <w:tcW w:w="248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2"/>
              </w:rPr>
              <w:t>775 Heinz Avenue</w:t>
            </w: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jc w:val="center"/>
              <w:ind w:right="488"/>
              <w:spacing w:after="0"/>
              <w:rPr>
                <w:sz w:val="20"/>
                <w:szCs w:val="20"/>
                <w:color w:val="auto"/>
              </w:rPr>
            </w:pPr>
            <w:r>
              <w:rPr>
                <w:rFonts w:ascii="Arial" w:cs="Arial" w:eastAsia="Arial" w:hAnsi="Arial"/>
                <w:sz w:val="14"/>
                <w:szCs w:val="14"/>
                <w:b w:val="1"/>
                <w:bCs w:val="1"/>
                <w:color w:val="auto"/>
                <w:w w:val="94"/>
              </w:rPr>
              <w:t>Berkeley, CA</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gridSpan w:val="2"/>
          </w:tcPr>
          <w:p>
            <w:pPr>
              <w:jc w:val="right"/>
              <w:ind w:right="1990"/>
              <w:spacing w:after="0"/>
              <w:rPr>
                <w:sz w:val="20"/>
                <w:szCs w:val="20"/>
                <w:color w:val="auto"/>
              </w:rPr>
            </w:pPr>
            <w:r>
              <w:rPr>
                <w:rFonts w:ascii="Arial" w:cs="Arial" w:eastAsia="Arial" w:hAnsi="Arial"/>
                <w:sz w:val="14"/>
                <w:szCs w:val="14"/>
                <w:b w:val="1"/>
                <w:bCs w:val="1"/>
                <w:color w:val="auto"/>
              </w:rPr>
              <w:t>94710</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5580" w:type="dxa"/>
            <w:vAlign w:val="bottom"/>
            <w:gridSpan w:val="7"/>
          </w:tcPr>
          <w:p>
            <w:pPr>
              <w:jc w:val="center"/>
              <w:ind w:right="2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60" w:type="dxa"/>
            <w:vAlign w:val="bottom"/>
          </w:tcPr>
          <w:p>
            <w:pPr>
              <w:jc w:val="center"/>
              <w:ind w:right="1750"/>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20" w:type="dxa"/>
            <w:vAlign w:val="bottom"/>
            <w:gridSpan w:val="10"/>
          </w:tcPr>
          <w:p>
            <w:pPr>
              <w:jc w:val="center"/>
              <w:ind w:right="1850"/>
              <w:spacing w:after="0"/>
              <w:rPr>
                <w:sz w:val="20"/>
                <w:szCs w:val="20"/>
                <w:color w:val="auto"/>
              </w:rPr>
            </w:pPr>
            <w:r>
              <w:rPr>
                <w:rFonts w:ascii="Arial" w:cs="Arial" w:eastAsia="Arial" w:hAnsi="Arial"/>
                <w:sz w:val="14"/>
                <w:szCs w:val="14"/>
                <w:b w:val="1"/>
                <w:bCs w:val="1"/>
                <w:color w:val="auto"/>
                <w:w w:val="92"/>
              </w:rPr>
              <w:t>Registrant’s telephone number, including area code: (510) 210-5550</w:t>
            </w: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gridSpan w:val="3"/>
          </w:tcPr>
          <w:p>
            <w:pPr>
              <w:spacing w:after="0"/>
              <w:rPr>
                <w:sz w:val="18"/>
                <w:szCs w:val="18"/>
                <w:color w:val="auto"/>
              </w:rPr>
            </w:pPr>
          </w:p>
        </w:tc>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64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5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70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740" w:type="dxa"/>
            <w:vAlign w:val="bottom"/>
            <w:gridSpan w:val="3"/>
          </w:tcPr>
          <w:p>
            <w:pPr>
              <w:jc w:val="center"/>
              <w:ind w:right="48"/>
              <w:spacing w:after="0" w:line="119" w:lineRule="exact"/>
              <w:rPr>
                <w:sz w:val="20"/>
                <w:szCs w:val="20"/>
                <w:color w:val="auto"/>
              </w:rPr>
            </w:pPr>
            <w:r>
              <w:rPr>
                <w:rFonts w:ascii="Arial" w:cs="Arial" w:eastAsia="Arial" w:hAnsi="Arial"/>
                <w:sz w:val="13"/>
                <w:szCs w:val="13"/>
                <w:b w:val="1"/>
                <w:bCs w:val="1"/>
                <w:color w:val="auto"/>
                <w:w w:val="99"/>
              </w:rPr>
              <w:t>Common Stock, $0.0001 par value per share</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4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rPr>
              <w:t>RGTI</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The Nasdaq Capital Market</w:t>
            </w:r>
          </w:p>
        </w:tc>
        <w:tc>
          <w:tcPr>
            <w:tcW w:w="0" w:type="dxa"/>
            <w:vAlign w:val="bottom"/>
          </w:tcPr>
          <w:p>
            <w:pPr>
              <w:spacing w:after="0"/>
              <w:rPr>
                <w:sz w:val="1"/>
                <w:szCs w:val="1"/>
                <w:color w:val="auto"/>
              </w:rPr>
            </w:pPr>
          </w:p>
        </w:tc>
      </w:tr>
      <w:tr>
        <w:trPr>
          <w:trHeight w:val="148"/>
        </w:trPr>
        <w:tc>
          <w:tcPr>
            <w:tcW w:w="374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Warrants, each whole warrant exercisable for one share of</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rPr>
              <w:t>RGTW</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The Nasdaq Capital Market</w:t>
            </w:r>
          </w:p>
        </w:tc>
        <w:tc>
          <w:tcPr>
            <w:tcW w:w="0" w:type="dxa"/>
            <w:vAlign w:val="bottom"/>
          </w:tcPr>
          <w:p>
            <w:pPr>
              <w:spacing w:after="0"/>
              <w:rPr>
                <w:sz w:val="1"/>
                <w:szCs w:val="1"/>
                <w:color w:val="auto"/>
              </w:rPr>
            </w:pPr>
          </w:p>
        </w:tc>
      </w:tr>
      <w:tr>
        <w:trPr>
          <w:trHeight w:val="186"/>
        </w:trPr>
        <w:tc>
          <w:tcPr>
            <w:tcW w:w="374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0"/>
              </w:rPr>
              <w:t>Common Stock at an exercise price of $11.50 per share</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20" w:type="dxa"/>
            <w:vAlign w:val="bottom"/>
            <w:gridSpan w:val="10"/>
          </w:tcPr>
          <w:p>
            <w:pPr>
              <w:jc w:val="center"/>
              <w:ind w:right="185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3200" w:type="dxa"/>
            <w:vAlign w:val="bottom"/>
            <w:gridSpan w:val="2"/>
            <w:vMerge w:val="restart"/>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95"/>
        </w:trPr>
        <w:tc>
          <w:tcPr>
            <w:tcW w:w="6840" w:type="dxa"/>
            <w:vAlign w:val="bottom"/>
            <w:gridSpan w:val="8"/>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20" w:type="dxa"/>
            <w:vAlign w:val="bottom"/>
          </w:tcPr>
          <w:p>
            <w:pPr>
              <w:ind w:left="100"/>
              <w:spacing w:after="0"/>
              <w:rPr>
                <w:sz w:val="20"/>
                <w:szCs w:val="20"/>
                <w:color w:val="auto"/>
              </w:rPr>
            </w:pPr>
            <w:r>
              <w:rPr>
                <w:rFonts w:ascii="Arial" w:cs="Arial" w:eastAsia="Arial" w:hAnsi="Arial"/>
                <w:sz w:val="14"/>
                <w:szCs w:val="14"/>
                <w:color w:val="auto"/>
                <w:w w:val="82"/>
              </w:rPr>
              <w:t>Yes</w:t>
            </w:r>
          </w:p>
        </w:tc>
        <w:tc>
          <w:tcPr>
            <w:tcW w:w="220" w:type="dxa"/>
            <w:vAlign w:val="bottom"/>
            <w:vMerge w:val="continue"/>
          </w:tcPr>
          <w:p>
            <w:pPr>
              <w:spacing w:after="0"/>
              <w:rPr>
                <w:sz w:val="24"/>
                <w:szCs w:val="24"/>
                <w:color w:val="auto"/>
              </w:rPr>
            </w:pPr>
          </w:p>
        </w:tc>
        <w:tc>
          <w:tcPr>
            <w:tcW w:w="3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40" w:type="dxa"/>
            <w:vAlign w:val="bottom"/>
            <w:gridSpan w:val="8"/>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15(d) of the Act.  Yes</w:t>
            </w:r>
          </w:p>
        </w:tc>
        <w:tc>
          <w:tcPr>
            <w:tcW w:w="3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No</w:t>
            </w:r>
          </w:p>
        </w:tc>
        <w:tc>
          <w:tcPr>
            <w:tcW w:w="3200" w:type="dxa"/>
            <w:vAlign w:val="bottom"/>
            <w:gridSpan w:val="2"/>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120" w:right="10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0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230" w:right="459" w:bottom="1440" w:gutter="0" w:footer="0" w:header="0"/>
        </w:sectPr>
      </w:pPr>
    </w:p>
    <w:p>
      <w:pPr>
        <w:spacing w:after="0" w:line="106" w:lineRule="exact"/>
        <w:rPr>
          <w:sz w:val="24"/>
          <w:szCs w:val="24"/>
          <w:color w:val="auto"/>
        </w:rPr>
      </w:pPr>
    </w:p>
    <w:p>
      <w:pPr>
        <w:ind w:left="13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6">
            <w:col w:w="2600" w:space="260"/>
            <w:col w:w="820" w:space="720"/>
            <w:col w:w="1160" w:space="720"/>
            <w:col w:w="820" w:space="720"/>
            <w:col w:w="1580" w:space="280"/>
            <w:col w:w="1440"/>
          </w:cols>
          <w:pgMar w:left="320" w:top="230" w:right="459" w:bottom="1440" w:gutter="0" w:footer="0" w:header="0"/>
          <w:type w:val="continuous"/>
        </w:sectPr>
      </w:pPr>
    </w:p>
    <w:p>
      <w:pPr>
        <w:spacing w:after="0" w:line="41" w:lineRule="exact"/>
        <w:rPr>
          <w:sz w:val="24"/>
          <w:szCs w:val="24"/>
          <w:color w:val="auto"/>
        </w:rPr>
      </w:pPr>
    </w:p>
    <w:p>
      <w:pPr>
        <w:ind w:left="13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77" w:lineRule="exact"/>
        <w:rPr>
          <w:sz w:val="24"/>
          <w:szCs w:val="24"/>
          <w:color w:val="auto"/>
        </w:rPr>
      </w:pPr>
    </w:p>
    <w:p>
      <w:pPr>
        <w:sectPr>
          <w:pgSz w:w="11900" w:h="16838" w:orient="portrait"/>
          <w:cols w:equalWidth="0" w:num="4">
            <w:col w:w="2540" w:space="320"/>
            <w:col w:w="820" w:space="720"/>
            <w:col w:w="1580" w:space="300"/>
            <w:col w:w="4840"/>
          </w:cols>
          <w:pgMar w:left="320" w:top="230" w:right="459" w:bottom="1440" w:gutter="0" w:footer="0" w:header="0"/>
          <w:type w:val="continuous"/>
        </w:sectPr>
      </w:pPr>
    </w:p>
    <w:p>
      <w:pPr>
        <w:ind w:left="120" w:right="3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0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6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error to previously issued financial statements.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400"/>
        <w:spacing w:after="0" w:line="180" w:lineRule="exact"/>
        <w:rPr>
          <w:sz w:val="20"/>
          <w:szCs w:val="20"/>
          <w:color w:val="auto"/>
        </w:rPr>
      </w:pPr>
      <w:r>
        <w:rPr>
          <w:rFonts w:ascii="Arial" w:cs="Arial" w:eastAsia="Arial" w:hAnsi="Arial"/>
          <w:sz w:val="14"/>
          <w:szCs w:val="14"/>
          <w:color w:val="auto"/>
        </w:rPr>
        <w:t xml:space="preserve">Indicate by check mark whether any of those corrections are restatements the required a recovery analysis of incentive-based compensation received by any of the registrant’s executive officers during the recovery period pursuant to §240.10D-1(b). </w:t>
      </w:r>
      <w:r>
        <w:rPr>
          <w:rFonts w:ascii="MS PGothic" w:cs="MS PGothic" w:eastAsia="MS PGothic" w:hAnsi="MS PGothic"/>
          <w:sz w:val="14"/>
          <w:szCs w:val="14"/>
          <w:color w:val="auto"/>
        </w:rPr>
        <w:t>☐</w:t>
      </w:r>
    </w:p>
    <w:p>
      <w:pPr>
        <w:spacing w:after="0" w:line="59" w:lineRule="exact"/>
        <w:rPr>
          <w:sz w:val="24"/>
          <w:szCs w:val="24"/>
          <w:color w:val="auto"/>
        </w:rPr>
      </w:pPr>
    </w:p>
    <w:p>
      <w:pPr>
        <w:ind w:left="120"/>
        <w:spacing w:after="0" w:line="161" w:lineRule="exact"/>
        <w:tabs>
          <w:tab w:leader="none" w:pos="6820" w:val="left"/>
          <w:tab w:leader="none" w:pos="73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120"/>
        <w:spacing w:after="0" w:line="23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$3.67 per share of the Registrant’s common stock on The Nasdaq Capital Market on June 30, 2022, was $137.6 million. This calculation excludes shares of the Registrant’s common stock held by current executive officers, directors and stockholders that the Registrant has concluded are affiliates of the Registrant. This determination of affiliate status is not a determination for other purposes. The number of shares of Registrant’s Common Stock outstanding as of March 22, 2023 was 128,754,267.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20" w:type="dxa"/>
            <w:vAlign w:val="bottom"/>
            <w:gridSpan w:val="9"/>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40" w:type="dxa"/>
            <w:vAlign w:val="bottom"/>
            <w:gridSpan w:val="2"/>
            <w:vMerge w:val="restart"/>
          </w:tcPr>
          <w:p>
            <w:pPr>
              <w:spacing w:after="0"/>
              <w:rPr>
                <w:sz w:val="20"/>
                <w:szCs w:val="20"/>
                <w:color w:val="auto"/>
              </w:rPr>
            </w:pPr>
            <w:r>
              <w:rPr>
                <w:rFonts w:ascii="Arial" w:cs="Arial" w:eastAsia="Arial" w:hAnsi="Arial"/>
                <w:sz w:val="18"/>
                <w:szCs w:val="18"/>
                <w:color w:val="0000EE"/>
                <w:w w:val="89"/>
              </w:rPr>
              <w:t>PART I</w:t>
            </w:r>
          </w:p>
        </w:tc>
        <w:tc>
          <w:tcPr>
            <w:tcW w:w="760" w:type="dxa"/>
            <w:vAlign w:val="bottom"/>
            <w:gridSpan w:val="6"/>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61"/>
        </w:trPr>
        <w:tc>
          <w:tcPr>
            <w:tcW w:w="540" w:type="dxa"/>
            <w:vAlign w:val="bottom"/>
            <w:tcBorders>
              <w:bottom w:val="single" w:sz="8" w:color="0000EE"/>
            </w:tcBorders>
            <w:gridSpan w:val="2"/>
            <w:vMerge w:val="continue"/>
          </w:tcPr>
          <w:p>
            <w:pPr>
              <w:spacing w:after="0"/>
              <w:rPr>
                <w:sz w:val="13"/>
                <w:szCs w:val="13"/>
                <w:color w:val="auto"/>
              </w:rPr>
            </w:pPr>
          </w:p>
        </w:tc>
        <w:tc>
          <w:tcPr>
            <w:tcW w:w="76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79"/>
              </w:rPr>
              <w:t>Item 1.</w:t>
            </w:r>
          </w:p>
        </w:tc>
        <w:tc>
          <w:tcPr>
            <w:tcW w:w="640" w:type="dxa"/>
            <w:vAlign w:val="bottom"/>
            <w:gridSpan w:val="4"/>
          </w:tcPr>
          <w:p>
            <w:pPr>
              <w:spacing w:after="0"/>
              <w:rPr>
                <w:sz w:val="17"/>
                <w:szCs w:val="17"/>
                <w:color w:val="auto"/>
              </w:rPr>
            </w:pPr>
          </w:p>
        </w:tc>
        <w:tc>
          <w:tcPr>
            <w:tcW w:w="6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Business</w:t>
            </w:r>
          </w:p>
        </w:tc>
        <w:tc>
          <w:tcPr>
            <w:tcW w:w="870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8"/>
              </w:rPr>
              <w:t>Item 1A.</w:t>
            </w:r>
          </w:p>
        </w:tc>
        <w:tc>
          <w:tcPr>
            <w:tcW w:w="4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7"/>
              </w:rPr>
              <w:t>Risk Factors</w:t>
            </w:r>
          </w:p>
        </w:tc>
        <w:tc>
          <w:tcPr>
            <w:tcW w:w="84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3"/>
              </w:rPr>
              <w:t>Item 1B.</w:t>
            </w:r>
          </w:p>
        </w:tc>
        <w:tc>
          <w:tcPr>
            <w:tcW w:w="520" w:type="dxa"/>
            <w:vAlign w:val="bottom"/>
            <w:gridSpan w:val="2"/>
          </w:tcPr>
          <w:p>
            <w:pPr>
              <w:spacing w:after="0"/>
              <w:rPr>
                <w:sz w:val="17"/>
                <w:szCs w:val="17"/>
                <w:color w:val="auto"/>
              </w:rPr>
            </w:pPr>
          </w:p>
        </w:tc>
        <w:tc>
          <w:tcPr>
            <w:tcW w:w="20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Unresolved Staff Comments</w:t>
            </w:r>
          </w:p>
        </w:tc>
        <w:tc>
          <w:tcPr>
            <w:tcW w:w="730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gridSpan w:val="3"/>
          </w:tcPr>
          <w:p>
            <w:pPr>
              <w:spacing w:after="0" w:line="196" w:lineRule="exact"/>
              <w:rPr>
                <w:sz w:val="20"/>
                <w:szCs w:val="20"/>
                <w:color w:val="auto"/>
              </w:rPr>
            </w:pPr>
            <w:r>
              <w:rPr>
                <w:rFonts w:ascii="Arial" w:cs="Arial" w:eastAsia="Arial" w:hAnsi="Arial"/>
                <w:sz w:val="18"/>
                <w:szCs w:val="18"/>
                <w:color w:val="0000EE"/>
                <w:w w:val="79"/>
              </w:rPr>
              <w:t>Item 2.</w:t>
            </w:r>
          </w:p>
        </w:tc>
        <w:tc>
          <w:tcPr>
            <w:tcW w:w="640" w:type="dxa"/>
            <w:vAlign w:val="bottom"/>
            <w:gridSpan w:val="4"/>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Arial" w:cs="Arial" w:eastAsia="Arial" w:hAnsi="Arial"/>
                <w:sz w:val="18"/>
                <w:szCs w:val="18"/>
                <w:color w:val="0000EE"/>
              </w:rPr>
              <w:t>Properties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gridSpan w:val="3"/>
          </w:tcPr>
          <w:p>
            <w:pPr>
              <w:spacing w:after="0" w:line="196" w:lineRule="exact"/>
              <w:rPr>
                <w:sz w:val="20"/>
                <w:szCs w:val="20"/>
                <w:color w:val="auto"/>
              </w:rPr>
            </w:pPr>
            <w:r>
              <w:rPr>
                <w:rFonts w:ascii="Arial" w:cs="Arial" w:eastAsia="Arial" w:hAnsi="Arial"/>
                <w:sz w:val="18"/>
                <w:szCs w:val="18"/>
                <w:color w:val="0000EE"/>
                <w:w w:val="79"/>
              </w:rPr>
              <w:t>Item 3.</w:t>
            </w:r>
          </w:p>
        </w:tc>
        <w:tc>
          <w:tcPr>
            <w:tcW w:w="640" w:type="dxa"/>
            <w:vAlign w:val="bottom"/>
            <w:gridSpan w:val="4"/>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Arial" w:cs="Arial" w:eastAsia="Arial" w:hAnsi="Arial"/>
                <w:sz w:val="18"/>
                <w:szCs w:val="18"/>
                <w:color w:val="0000EE"/>
              </w:rPr>
              <w:t>Legal Proceedings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gridSpan w:val="3"/>
          </w:tcPr>
          <w:p>
            <w:pPr>
              <w:spacing w:after="0" w:line="196" w:lineRule="exact"/>
              <w:rPr>
                <w:sz w:val="20"/>
                <w:szCs w:val="20"/>
                <w:color w:val="auto"/>
              </w:rPr>
            </w:pPr>
            <w:r>
              <w:rPr>
                <w:rFonts w:ascii="Arial" w:cs="Arial" w:eastAsia="Arial" w:hAnsi="Arial"/>
                <w:sz w:val="18"/>
                <w:szCs w:val="18"/>
                <w:color w:val="0000EE"/>
                <w:w w:val="79"/>
              </w:rPr>
              <w:t>Item 4.</w:t>
            </w:r>
          </w:p>
        </w:tc>
        <w:tc>
          <w:tcPr>
            <w:tcW w:w="640" w:type="dxa"/>
            <w:vAlign w:val="bottom"/>
            <w:gridSpan w:val="4"/>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Arial" w:cs="Arial" w:eastAsia="Arial" w:hAnsi="Arial"/>
                <w:sz w:val="18"/>
                <w:szCs w:val="18"/>
                <w:color w:val="0000EE"/>
              </w:rPr>
              <w:t>Mine Safety Disclosures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PART II</w:t>
            </w:r>
          </w:p>
        </w:tc>
        <w:tc>
          <w:tcPr>
            <w:tcW w:w="70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gridSpan w:val="3"/>
          </w:tcPr>
          <w:p>
            <w:pPr>
              <w:spacing w:after="0" w:line="196" w:lineRule="exact"/>
              <w:rPr>
                <w:sz w:val="20"/>
                <w:szCs w:val="20"/>
                <w:color w:val="auto"/>
              </w:rPr>
            </w:pPr>
            <w:r>
              <w:rPr>
                <w:rFonts w:ascii="Arial" w:cs="Arial" w:eastAsia="Arial" w:hAnsi="Arial"/>
                <w:sz w:val="18"/>
                <w:szCs w:val="18"/>
                <w:color w:val="0000EE"/>
                <w:w w:val="79"/>
              </w:rPr>
              <w:t>Item 5.</w:t>
            </w:r>
          </w:p>
        </w:tc>
        <w:tc>
          <w:tcPr>
            <w:tcW w:w="640" w:type="dxa"/>
            <w:vAlign w:val="bottom"/>
            <w:gridSpan w:val="4"/>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Arial" w:cs="Arial" w:eastAsia="Arial" w:hAnsi="Arial"/>
                <w:sz w:val="18"/>
                <w:szCs w:val="18"/>
                <w:color w:val="0000EE"/>
              </w:rPr>
              <w:t>Market for Registrant’s Common Equity, Related Stockholder Matters and Issuer Purchases of Equity Securities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79"/>
              </w:rPr>
              <w:t>Item 6.</w:t>
            </w:r>
          </w:p>
        </w:tc>
        <w:tc>
          <w:tcPr>
            <w:tcW w:w="640" w:type="dxa"/>
            <w:vAlign w:val="bottom"/>
            <w:gridSpan w:val="4"/>
          </w:tcPr>
          <w:p>
            <w:pPr>
              <w:spacing w:after="0"/>
              <w:rPr>
                <w:sz w:val="17"/>
                <w:szCs w:val="17"/>
                <w:color w:val="auto"/>
              </w:rPr>
            </w:pPr>
          </w:p>
        </w:tc>
        <w:tc>
          <w:tcPr>
            <w:tcW w:w="806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Selected Financial Data</w:t>
            </w:r>
          </w:p>
        </w:tc>
        <w:tc>
          <w:tcPr>
            <w:tcW w:w="12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gridSpan w:val="3"/>
          </w:tcPr>
          <w:p>
            <w:pPr>
              <w:spacing w:after="0" w:line="196" w:lineRule="exact"/>
              <w:rPr>
                <w:sz w:val="20"/>
                <w:szCs w:val="20"/>
                <w:color w:val="auto"/>
              </w:rPr>
            </w:pPr>
            <w:r>
              <w:rPr>
                <w:rFonts w:ascii="Arial" w:cs="Arial" w:eastAsia="Arial" w:hAnsi="Arial"/>
                <w:sz w:val="18"/>
                <w:szCs w:val="18"/>
                <w:color w:val="0000EE"/>
                <w:w w:val="79"/>
              </w:rPr>
              <w:t>Item 7.</w:t>
            </w:r>
          </w:p>
        </w:tc>
        <w:tc>
          <w:tcPr>
            <w:tcW w:w="640" w:type="dxa"/>
            <w:vAlign w:val="bottom"/>
            <w:gridSpan w:val="4"/>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80" w:type="dxa"/>
            <w:vAlign w:val="bottom"/>
            <w:gridSpan w:val="6"/>
          </w:tcPr>
          <w:p>
            <w:pPr>
              <w:spacing w:after="0" w:line="196" w:lineRule="exact"/>
              <w:rPr>
                <w:sz w:val="20"/>
                <w:szCs w:val="20"/>
                <w:color w:val="auto"/>
              </w:rPr>
            </w:pPr>
            <w:r>
              <w:rPr>
                <w:rFonts w:ascii="Arial" w:cs="Arial" w:eastAsia="Arial" w:hAnsi="Arial"/>
                <w:sz w:val="18"/>
                <w:szCs w:val="18"/>
                <w:color w:val="0000EE"/>
                <w:w w:val="98"/>
              </w:rPr>
              <w:t>Item 7A.</w:t>
            </w:r>
          </w:p>
        </w:tc>
        <w:tc>
          <w:tcPr>
            <w:tcW w:w="4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79"/>
              </w:rPr>
              <w:t>Item 8.</w:t>
            </w:r>
          </w:p>
        </w:tc>
        <w:tc>
          <w:tcPr>
            <w:tcW w:w="200" w:type="dxa"/>
            <w:vAlign w:val="bottom"/>
            <w:tcBorders>
              <w:top w:val="single" w:sz="8" w:color="0000EE"/>
            </w:tcBorders>
            <w:gridSpan w:val="3"/>
          </w:tcPr>
          <w:p>
            <w:pPr>
              <w:spacing w:after="0"/>
              <w:rPr>
                <w:sz w:val="17"/>
                <w:szCs w:val="17"/>
                <w:color w:val="auto"/>
              </w:rPr>
            </w:pPr>
          </w:p>
        </w:tc>
        <w:tc>
          <w:tcPr>
            <w:tcW w:w="4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500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gridSpan w:val="3"/>
          </w:tcPr>
          <w:p>
            <w:pPr>
              <w:spacing w:after="0" w:line="196" w:lineRule="exact"/>
              <w:rPr>
                <w:sz w:val="20"/>
                <w:szCs w:val="20"/>
                <w:color w:val="auto"/>
              </w:rPr>
            </w:pPr>
            <w:r>
              <w:rPr>
                <w:rFonts w:ascii="Arial" w:cs="Arial" w:eastAsia="Arial" w:hAnsi="Arial"/>
                <w:sz w:val="18"/>
                <w:szCs w:val="18"/>
                <w:color w:val="0000EE"/>
                <w:w w:val="79"/>
              </w:rPr>
              <w:t>Item 9.</w:t>
            </w:r>
          </w:p>
        </w:tc>
        <w:tc>
          <w:tcPr>
            <w:tcW w:w="640" w:type="dxa"/>
            <w:vAlign w:val="bottom"/>
            <w:gridSpan w:val="4"/>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80" w:type="dxa"/>
            <w:vAlign w:val="bottom"/>
            <w:gridSpan w:val="6"/>
          </w:tcPr>
          <w:p>
            <w:pPr>
              <w:spacing w:after="0" w:line="196" w:lineRule="exact"/>
              <w:rPr>
                <w:sz w:val="20"/>
                <w:szCs w:val="20"/>
                <w:color w:val="auto"/>
              </w:rPr>
            </w:pPr>
            <w:r>
              <w:rPr>
                <w:rFonts w:ascii="Arial" w:cs="Arial" w:eastAsia="Arial" w:hAnsi="Arial"/>
                <w:sz w:val="18"/>
                <w:szCs w:val="18"/>
                <w:color w:val="0000EE"/>
                <w:w w:val="98"/>
              </w:rPr>
              <w:t>Item 9A.</w:t>
            </w:r>
          </w:p>
        </w:tc>
        <w:tc>
          <w:tcPr>
            <w:tcW w:w="4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Arial" w:cs="Arial" w:eastAsia="Arial" w:hAnsi="Arial"/>
                <w:sz w:val="18"/>
                <w:szCs w:val="18"/>
                <w:color w:val="0000EE"/>
              </w:rPr>
              <w:t>Controls and Procedures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3"/>
              </w:rPr>
              <w:t>Item 9B.</w:t>
            </w:r>
          </w:p>
        </w:tc>
        <w:tc>
          <w:tcPr>
            <w:tcW w:w="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7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Other Information</w:t>
            </w:r>
          </w:p>
        </w:tc>
        <w:tc>
          <w:tcPr>
            <w:tcW w:w="764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gridSpan w:val="5"/>
          </w:tcPr>
          <w:p>
            <w:pPr>
              <w:spacing w:after="0" w:line="196" w:lineRule="exact"/>
              <w:rPr>
                <w:sz w:val="20"/>
                <w:szCs w:val="20"/>
                <w:color w:val="auto"/>
              </w:rPr>
            </w:pPr>
            <w:r>
              <w:rPr>
                <w:rFonts w:ascii="Arial" w:cs="Arial" w:eastAsia="Arial" w:hAnsi="Arial"/>
                <w:sz w:val="18"/>
                <w:szCs w:val="18"/>
                <w:color w:val="0000EE"/>
                <w:w w:val="82"/>
              </w:rPr>
              <w:t>Item 9C.</w:t>
            </w:r>
          </w:p>
        </w:tc>
        <w:tc>
          <w:tcPr>
            <w:tcW w:w="520" w:type="dxa"/>
            <w:vAlign w:val="bottom"/>
            <w:gridSpan w:val="2"/>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PART III</w:t>
            </w:r>
          </w:p>
        </w:tc>
        <w:tc>
          <w:tcPr>
            <w:tcW w:w="64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gridSpan w:val="5"/>
          </w:tcPr>
          <w:p>
            <w:pPr>
              <w:spacing w:after="0" w:line="196" w:lineRule="exact"/>
              <w:rPr>
                <w:sz w:val="20"/>
                <w:szCs w:val="20"/>
                <w:color w:val="auto"/>
              </w:rPr>
            </w:pPr>
            <w:r>
              <w:rPr>
                <w:rFonts w:ascii="Arial" w:cs="Arial" w:eastAsia="Arial" w:hAnsi="Arial"/>
                <w:sz w:val="18"/>
                <w:szCs w:val="18"/>
                <w:color w:val="0000EE"/>
                <w:w w:val="86"/>
              </w:rPr>
              <w:t>Item 10.</w:t>
            </w:r>
          </w:p>
        </w:tc>
        <w:tc>
          <w:tcPr>
            <w:tcW w:w="520" w:type="dxa"/>
            <w:vAlign w:val="bottom"/>
            <w:gridSpan w:val="2"/>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Arial" w:cs="Arial" w:eastAsia="Arial" w:hAnsi="Arial"/>
                <w:sz w:val="18"/>
                <w:szCs w:val="18"/>
                <w:color w:val="0000EE"/>
              </w:rPr>
              <w:t>Directors, Executive Officers and Corporate Governance</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6"/>
              </w:rPr>
              <w:t>Item 11.</w:t>
            </w:r>
          </w:p>
        </w:tc>
        <w:tc>
          <w:tcPr>
            <w:tcW w:w="520" w:type="dxa"/>
            <w:vAlign w:val="bottom"/>
            <w:gridSpan w:val="2"/>
          </w:tcPr>
          <w:p>
            <w:pPr>
              <w:spacing w:after="0"/>
              <w:rPr>
                <w:sz w:val="17"/>
                <w:szCs w:val="17"/>
                <w:color w:val="auto"/>
              </w:rPr>
            </w:pPr>
          </w:p>
        </w:tc>
        <w:tc>
          <w:tcPr>
            <w:tcW w:w="408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Executive Compensation</w:t>
            </w:r>
          </w:p>
        </w:tc>
        <w:tc>
          <w:tcPr>
            <w:tcW w:w="52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gridSpan w:val="5"/>
          </w:tcPr>
          <w:p>
            <w:pPr>
              <w:spacing w:after="0" w:line="196" w:lineRule="exact"/>
              <w:rPr>
                <w:sz w:val="20"/>
                <w:szCs w:val="20"/>
                <w:color w:val="auto"/>
              </w:rPr>
            </w:pPr>
            <w:r>
              <w:rPr>
                <w:rFonts w:ascii="Arial" w:cs="Arial" w:eastAsia="Arial" w:hAnsi="Arial"/>
                <w:sz w:val="18"/>
                <w:szCs w:val="18"/>
                <w:color w:val="0000EE"/>
                <w:w w:val="86"/>
              </w:rPr>
              <w:t>Item 12.</w:t>
            </w:r>
          </w:p>
        </w:tc>
        <w:tc>
          <w:tcPr>
            <w:tcW w:w="520" w:type="dxa"/>
            <w:vAlign w:val="bottom"/>
            <w:gridSpan w:val="2"/>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6"/>
              </w:rPr>
              <w:t>Item 13.</w:t>
            </w:r>
          </w:p>
        </w:tc>
        <w:tc>
          <w:tcPr>
            <w:tcW w:w="520" w:type="dxa"/>
            <w:vAlign w:val="bottom"/>
            <w:gridSpan w:val="2"/>
          </w:tcPr>
          <w:p>
            <w:pPr>
              <w:spacing w:after="0"/>
              <w:rPr>
                <w:sz w:val="17"/>
                <w:szCs w:val="17"/>
                <w:color w:val="auto"/>
              </w:rPr>
            </w:pPr>
          </w:p>
        </w:tc>
        <w:tc>
          <w:tcPr>
            <w:tcW w:w="728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206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6"/>
              </w:rPr>
              <w:t>Item 14.</w:t>
            </w:r>
          </w:p>
        </w:tc>
        <w:tc>
          <w:tcPr>
            <w:tcW w:w="520" w:type="dxa"/>
            <w:vAlign w:val="bottom"/>
            <w:gridSpan w:val="2"/>
          </w:tcPr>
          <w:p>
            <w:pPr>
              <w:spacing w:after="0"/>
              <w:rPr>
                <w:sz w:val="17"/>
                <w:szCs w:val="17"/>
                <w:color w:val="auto"/>
              </w:rPr>
            </w:pPr>
          </w:p>
        </w:tc>
        <w:tc>
          <w:tcPr>
            <w:tcW w:w="544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390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gridSpan w:val="8"/>
          </w:tcPr>
          <w:p>
            <w:pPr>
              <w:spacing w:after="0"/>
              <w:rPr>
                <w:sz w:val="20"/>
                <w:szCs w:val="20"/>
                <w:color w:val="auto"/>
              </w:rPr>
            </w:pPr>
            <w:r>
              <w:rPr>
                <w:rFonts w:ascii="Arial" w:cs="Arial" w:eastAsia="Arial" w:hAnsi="Arial"/>
                <w:sz w:val="18"/>
                <w:szCs w:val="18"/>
                <w:color w:val="0000EE"/>
              </w:rPr>
              <w:t>PART IV</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6"/>
              </w:rPr>
              <w:t>Item 15.</w:t>
            </w:r>
          </w:p>
        </w:tc>
        <w:tc>
          <w:tcPr>
            <w:tcW w:w="520" w:type="dxa"/>
            <w:vAlign w:val="bottom"/>
            <w:gridSpan w:val="2"/>
          </w:tcPr>
          <w:p>
            <w:pPr>
              <w:spacing w:after="0"/>
              <w:rPr>
                <w:sz w:val="17"/>
                <w:szCs w:val="17"/>
                <w:color w:val="auto"/>
              </w:rPr>
            </w:pPr>
          </w:p>
        </w:tc>
        <w:tc>
          <w:tcPr>
            <w:tcW w:w="290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Exhibits, Financial Statement Schedules</w:t>
            </w:r>
          </w:p>
        </w:tc>
        <w:tc>
          <w:tcPr>
            <w:tcW w:w="644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gridSpan w:val="5"/>
          </w:tcPr>
          <w:p>
            <w:pPr>
              <w:spacing w:after="0" w:line="196" w:lineRule="exact"/>
              <w:rPr>
                <w:sz w:val="20"/>
                <w:szCs w:val="20"/>
                <w:color w:val="auto"/>
              </w:rPr>
            </w:pPr>
            <w:r>
              <w:rPr>
                <w:rFonts w:ascii="Arial" w:cs="Arial" w:eastAsia="Arial" w:hAnsi="Arial"/>
                <w:sz w:val="18"/>
                <w:szCs w:val="18"/>
                <w:color w:val="0000EE"/>
                <w:w w:val="86"/>
              </w:rPr>
              <w:t>Item 16.</w:t>
            </w:r>
          </w:p>
        </w:tc>
        <w:tc>
          <w:tcPr>
            <w:tcW w:w="520" w:type="dxa"/>
            <w:vAlign w:val="bottom"/>
            <w:gridSpan w:val="2"/>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Arial" w:cs="Arial" w:eastAsia="Arial" w:hAnsi="Arial"/>
                <w:sz w:val="18"/>
                <w:szCs w:val="18"/>
                <w:color w:val="0000EE"/>
              </w:rPr>
              <w:t>Form 10-K Summary</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“target,” “should,” “could,” “will,” “would” or the negative of such terms or other similar expressions.</w:t>
      </w:r>
    </w:p>
    <w:p>
      <w:pPr>
        <w:spacing w:after="0" w:line="16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Annual Report on Form 10-K. We caution you that these forward-looking statements are subject to numerous risks and uncertainties, most of which are difficult to predict and many of which are beyond our control.</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Forward-looking statements in this Annual Report on Form 10-K may include, for example, statements about:</w:t>
      </w:r>
    </w:p>
    <w:p>
      <w:pPr>
        <w:spacing w:after="0" w:line="131" w:lineRule="exact"/>
        <w:rPr>
          <w:sz w:val="20"/>
          <w:szCs w:val="20"/>
          <w:color w:val="auto"/>
        </w:rPr>
      </w:pPr>
    </w:p>
    <w:p>
      <w:pPr>
        <w:ind w:left="1080" w:right="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resources, our expectation that we will need to raise additional capital by late 2024 or early 2025 and our ability to raise additional capital when needed;</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milestones, technological advancements, including with respect to executing on our technology roadmap and developing practical applications;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quantum computing and estimated market size and market growth including with respect to our long-term business strategy for quantum computing as a service (“Quantum Computing as a Service,” or “QCaaS”);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partnerships and collaborations;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accelerate our development of multiple generations of quantum processors;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customer concentration and the risk that a significant portion of our revenue currently depends on contracts with the public sector;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outcome of any legal proceedings that may be instituted against us or others with respect to the Business Combination or other matters;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on our business strategy, including monetization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growth rate and market opportunity;</w:t>
      </w:r>
    </w:p>
    <w:p>
      <w:pPr>
        <w:spacing w:after="0" w:line="130"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cure the current deficiency with respect to, and to regain compliance with and maintain, the listing of our common stock, par value $0.0001 per share (the “common stock”) and Public Warrants (as defined herein) on, the Nasdaq Capital Market (“Nasdaq”), and the potential liquidity and trading of such securities;</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Business Combination, which may be affected by, among other things, competition, our ability to grow and manage growth profitably, maintain relationships with customers and suppliers and retain our management and key employees;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related to operating as a public company;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86"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remediate the material weaknesses in, and establish and maintain, effective internal controls over financial reporting;</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or competitive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evolution of the markets in which we compete;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strategic initiatives, expansion plans and continue to innovate our existing services;</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conditions in our industry, the global economy or global supply chain (including any supply chain impacts from the ongoing military conflict involving Russia and Ukraine and sanctions related thereto), including inflation and financial and credit market fluctuations;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profitability,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or decisions to expand or maintain our existing customer base; and</w:t>
      </w:r>
    </w:p>
    <w:p>
      <w:pPr>
        <w:spacing w:after="0" w:line="130" w:lineRule="exact"/>
        <w:rPr>
          <w:rFonts w:ascii="Arial" w:cs="Arial" w:eastAsia="Arial" w:hAnsi="Arial"/>
          <w:sz w:val="18"/>
          <w:szCs w:val="18"/>
          <w:color w:val="auto"/>
        </w:rPr>
      </w:pPr>
    </w:p>
    <w:p>
      <w:pPr>
        <w:ind w:left="1080" w:right="360" w:hanging="424"/>
        <w:spacing w:after="0" w:line="31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continuing effects of the COVID-19 pandemic and macroeconomic conditions, including worsening global economic conditions, disruptions to and volatility and uncertainty in the credit and financial markets, increases in inflation and interest rates, and recent and potential future disruptions in access to bank deposits or lending commitments due to bank failures, on the foregoing.</w:t>
      </w:r>
    </w:p>
    <w:p>
      <w:pPr>
        <w:spacing w:after="0" w:line="14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Given these risks and uncertainties, you should not place undue reliance on these forward-looking statements. Should one or more of the risks or uncertainties described in this Annual Report on Form 10-K,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8" w:lineRule="exact"/>
        <w:rPr>
          <w:sz w:val="20"/>
          <w:szCs w:val="20"/>
          <w:color w:val="auto"/>
        </w:rPr>
      </w:pPr>
    </w:p>
    <w:p>
      <w:pPr>
        <w:ind w:left="120" w:right="640"/>
        <w:spacing w:after="0" w:line="263" w:lineRule="auto"/>
        <w:rPr>
          <w:sz w:val="20"/>
          <w:szCs w:val="20"/>
          <w:color w:val="auto"/>
        </w:rPr>
      </w:pPr>
      <w:r>
        <w:rPr>
          <w:rFonts w:ascii="Arial" w:cs="Arial" w:eastAsia="Arial" w:hAnsi="Arial"/>
          <w:sz w:val="18"/>
          <w:szCs w:val="18"/>
          <w:color w:val="auto"/>
        </w:rPr>
        <w:t>You should read this Annual Report on Form 10-K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86"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securities. These risks include, among others, the following:</w:t>
      </w:r>
    </w:p>
    <w:p>
      <w:pPr>
        <w:spacing w:after="0" w:line="76" w:lineRule="exact"/>
        <w:rPr>
          <w:sz w:val="20"/>
          <w:szCs w:val="20"/>
          <w:color w:val="auto"/>
        </w:rPr>
      </w:pPr>
    </w:p>
    <w:p>
      <w:pPr>
        <w:ind w:left="108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our estimates and current business plan, we expect that we will need to raise additional capital by late 2024 or early 2025 in order to continue our research and development efforts and achieve our business objectives. We cannot be sure that additional financing will be available. If we are unable to raise additional funding when needed, we may be required to delay, limit or substantially reduce our quantum computing development efforts.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in our early stages and have a limited operating history, which makes it difficult to forecast our future results of operations.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operating losses and expect to incur significant expenses and continuing losses for the foreseeable future.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the market in which we compete achieves its anticipated growth levels, our business could fail to grow at similar rates, if at all.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use net operating loss carryforwards and other tax attributes may be limited.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not produced quantum computers with high qubit counts and we face significant barriers in our attempts to produce quantum computers, including the need to invent and develop new technology. If we cannot successfully overcome those barriers, our business will be negatively impacted and could fail.</w:t>
      </w:r>
    </w:p>
    <w:p>
      <w:pPr>
        <w:spacing w:after="0" w:line="89" w:lineRule="exact"/>
        <w:rPr>
          <w:rFonts w:ascii="Arial" w:cs="Arial" w:eastAsia="Arial" w:hAnsi="Arial"/>
          <w:sz w:val="18"/>
          <w:szCs w:val="18"/>
          <w:color w:val="auto"/>
        </w:rPr>
      </w:pPr>
    </w:p>
    <w:p>
      <w:pPr>
        <w:jc w:val="both"/>
        <w:ind w:left="1080" w:right="380" w:hanging="424"/>
        <w:spacing w:after="0" w:line="31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future generations of hardware, including any future generations developed to demonstrate narrow quantum advantage and broad quantum advantage and the anticipated release of an 84 qubit system, and 336 qubit system, each of which is an important anticipated milestone for our technology roadmap and commercialization, may not occur on our anticipated timeline or at all.</w:t>
      </w:r>
    </w:p>
    <w:p>
      <w:pPr>
        <w:spacing w:after="0" w:line="54"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computers fail to achieve quantum advantage, our business, financial condition and future prospects may be harmed. Moreover, the standards by which we measure our progress may be based on assumptions and expectations that are not accurate or that may change as quantum computing evolves.</w:t>
      </w:r>
    </w:p>
    <w:p>
      <w:pPr>
        <w:spacing w:after="0" w:line="89" w:lineRule="exact"/>
        <w:rPr>
          <w:rFonts w:ascii="Arial" w:cs="Arial" w:eastAsia="Arial" w:hAnsi="Arial"/>
          <w:sz w:val="18"/>
          <w:szCs w:val="18"/>
          <w:color w:val="auto"/>
        </w:rPr>
      </w:pPr>
    </w:p>
    <w:p>
      <w:pPr>
        <w:ind w:left="1080" w:right="82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quantum computing industry is competitive on a global scale and we may not be successful in competing in this industry or establishing and maintaining confidence in our long-term business prospects among current and future partners and customers.</w:t>
      </w:r>
    </w:p>
    <w:p>
      <w:pPr>
        <w:spacing w:after="0" w:line="29" w:lineRule="exact"/>
        <w:rPr>
          <w:rFonts w:ascii="Arial" w:cs="Arial" w:eastAsia="Arial" w:hAnsi="Arial"/>
          <w:sz w:val="16"/>
          <w:szCs w:val="16"/>
          <w:color w:val="auto"/>
        </w:rPr>
      </w:pPr>
    </w:p>
    <w:p>
      <w:pPr>
        <w:ind w:left="1080" w:right="6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a limited number of customers for a significant percentage of our revenue and the loss or temporary loss of a major customer for any reason could harm our financial condition.</w:t>
      </w:r>
    </w:p>
    <w:p>
      <w:pPr>
        <w:spacing w:after="0" w:line="75" w:lineRule="exact"/>
        <w:rPr>
          <w:rFonts w:ascii="Arial" w:cs="Arial" w:eastAsia="Arial" w:hAnsi="Arial"/>
          <w:sz w:val="18"/>
          <w:szCs w:val="18"/>
          <w:color w:val="auto"/>
        </w:rPr>
      </w:pPr>
    </w:p>
    <w:p>
      <w:pPr>
        <w:ind w:left="1080" w:right="52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significant portion of our revenue depends on contracts with the public sector, and our failure to receive and maintain government contracts or changes in the contracting or fiscal policies of the public sector could have a material adverse effect on our business.</w:t>
      </w:r>
    </w:p>
    <w:p>
      <w:pPr>
        <w:spacing w:after="0" w:line="29" w:lineRule="exact"/>
        <w:rPr>
          <w:rFonts w:ascii="Arial" w:cs="Arial" w:eastAsia="Arial" w:hAnsi="Arial"/>
          <w:sz w:val="16"/>
          <w:szCs w:val="16"/>
          <w:color w:val="auto"/>
        </w:rPr>
      </w:pPr>
    </w:p>
    <w:p>
      <w:pPr>
        <w:ind w:left="1080" w:right="6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currently dependent upon our relationship with our cloud providers. There are no assurances that we will be able to commercialize quantum computers from our relationships with cloud providers.</w:t>
      </w:r>
    </w:p>
    <w:p>
      <w:pPr>
        <w:spacing w:after="0" w:line="75"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access to high performance third party classical computing through public clouds, high performance computing centers and on-premises computing infrastructure to deliver performant quantum solutions to customers. We may not be able to maintain high quality business relationships and connectivity with these resources which could make it harder for us to reach customers or deliver solutions in a cost-effective manner.</w:t>
      </w:r>
    </w:p>
    <w:p>
      <w:pPr>
        <w:spacing w:after="0" w:line="92"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p>
      <w:pPr>
        <w:spacing w:after="0" w:line="29" w:lineRule="exact"/>
        <w:rPr>
          <w:rFonts w:ascii="Arial" w:cs="Arial" w:eastAsia="Arial" w:hAnsi="Arial"/>
          <w:sz w:val="16"/>
          <w:szCs w:val="16"/>
          <w:color w:val="auto"/>
        </w:rPr>
      </w:pPr>
    </w:p>
    <w:p>
      <w:pPr>
        <w:ind w:left="1080" w:right="80" w:hanging="424"/>
        <w:spacing w:after="0" w:line="31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system depends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Even if we are successful in developing quantum computing systems and executing our strategy, competitors in the industry may achieve technological breakthroughs which render our quantum computing systems obsolete or inferior to other products.</w:t>
      </w:r>
    </w:p>
    <w:p>
      <w:pPr>
        <w:spacing w:after="0" w:line="51"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reduce the cost of developing our quantum computers, which may prevent us from pricing our quantum systems competitively.</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w:t>
      </w:r>
    </w:p>
    <w:p>
      <w:pPr>
        <w:spacing w:after="0" w:line="89" w:lineRule="exact"/>
        <w:rPr>
          <w:rFonts w:ascii="Arial" w:cs="Arial" w:eastAsia="Arial" w:hAnsi="Arial"/>
          <w:sz w:val="18"/>
          <w:szCs w:val="18"/>
          <w:color w:val="auto"/>
        </w:rPr>
      </w:pPr>
    </w:p>
    <w:p>
      <w:pPr>
        <w:ind w:left="1080" w:right="46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could suffer disruptions, outages, defects and other performance and quality problems with our quantum computing systems, our production technology partners or with the public cloud, data centers and internet infrastructure on which we rely.</w:t>
      </w:r>
    </w:p>
    <w:p>
      <w:pPr>
        <w:spacing w:after="0" w:line="51"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which may adversely affect our business.</w:t>
      </w:r>
    </w:p>
    <w:p>
      <w:pPr>
        <w:spacing w:after="0" w:line="92" w:lineRule="exact"/>
        <w:rPr>
          <w:rFonts w:ascii="Arial" w:cs="Arial" w:eastAsia="Arial" w:hAnsi="Arial"/>
          <w:sz w:val="18"/>
          <w:szCs w:val="18"/>
          <w:color w:val="auto"/>
        </w:rPr>
      </w:pPr>
    </w:p>
    <w:p>
      <w:pPr>
        <w:ind w:left="1080" w:right="60" w:hanging="424"/>
        <w:spacing w:after="0" w:line="272"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identified material weaknesses in our internal control over financial reporting related to the lack of effective review controls over the accounting for complex financial instruments and to the design and operation of our overall closing and financial reporting processes, and we may identify additional material weaknesses in the future. The material weakness over accounting for complex financial instruments has resulted in errors in financial statements for prior periods. If we fail to remediate such material weaknesses,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p>
      <w:pPr>
        <w:spacing w:after="0" w:line="82" w:lineRule="exact"/>
        <w:rPr>
          <w:rFonts w:ascii="Arial" w:cs="Arial" w:eastAsia="Arial" w:hAnsi="Arial"/>
          <w:sz w:val="17"/>
          <w:szCs w:val="17"/>
          <w:color w:val="auto"/>
        </w:rPr>
      </w:pPr>
    </w:p>
    <w:p>
      <w:pPr>
        <w:ind w:left="1080" w:right="5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obtain, maintain and protect our intellectual property rights could impair our ability to protect and commercialize our proprietary products and technology and cause us to lose our competitive advantage.</w:t>
      </w:r>
    </w:p>
    <w:p>
      <w:pPr>
        <w:spacing w:after="0" w:line="75"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can be no assurance that we will be able to regain compliance with the continued listing standards of Nasdaq. If we fail to cure our current deficiency and regain compliance with the listing requirements of the Nasdaq Capital Market or fail to comply with such listing requirements in the future or fail to cure any future deficiencies, we may be delisted and the price of our common stock and our ability to access the capital markets could be negatively impacted.</w:t>
      </w:r>
    </w:p>
    <w:p>
      <w:pPr>
        <w:spacing w:after="0" w:line="92"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Sales of our securities, or perceptions of sales, by us or holders of our securities in the public markets or otherwise could cause the market price for our securities to decline and even in such case certain holders of our securities may still have an incentive to sell our securities.</w:t>
      </w:r>
    </w:p>
    <w:p>
      <w:pPr>
        <w:spacing w:after="0" w:line="29" w:lineRule="exact"/>
        <w:rPr>
          <w:rFonts w:ascii="Arial" w:cs="Arial" w:eastAsia="Arial" w:hAnsi="Arial"/>
          <w:sz w:val="16"/>
          <w:szCs w:val="16"/>
          <w:color w:val="auto"/>
        </w:rPr>
      </w:pPr>
    </w:p>
    <w:p>
      <w:pPr>
        <w:ind w:left="1080" w:right="4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29"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Unstable market and economic conditions, including the recent bank failure of Silicon Valley Bank, have had and may continue to have serious adverse consequences on our business, financial condition and share price.</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warrants, including our Public Warrants, Private warrants and other warrants we have issued, are accounted for as liabilities and the changes in value of our Warrants could have a material effect on our financial results.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warrants are exercisable for Common Stock, the exercise of which would increase the number of shares eligible for future resale in the public market and result in dilution to our stockholders.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Warrants may never be in the money, and they may expire worthless.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86"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MISSION IS TO BUILD THE WORLD’S MOST POWERFUL COMPUTERS TO HELP SOLVE HUMANITY’S MOST IMPORTANT AND PRESSING PROBLEMS.</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Today, many of the world’s most important computational challenges remain intractable, lying beyond the capabilities of traditional supercomputers and cloud infrastructure. We build and operate quantum computers. We believe quantum computing represents one of the most transformative emerging capabilities in the world today. By leveraging quantum mechanics, our quantum computers process information in fundamentally new, more powerful ways compared to classical computing. When scaled, we believe these systems are poised to solve problems of staggering computational complexity at unprecedented speed.</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availability of scalable quantum computers is expected to enable scientists and engineers to address problems in areas like climate change, fusion energy, quantitative finance, drug development and discovery, materials science, and artificial intelligence. A July 2021 Boston Consulting Group report predicts that fully fault tolerant quantum computers could ultimately produce between $450 billion and $850 billion in annual value creation on an operating income basis for end users after 2040.</w:t>
      </w:r>
    </w:p>
    <w:p>
      <w:pPr>
        <w:spacing w:after="0" w:line="18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To unlock this opportunity, we have developed the world’s first multi-chip quantum processor for scalable quantum computing systems. We expect this patented and patent pending, modular chip architecture to be the building block for new generations of quantum processors that we expect to achieve a clear advantage over classical computers.</w:t>
      </w:r>
    </w:p>
    <w:p>
      <w:pPr>
        <w:spacing w:after="0" w:line="184"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are a vertically integrated company. We own and operate Fab-1, a unique wafer fabrication facility dedicated to prototyping and producing our quantum processors. Through Fab-1, we own the means of production of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spacing w:after="0" w:line="17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We have been deploying our quantum computers to end users over the cloud since 2017. We offer our full-stack quantum computing platform as a cloud service to a wide range of end-users, directly through our Rigetti QCS platform, and also through cloud service providers.</w:t>
      </w:r>
    </w:p>
    <w:p>
      <w:pPr>
        <w:spacing w:after="0" w:line="14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developed strong customer relationships and collaborative partnerships to accelerate the development of key technologies for high-value use cases to potentially unlock strategic market opportunities. Our partners and customers include commercial enterprises such as Amazon Web Services, Ampere, Astex Pharmaceuticals, Deloitte, Microsoft, Nasdaq and Standard Chartered Bank, along with U.S. government organizations such as DARPA, DOE, and NASA.</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company is enabled by a deep technical team that includes global experts in quantum chip design and manufacturing, quantum computing systems architecture, quantum software, and quantum algorithms and applications.</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Powered by the production of our scalable multi-chip quantum processors in Fab-1 and our full-stack product development approach, we are working to develop quantum computing systems that demonstrate clear performance advantages over classical computing alternatives for multiple high-impact application areas.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86"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Market Opportunity</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Demand for computing power capable of solving computationally complex problems is increasing. Many of these types of problems are approached through the use of High Performance Computing (“HPC”), which relies primarily on large classical computers located either in the cloud or on-premise. Company management estimates the global market for HPC to be approximately $54 billion by 2027. We believe our quantum computers will be able to solve many computational problems with greater speed and at a lower cost than today’s high performance computers, thereby unlocking considerable value for the users of current HPC systems. Furthermore, we believe that quantum computing will be applicable to many use cases that today lie within the realm of the much larger cloud computing market.</w:t>
      </w:r>
    </w:p>
    <w:p>
      <w:pPr>
        <w:spacing w:after="0" w:line="192"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Advanced scientific and technical computing applied in fields like drug discovery, materials science, computational fluid dynamics, machine learning, and quantitative finance have underpinned many of society’s greatest scientific and industrial advancements over the past half-century. Yet, despite the availability of the latest cloud and supercomputing capabilities, these and many other fields remain constrained by the intractable nature of their thorniest problems. Typically, the computational limits of classical computers are reached because of either the size or complexity of the required calculations. In certain cases, algorithms have been developed that in theory solve a particular computation problem; however, classical computers are limited in their ability to implement and process such algorithms.</w:t>
      </w:r>
    </w:p>
    <w:p>
      <w:pPr>
        <w:spacing w:after="0" w:line="17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For decades, classical computing power increased exponentially as the number of transistors on a microchip were doubling about every two years, while the cost of computing simultaneously decreased significantly. Over the past ten years, this rate of progress in classical computing power has significantly slowed as physical limits on the miniaturization of transistors in nano-scale devices are being reached.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Stages of Evolution of Quantum Computing Maturation</w:t>
      </w:r>
    </w:p>
    <w:p>
      <w:pPr>
        <w:spacing w:after="0" w:line="121"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We believe that market demand for our quantum computers will grow in phases that map to the increasing capabilities of our commercially available quantum computing systems similar to that of classical computer technology. With each new phase, we expect quantum computers to solve an ever-increasing breadth of high-impact commercial problems and to do so with greater speed and accuracy. Qubits do not need the latest semiconductor lithography node and, in fact, can be made using 1990’s era lithography.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Quantum Advantage (“eQA”) Phase</w:t>
      </w:r>
    </w:p>
    <w:p>
      <w:pPr>
        <w:spacing w:after="0" w:line="11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This phase is characterized by the availability of practical, fully functional and operational quantum computers, whose capabilities do not yet enable them to demonstrate clear performance advantages relative to traditional computers. Currently, our quantum computers are of sufficient scale and capability to be useful in applied research for quantum algorithm development, the exploration of potential applications of quantum computing, and for understanding the skill gaps an organization must resolve in order to be prepared to take advantage of quantum computing capabilities.</w:t>
      </w:r>
    </w:p>
    <w:p>
      <w:pPr>
        <w:spacing w:after="0" w:line="15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consider the eQA phase to have begun three years ago, and during this time we have worked with business and government researchers, commercial software developers and academic institutions who access our quantum computers via cloud-based services.</w:t>
      </w:r>
    </w:p>
    <w:p>
      <w:pPr>
        <w:spacing w:after="0" w:line="170" w:lineRule="exact"/>
        <w:rPr>
          <w:sz w:val="20"/>
          <w:szCs w:val="20"/>
          <w:color w:val="auto"/>
        </w:rPr>
      </w:pPr>
    </w:p>
    <w:p>
      <w:pPr>
        <w:jc w:val="both"/>
        <w:ind w:left="120" w:right="440"/>
        <w:spacing w:after="0" w:line="342" w:lineRule="auto"/>
        <w:rPr>
          <w:sz w:val="20"/>
          <w:szCs w:val="20"/>
          <w:color w:val="auto"/>
        </w:rPr>
      </w:pPr>
      <w:r>
        <w:rPr>
          <w:rFonts w:ascii="Arial" w:cs="Arial" w:eastAsia="Arial" w:hAnsi="Arial"/>
          <w:sz w:val="16"/>
          <w:szCs w:val="16"/>
          <w:color w:val="auto"/>
        </w:rPr>
        <w:t>We anticipate that indications that this phase is coming to a close will occur when there are repeated demonstrations solving practical problems, of substantial commercial or customer value, with a level of performance that is competitive with the best available classical computing performance.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Narrow Quantum Advantage (“nQA”) Phase</w:t>
      </w:r>
    </w:p>
    <w:p>
      <w:pPr>
        <w:spacing w:after="0" w:line="117"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If and when our quantum computing processing capabilities have scaled to the point where they can be used to solve practical, operationally relevant problems with improved accuracy, speed or cost over classical computers, we believe we will have reached the phase of nQA.</w:t>
      </w:r>
    </w:p>
    <w:p>
      <w:pPr>
        <w:spacing w:after="0" w:line="14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the nQA phase, we expect that large enterprises and government organizations would increase their investment in quantum computing as the superior computational capabilities of the technology will have progressed from projected to verifiably advantaged for certain applications. In addition to quantum-based research and development, quantum machine learning (“QML”) is likely to emerge as a strong avenue for growth as it can be leveraged in a wide range of business and scientific applications. Research into quantum simulation and quantum optimization opportunities is predicted to increase in the nQA phase.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Broad Quantum Advantage (“bQA”)</w:t>
      </w:r>
    </w:p>
    <w:p>
      <w:pPr>
        <w:spacing w:after="0" w:line="11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We will consider the phase of bQA to have begun if and when our quantum computing processing abilities have scaled to the point where they can be used to solve practical problems that would be physically impossible to solve on any classical computer. At such point, with both scaled qubit counts and strong error correction capabilities, we believe our quantum computers would be suitable for many applications of quantum machine learning and begin to be used for a growing number of quantum simulation and quantum optimization problems. In the event we demonstrate bQA, we expect many new potential clients to emerge as the range and value of the problems that are addressable by our quantum computing systems significantly increases.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Large-Scale Fault Tolerant Quantum Computing (“lFTQC”)</w:t>
      </w:r>
    </w:p>
    <w:p>
      <w:pPr>
        <w:spacing w:after="0" w:line="11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We will consider the phase of lFTQC to begin when systems are available with hundreds of logical qubits, which can be universally controlled and measured with substantially error-free operation through the full course of a quantum computation. It is currently believed in the quantum computing industry that this likely requires systems with 10,000 to 1,000,000 physical qubits. We believe our scalable multi-chip architecture paves the way to scale up to these large systems.</w:t>
      </w:r>
    </w:p>
    <w:p>
      <w:pPr>
        <w:spacing w:after="0" w:line="187"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We anticipate the beginning of the large-scale fault tolerant phase to be likely at least a decade away. As quantum computing further matures through this phase, systems will likely continue to grow in scale and performance, culminating in full-scale fault tolerance that operates using potentially thousands of effectively perfect logical qubits. This ultimate goal of full-scale fault tolerance represents the largest commercial opportunity at an estimated $850 billion per year in potential annual value creation for end users and technology providers.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approach to developing and sustaining strong competitive advantage relies on a four-pronged strategy:</w:t>
      </w:r>
    </w:p>
    <w:p>
      <w:pPr>
        <w:spacing w:after="0" w:line="131" w:lineRule="exact"/>
        <w:rPr>
          <w:sz w:val="20"/>
          <w:szCs w:val="20"/>
          <w:color w:val="auto"/>
        </w:rPr>
      </w:pPr>
    </w:p>
    <w:p>
      <w:pPr>
        <w:ind w:left="1080" w:hanging="424"/>
        <w:spacing w:after="0" w:line="25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Create high performance quantum computing systems through full-stack product development. </w:t>
      </w:r>
      <w:r>
        <w:rPr>
          <w:rFonts w:ascii="Arial" w:cs="Arial" w:eastAsia="Arial" w:hAnsi="Arial"/>
          <w:sz w:val="18"/>
          <w:szCs w:val="18"/>
          <w:color w:val="auto"/>
        </w:rPr>
        <w:t>From the outset, we have approached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market opportunity with a strategy to build quantum computers, the superconducting processors that power them, and the software required to access and program these systems. We believe that vertical integration, from chip manufacturing through cloud delivery, unlocks the fastest and lowest risk path to broad commercialization and the largest, long-term market opportunity. This was underscored by our announcement of the industry’s first multi-chip quantum processor for scalable quantum computers, a capability realized through many innovations from Fab-1.</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93"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cloud to provide broad access to our quantum computers. </w:t>
      </w:r>
      <w:r>
        <w:rPr>
          <w:rFonts w:ascii="Arial" w:cs="Arial" w:eastAsia="Arial" w:hAnsi="Arial"/>
          <w:sz w:val="16"/>
          <w:szCs w:val="16"/>
          <w:color w:val="auto"/>
        </w:rPr>
        <w:t>We have been providing cloud access to our quantum computers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2017 and have since expanded the availability of our machines through distribution agreements with other solution providers including Amazon Braket, Microsoft, Oak Ridge National Laboratory (“ORNL”) and Strangeworks. Cloud services efficiently simplify access to our quantum computers and allow for pricing that enables a broad range of scientific, commercial and academic developers to readily participate in the development of quantum computing algorithms, applications and software development tools. Collectively, these cloud services provide a range of choices and capabilities designed to meet the diverse needs of large and small organizations alike.</w:t>
      </w:r>
    </w:p>
    <w:p>
      <w:pPr>
        <w:spacing w:after="0" w:line="69" w:lineRule="exact"/>
        <w:rPr>
          <w:rFonts w:ascii="Arial" w:cs="Arial" w:eastAsia="Arial" w:hAnsi="Arial"/>
          <w:sz w:val="16"/>
          <w:szCs w:val="16"/>
          <w:color w:val="auto"/>
        </w:rPr>
      </w:pPr>
    </w:p>
    <w:p>
      <w:pPr>
        <w:ind w:left="1080" w:hanging="424"/>
        <w:spacing w:after="0" w:line="293"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deep partnerships that accelerate the development and commercialization of quantum computing. </w:t>
      </w:r>
      <w:r>
        <w:rPr>
          <w:rFonts w:ascii="Arial" w:cs="Arial" w:eastAsia="Arial" w:hAnsi="Arial"/>
          <w:sz w:val="16"/>
          <w:szCs w:val="16"/>
          <w:color w:val="auto"/>
        </w:rPr>
        <w:t>We have formed commercial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partnerships with business and government entities that are designed to advance their mutual understanding of the opportunities, challenges and solutions necessary for quantum computing to excel in specific real-world applications. Examples of these partnerships include our contracted relationships with DARPA, the DOE’s Fermi National Accelerator Laboratory (“Fermilab”) and ORNL. We believe these types of highly collaborative, multi-year relationships will yield specialized and proprietary market insights and technological advancements. We expect the number and scope of these types of partnerships to expand as the capabilities of our quantum computers continue to grow.</w:t>
      </w:r>
    </w:p>
    <w:p>
      <w:pPr>
        <w:spacing w:after="0" w:line="69" w:lineRule="exact"/>
        <w:rPr>
          <w:rFonts w:ascii="Arial" w:cs="Arial" w:eastAsia="Arial" w:hAnsi="Arial"/>
          <w:sz w:val="16"/>
          <w:szCs w:val="16"/>
          <w:color w:val="auto"/>
        </w:rPr>
      </w:pPr>
    </w:p>
    <w:p>
      <w:pPr>
        <w:ind w:left="1080" w:right="20" w:hanging="424"/>
        <w:spacing w:after="0" w:line="254"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Advance our technology leadership position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invested heavily in a world-class and multidisciplinary team of scientists, hardware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software engineers, system designers and algorithm and application developers to rapidly innovate, invent, engineer and commercialize our quantum computing technologies. We have also developed numerous proprietary technologies required to create quantum computing chips, quantum computer systems, software and cloud-based services and we rigorously protect our unique intellectual property through a portfolio of 165 patents issued and pending (as of the date hereof). We intend to continue deeply investing in finding and fostering the talent required to remain at the forefront of quantum computing innovation, while protecting our growing base of intellectual property.</w:t>
      </w:r>
    </w:p>
    <w:p>
      <w:pPr>
        <w:spacing w:after="0" w:line="19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February 2023, we updated our business strategy and revised our technology roadmap to focus on nearer-term priorities and focus efforts to achieve narrow quantum advantage. We made further refinements following our internal deployment for testing in March 2023 of Ankaa-1, our 84-qubit system delivering denser qubit spacing and tunable couplers.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now plan to:</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Concentrate on refining the performance of Ankaa-1.</w:t>
      </w:r>
    </w:p>
    <w:p>
      <w:pPr>
        <w:spacing w:after="0" w:line="130" w:lineRule="exact"/>
        <w:rPr>
          <w:rFonts w:ascii="Arial" w:cs="Arial" w:eastAsia="Arial" w:hAnsi="Arial"/>
          <w:sz w:val="18"/>
          <w:szCs w:val="18"/>
          <w:color w:val="auto"/>
        </w:rPr>
      </w:pPr>
    </w:p>
    <w:p>
      <w:pPr>
        <w:jc w:val="both"/>
        <w:ind w:left="1080" w:right="46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anticipated external launch of the Ankaa-1 84-qubit system, which is expected to be to select customers, continue efforts to improve the performance of the system with the goal of reaching at least 98% 2-qubit gate fidelity to support the anticipated Ankaa-2 84-qubit system.</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the anticipated Ankaa-2 84 qubit system, continuing to work to improve performance with the goal of reaching at least 99% gate fidelity on Ankaa-2.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above targets are achieved, we plan to shift focus to scaling to develop Lyra, an anticipated 336-qubit system.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Model &amp; Services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Currently, we generate the majority of our revenues from technology development contracts with various partners. We believe our longer term business model will be more weighted towards recurring revenues generated from quantum computing systems made accessible via the cloud in the form of QCaaS products.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Quantum Computing as a Service (QCaaS)</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We design, build, own, and operate quantum computers and sell access to these systems through cloud-based services, commonly referred to as QCaaS. This approach enables us to serve a wide range of customers without the complexity and cost associated with shipping, operating and servicing complex and cryogenic computing equipment on customer premises.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Rigetti Quantum Cloud Services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company’s flagship product is Rigetti Quantum Cloud Services. QCS is a platform to deliver high-performance quantum computing over the cloud. QCS features a hybrid quantum-classical computing environment that incorporates Rigetti quantum computers operating in tandem with cloud infrastructure. It provides support for a broad range of programming capabilities, the ability to integrate over public or private clouds, and high-speed connectivity to auxiliary classical computing resources.</w:t>
      </w:r>
    </w:p>
    <w:p>
      <w:pPr>
        <w:spacing w:after="0" w:line="187"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The product is designed to meet the needs of a diverse set of customers that all benefit from the high-performance nature of its core computational capabilities. Central to QCS are two very powerful sets of technologies developed by our quantum processing units (“QPUs”), and our quantum operating system, as described below.</w:t>
      </w:r>
    </w:p>
    <w:p>
      <w:pPr>
        <w:spacing w:after="0" w:line="18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Rigetti Quantum Processing Units</w:t>
      </w:r>
      <w:r>
        <w:rPr>
          <w:rFonts w:ascii="Arial" w:cs="Arial" w:eastAsia="Arial" w:hAnsi="Arial"/>
          <w:sz w:val="18"/>
          <w:szCs w:val="18"/>
          <w:color w:val="auto"/>
        </w:rPr>
        <w:t>. At the heart of QCS are the proprietary QPUs that perform quantum computations. Our QPUs contain fabricated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silicon-based chips featuring superconducting qubits. These high-performance chips provide fast gate times, low latency conditional logic, and fast program execution times.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Rigetti QPUs are designed and fabricated at Fab-1, leveraging novel manufacturing methods to create state-of-the-art superconducting qubits.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Production versions of QCS currently utilize our Aspen-M series chips with 80 qubits.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Quantum Operating System Software</w:t>
      </w:r>
      <w:r>
        <w:rPr>
          <w:rFonts w:ascii="Arial" w:cs="Arial" w:eastAsia="Arial" w:hAnsi="Arial"/>
          <w:sz w:val="18"/>
          <w:szCs w:val="18"/>
          <w:color w:val="auto"/>
        </w:rPr>
        <w:t>. QCS’s computing environment is powered by a distributed quantum operating system that natively supports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and private cloud architectures.</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operating system software includes a rich set of quantum application and software development tools designed to unlock the capabilities of the quantum computing ecosystem by:</w:t>
      </w:r>
    </w:p>
    <w:p>
      <w:pPr>
        <w:spacing w:after="0" w:line="76" w:lineRule="exact"/>
        <w:rPr>
          <w:sz w:val="20"/>
          <w:szCs w:val="20"/>
          <w:color w:val="auto"/>
        </w:rPr>
      </w:pPr>
    </w:p>
    <w:p>
      <w:pPr>
        <w:ind w:left="1080" w:right="6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Enabling customers to access Rigetti QPUs through a broad range of quantum application software, development frameworks and algorithm libraries;</w:t>
      </w:r>
    </w:p>
    <w:p>
      <w:pPr>
        <w:spacing w:after="0" w:line="75" w:lineRule="exact"/>
        <w:rPr>
          <w:rFonts w:ascii="Arial" w:cs="Arial" w:eastAsia="Arial" w:hAnsi="Arial"/>
          <w:sz w:val="18"/>
          <w:szCs w:val="18"/>
          <w:color w:val="auto"/>
        </w:rPr>
      </w:pPr>
    </w:p>
    <w:p>
      <w:pPr>
        <w:ind w:left="1080" w:right="10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software and algorithm developers with the performance and fine-grained control required to expedite a new era of computational breakthroughs; and</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Facilitating the implementation of high performance public and private clouds with ultra-low latency connectivity between classical hardware and Rigetti QPUs.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205740</wp:posOffset>
            </wp:positionV>
            <wp:extent cx="5048885" cy="3642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4888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500" w:right="40"/>
        <w:spacing w:after="0" w:line="277" w:lineRule="auto"/>
        <w:rPr>
          <w:sz w:val="20"/>
          <w:szCs w:val="20"/>
          <w:color w:val="auto"/>
        </w:rPr>
      </w:pPr>
      <w:r>
        <w:rPr>
          <w:rFonts w:ascii="Arial" w:cs="Arial" w:eastAsia="Arial" w:hAnsi="Arial"/>
          <w:sz w:val="18"/>
          <w:szCs w:val="18"/>
          <w:i w:val="1"/>
          <w:iCs w:val="1"/>
          <w:color w:val="auto"/>
        </w:rPr>
        <w:t>Rigetti’s quantum computing facility in Berkeley, California includes both research and development and production quantum processing units, which are each housed in a cryogenic refrigerator.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 QCaaS Distribution</w:t>
      </w:r>
    </w:p>
    <w:p>
      <w:pPr>
        <w:spacing w:after="0" w:line="11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We provide access on a commercial basis to our quantum computers over QCS, directly engaging with enterprises and government organizations making significant investments in quantum computing research, development and readiness.</w:t>
      </w:r>
    </w:p>
    <w:p>
      <w:pPr>
        <w:spacing w:after="0" w:line="170"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We believe many of these customers will have performance, customization and integration requirements best met by our ability to engage deeply, and directly, with these kinds of clients. We believe the company’s full-stack product development approach, and strategy of forging collaborative customer partnerships, positions the company to be a highly valued and long-term provider of quantum computing services to these organizations.</w:t>
      </w:r>
    </w:p>
    <w:p>
      <w:pPr>
        <w:spacing w:after="0" w:line="149"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To date, these direct customer relationships have been with customers using QCS for general quantum computing research, algorithm development, algorithm benchmarking and software development activities. They represent a cross section of industries, government agencies and partners in the quantum computing ecosystem.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Indirect QCaaS Distribution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There are a large and growing number of providers of classical computing services over the cloud. This creates an opportunity for us to efficiently reach a broad set of end-users, indirectly, by partnering with cloud computing service providers, who in turn sell access to our quantum computer systems to their own customers.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320" w:top="486" w:right="5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indirect distribution model is enabled by the same QCS platform used in the direct distribution model, providing us with powerful business leverage in addressing the needs of customers in different market segments. In this instance, we can capitalize on our full-stack product development capabilities to meet the unique requirements of cloud-service providers. For example, one cloud provider or HPC operator might need deep and high-performance integration with a specific Machine Learning service they provide, while another might desire a fast and easy way for small customers to be introduced to quantum computing.</w:t>
      </w:r>
    </w:p>
    <w:p>
      <w:pPr>
        <w:spacing w:after="0" w:line="188"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We have signed a distribution agreement with Amazon’s Braket service and Microsoft’s Azure Quantum Service, providing access to our quantum computing systems to AWS and Azure customers. We have also signed a distribution agreement with ORNL, a U.S. government entity that provides state-of-the-art computational infrastructure to government researchers. Similarly, we have signed a distribution agreement with Strangeworks, a provider of quantum computing enablement software, services and computational resources.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Technology Development Partnerships</w:t>
      </w:r>
    </w:p>
    <w:p>
      <w:pPr>
        <w:spacing w:after="0" w:line="117"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We enter into multi-year development partnerships with organizations that have specialized technical expertise and a strong interest in advancing their understanding and application of quantum computing technology. These partnerships can provide us with deep insight into the unique requirements of market leaders in key industries; advance our engineering and product development capabilities; and lead to the creation of new hardware and software products.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Examples of our development partnerships include contracts with:</w:t>
      </w:r>
    </w:p>
    <w:p>
      <w:pPr>
        <w:spacing w:after="0" w:line="131" w:lineRule="exact"/>
        <w:rPr>
          <w:sz w:val="20"/>
          <w:szCs w:val="20"/>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Fermilab and the U.S. DOE’s Superconducting Quantum Materials and Systems Center (“SQMS”), to advance the development of scalable and high performance quantum processors;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DARPA and National Aeronautics and Space Administration (“NASA”) to create quantum computing systems, software and algorithms for optimization applications;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Innovate UK, as part of the British government’s effort to accelerate commercialization of quantum computing in the United Kingdom and to pursue practical applications in machine learning, molecular simulation and financial optimization.</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expect to add new development partnerships as the capabilities of our quantum computer systems grow and the market’s readiness and interest in quantum computing continues to mature.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Rigetti Foundry Services</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Rigetti Foundry Services leverages the company’s US-based in-house fabrication facility to deliver superconducting quantum chips to advance and accelerate quantum information science and technology research and development efforts. Customers include researchers spanning academia, defense laboratories, and national laboratories.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205740</wp:posOffset>
            </wp:positionV>
            <wp:extent cx="4551680" cy="3017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5168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A Rigetti employee inspects a silicon wafer with superconducting quantum integrated circuits that was fabricated at Rigetti’s Fab-1 facility.</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In certain engagements, we provide professional services that enhance and advance our customers’ ability to consume our core products and services. Our engineers can augment a client’s internal capabilities with expertise in algorithm development, benchmarking, quantum application programming and software development. These fee-based services can enhance our customer’s readiness for quantum, accelerate our customer’s timelines for meaningful discoveries, and increase our depth of knowledge about key application domains and customer requirements for quantum computing in different industries.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Applications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Quantum computing is expected to drive value across many different applications and industries. We believe that many of the principal benefits in these areas will spring from four different types of computational problems that are particularly well suited to quantum computing: optimization, machine learning, simulation and quantum mechanical system simulation.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Optimization</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computational properties of a quantum computer inherently support the problem-solving requirements of extremely complex optimization calculations because quantum computers possess the ability to simultaneously evaluate very large numbers of variables, and each additional qubit in a quantum computer exponentially scales our information processing capacity. We believe that quantum computers could allow highly accurate optimization models to be continuously refreshed to reflect the impact of changing conditions on available solutions, ultimately leading to better and more responsive plans and decision-making.</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86" w:right="5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Many of the world’s largest and most valuable industries could potentially benefit from enhanced optimization enabled by quantum computing. In financial services, optimization could be applied to portfolio management, algorithmic trading and risk assessment. In telecommunications, optimization could be applied to call routing and network capacity planning. In manufacturing, optimization could help with workforce, warehouses and supply chain planning. In transport, there are logistics applications like fleet routing, driver scheduling, and package loading and delivery that could benefit from further optimization.</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These types of problems can quickly overwhelm classical computers due to the large numbers of variables that need to be evaluated, which exponentially scales the computational power required with each additional possibility to be considered. For example, in a vehicle routing problem involving roundtrips to just 10 destinations there can be more than 300,000 permutations to be considered; with 15 destinations, the number of possible routes exceeds 87 billion. If you factor in other real-world considerations such as delivery cost, fleet size, driver availability, or service level agreements, you can see the intractable nature of these kinds of problems in full display.</w:t>
      </w:r>
    </w:p>
    <w:p>
      <w:pPr>
        <w:spacing w:after="0" w:line="188"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One of the most active fields of quantum algorithm research is the area of constrained combinatorial optimization. These mathematical equations can arrive at approximate results with a close-to-optimal solution across many possible outcomes-a result that would create high value in many different industries, particularly when the exact solution is unknowable utilizing a classical computer.</w:t>
      </w:r>
    </w:p>
    <w:p>
      <w:pPr>
        <w:spacing w:after="0" w:line="18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are exploring the application of our quantum computers for high value optimization problems including a partnership with NASA and DARPA for secure dynamic message scheduling using high-demand space and national security assets. In January 2022, we were selected to deliver hardware, software and benchmarks for Phase 2 of DARPA’s ONISQ program to develop quantum computers capable of solving complex scheduling optimization problems, with a focus on quantum advantage for currently available or soon to be available quantum processors. The award was based upon us successfully completing our performance milestones in Phase I of the program, and is targeting Rigetti’s Aspen-M 80 processor, and our next generation Ankaa processor.</w:t>
      </w:r>
    </w:p>
    <w:p>
      <w:pPr>
        <w:spacing w:after="0" w:line="192"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In March 2022, we were selected to lead a program to develop benchmarks for quantum application performance on large-scale quantum computers as part of DARPA’s Quantum Benchmarking Program. The goal of this program is to re-invent key quantum computing metrics, make those metrics testable, and estimate the required quantum and classical resources needed to reach critical performance thresholds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Machine Learning</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Machine learning is a well-established field, with broad application, that today is already having a transformative impact on a myriad of markets. The potential market opportunity for machine-learning is currently estimated at $16 billion with expected compound annual growth rates through 2028 of 39%, according to market research from Fortune Business Insights. Boston Consulting Group projects that machine learning applications with fully fault tolerant quantum computers could produce $150 billion to $220 billion in annual potential value creation for end users and technology providers. At the core of any machine learning application is a series of computations, typically expressed in linear algebra, applied to vast amounts of data in order to do things such as reliably classifying objects and making data-driven predictions. Today, cloud computing and HPC have been the predominant sources of the computational capabilities required to create effective machine learning algorithms, models and data analysis applications.</w:t>
      </w:r>
    </w:p>
    <w:p>
      <w:pPr>
        <w:spacing w:after="0" w:line="166"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But, the efficiency of HPC-powered machine learning algorithms is limited when faced with richer and larger data sets. For that reason, computer scientists have looked toward the computational promise of quantum computers, and the development of quantum-based algorithms, as a means of both accelerating current machine learning algorithms and creating new approaches that are currently impossible on classical computers.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Given these factors, the emerging field of QML is the focus of much of the current research and development occurring on quantum computers today. We already see emerging machine learning algorithms that take advantage of the unique capabilities of quantum computing to tackle the complex linear algebra problems at the heart of many machine learning tasks. In fact, recent research has emerged demonstrating that quantum algorithms could work better than classical ones for critical machine learning classification problems. As algorithmic research continues to progress, some of these quantum algorithms are improving to the point where their benefits may be realized on smaller scale quantum computers.</w:t>
      </w:r>
    </w:p>
    <w:p>
      <w:pPr>
        <w:spacing w:after="0" w:line="16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Research has also demonstrated the promising application of QML, for Generative Adversarial Networks, (“GANs”), a deep learning technique where a neural network is used to generate highly accurate and new examples that could plausibly have come from an original dataset. The potential utilization of quantum computing for GANs alone is far-reaching and could be impactful in large markets like:</w:t>
      </w:r>
    </w:p>
    <w:p>
      <w:pPr>
        <w:spacing w:after="0" w:line="8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healthcare - for medical image analysis used to detect and categorize tumors and predict their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drug discovery - for generating molecular structure candidates for medicines to target or cure diseases;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finance and banking - for creating models that can detect financial fraud based upon predictive patterns rather than rules determined by previously observed behaviors;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defense and intelligence - for reliably enhancing low resolution satellite imagery into high resolution photography.</w:t>
      </w:r>
    </w:p>
    <w:p>
      <w:pPr>
        <w:spacing w:after="0" w:line="22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2022, we previously partnered with researchers at a U.S. government agency on a generative modeling application for weather forecasting. In this instance, we leveraged a combination of classical and QML techniques to produce high-quality synthetic weather radar data. Meteorological scoring metrics for storm prediction were in some cases augmented using the QML relative to the purely classical implementation. With additional refinement to the underlying methods, combined with the current pace of scaling and performance improvements in quantum hardware, the researchers believe the synthetic weather data application could be a strong candidate for quantum advantage and operational deployment.</w:t>
      </w:r>
    </w:p>
    <w:p>
      <w:pPr>
        <w:spacing w:after="0" w:line="17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addition, we believe QML for finance is poised to be an early domain of quantum advantage. We recently partnered with Standard Chartered using QML to provide a deeper understanding of QML capabilities and the value of their datasets.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Simulation</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Classical computers have been used for decades in critical applications that model real-world processes or systems in order to study their behaviors over time. These computer-based simulations have had an enormous impact on fields like pharmaceuticals, material science, finance, logistics, aerospace, defense and computer-aided design and engineering.</w:t>
      </w:r>
    </w:p>
    <w:p>
      <w:pPr>
        <w:spacing w:after="0" w:line="184" w:lineRule="exact"/>
        <w:rPr>
          <w:sz w:val="20"/>
          <w:szCs w:val="20"/>
          <w:color w:val="auto"/>
        </w:rPr>
      </w:pPr>
    </w:p>
    <w:p>
      <w:pPr>
        <w:ind w:left="120" w:right="320"/>
        <w:spacing w:after="0" w:line="296" w:lineRule="auto"/>
        <w:rPr>
          <w:sz w:val="20"/>
          <w:szCs w:val="20"/>
          <w:color w:val="auto"/>
        </w:rPr>
      </w:pPr>
      <w:r>
        <w:rPr>
          <w:rFonts w:ascii="Arial" w:cs="Arial" w:eastAsia="Arial" w:hAnsi="Arial"/>
          <w:sz w:val="16"/>
          <w:szCs w:val="16"/>
          <w:color w:val="auto"/>
        </w:rPr>
        <w:t>The global market for simulation software alone is projected to grow from $12.7 billion in 2020 to $26.9 billion in 2026 according to Markets &amp; Markets. BCG projects that simulation applications with fully fault tolerant quantum computers could produce $160 billion to $330 billion in annual potential value creation for end users and technology providers over the next 15 to 30 years. Simulations are essentially mathematical models of a system and hence are logical candidates to benefit from quantum computing. Many important systems, such as molecular structures, cannot be accurately modeled due to the level of complexity associated with representing the properties and behaviors of the key elemental components.</w:t>
      </w:r>
    </w:p>
    <w:p>
      <w:pPr>
        <w:spacing w:after="0" w:line="16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believe that quantum computers possess inherent advantages that will allow them to accurately model systems with large numbers of variables that are far outside the reach of classical computers today.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Quantum Mechanical System Simulations</w:t>
      </w:r>
    </w:p>
    <w:p>
      <w:pPr>
        <w:spacing w:after="0" w:line="117"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The essential building blocks of nature, whose understanding has been the driver of many breakthrough innovations in pharmaceuticals, healthcare, energy, and material science, are the microscopic systems of molecules, atoms and subatomic particles like electrons and protons. The properties and behaviors of these quantum mechanical systems can be expressed in mathematical rules that have been verified experimentally with high degrees of accuracy, but the complexity associated with such calculations, and their applicability to existing and potential molecular and atomic structures, has proven to be outside the realm of capability for today’s classical computers.</w:t>
      </w:r>
    </w:p>
    <w:p>
      <w:pPr>
        <w:spacing w:after="0" w:line="176"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Scientists have not found a way to rapidly and accurately model most quantum mechanical systems on a computational device that itself is not quantum in nature. Conversely, we believe quantum computers have the potential to efficiently model the relevant set of potential interactions between quantum mechanical elements because they natively reflect the essential properties of quantum systems and behaviors like entanglement, superposition and wave functions.</w:t>
      </w:r>
    </w:p>
    <w:p>
      <w:pPr>
        <w:spacing w:after="0" w:line="187" w:lineRule="exact"/>
        <w:rPr>
          <w:sz w:val="20"/>
          <w:szCs w:val="20"/>
          <w:color w:val="auto"/>
        </w:rPr>
      </w:pPr>
    </w:p>
    <w:p>
      <w:pPr>
        <w:ind w:left="120" w:right="460"/>
        <w:spacing w:after="0" w:line="259" w:lineRule="auto"/>
        <w:rPr>
          <w:sz w:val="20"/>
          <w:szCs w:val="20"/>
          <w:color w:val="auto"/>
        </w:rPr>
      </w:pPr>
      <w:r>
        <w:rPr>
          <w:rFonts w:ascii="Arial" w:cs="Arial" w:eastAsia="Arial" w:hAnsi="Arial"/>
          <w:sz w:val="18"/>
          <w:szCs w:val="18"/>
          <w:color w:val="auto"/>
        </w:rPr>
        <w:t>Drug discovery is among the fields where research into the applicability of quantum computing for simulating quantum mechanical systems is producing considerable enthusiasm. With the growing high costs to develop new drugs, a quantum-based approach that could help pharmaceutical companies evaluate thousands of potential compounds for a targeted therapeutic, and avoid failed outcomes in costly clinical trials, would have an enormously positive economic and societal effect.</w:t>
      </w:r>
    </w:p>
    <w:p>
      <w:pPr>
        <w:spacing w:after="0" w:line="18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Other high potential impact areas for quantum mechanical simulations include the design of chemical catalysts, computational fluid dynamics in aerospace engineering, and nuclear fusion for clean energy.</w:t>
      </w:r>
    </w:p>
    <w:p>
      <w:pPr>
        <w:spacing w:after="0" w:line="170"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We have several active partnerships with clients developing simulations of quantum mechanical systems. One such partnership is with Astex Pharmaceuticals, a United Kingdom-based company, which is working with our quantum computers on approaches that may speed up the process of drug discovery. We are also partnering with two U.S. DOE agencies on simulation applications in the areas of nuclear fusion and high energy physics.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Introduction to Quantum Computing</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 xml:space="preserve">Quantum computers encode and process data using a new kind of information storing electrical circuit called a quantum bit, or qubit. By leveraging the quantum mechanical principle of superposition, qubits can represent complex mathematical combinations of </w:t>
      </w:r>
      <w:r>
        <w:rPr>
          <w:rFonts w:ascii="Arial" w:cs="Arial" w:eastAsia="Arial" w:hAnsi="Arial"/>
          <w:sz w:val="17"/>
          <w:szCs w:val="17"/>
          <w:i w:val="1"/>
          <w:iCs w:val="1"/>
          <w:color w:val="auto"/>
        </w:rPr>
        <w:t>both</w:t>
      </w:r>
      <w:r>
        <w:rPr>
          <w:rFonts w:ascii="Arial" w:cs="Arial" w:eastAsia="Arial" w:hAnsi="Arial"/>
          <w:sz w:val="17"/>
          <w:szCs w:val="17"/>
          <w:color w:val="auto"/>
        </w:rPr>
        <w:t xml:space="preserve"> zero and one at the same time. In contrast, classical computers are composed of transistors, electronic devices that hold binary zero or one states, therefore requiring billions of transistors in order to execute complex algorithms. This qubit property of superposition creates unique capabilities. By enabling qubits to encode more information than classical bits, it allows for a quantum computer’s power to scale exponentially, rather than linearly as with traditional computers based on transistors. Additionally, it makes it possible to construct algorithms that can evaluate all possible solutions to a problem simultaneously, rather than sequentially as is the case with classical computing. Furthermore, making qubits does not require expensive, continually shrinking lithography in order to improve performance, as transistor-based computers do. Qubits can be made using trailing edge semiconductor tools, so computer performance is decoupled from chip manufacturing cost.</w:t>
      </w:r>
    </w:p>
    <w:p>
      <w:pPr>
        <w:spacing w:after="0" w:line="18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properties enable quantum computers to excel at solving problems with a large number of variables, highly complex and numerous solutions, or strong correlations or interactions. Many of these problems are currently intractable due to the scaling limits of classical computers and thus represent opportunities for computational advancement across many industries, including finance, pharma and biotechnology, energy, logistics, aerospace, defense and intelligence, and basic research and development.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Quantum Computers Compute</w:t>
      </w:r>
    </w:p>
    <w:p>
      <w:pPr>
        <w:spacing w:after="0" w:line="117" w:lineRule="exact"/>
        <w:rPr>
          <w:sz w:val="20"/>
          <w:szCs w:val="20"/>
          <w:color w:val="auto"/>
        </w:rPr>
      </w:pPr>
    </w:p>
    <w:p>
      <w:pPr>
        <w:ind w:left="120" w:right="140"/>
        <w:spacing w:after="0" w:line="288" w:lineRule="auto"/>
        <w:rPr>
          <w:sz w:val="20"/>
          <w:szCs w:val="20"/>
          <w:color w:val="auto"/>
        </w:rPr>
      </w:pPr>
      <w:r>
        <w:rPr>
          <w:rFonts w:ascii="Arial" w:cs="Arial" w:eastAsia="Arial" w:hAnsi="Arial"/>
          <w:sz w:val="16"/>
          <w:szCs w:val="16"/>
          <w:color w:val="auto"/>
        </w:rPr>
        <w:t xml:space="preserve">To execute a quantum computation, classical data, which represents the problem to be solved and the algorithm, is translated into control sequences, or quantum logic gates, and applied to the qubits in the quantum computer. These sequences are called quantum circuits. Once the circuit has been executed on the quantum computer, the qubits are measured, resulting in classical data flowing out of the quantum computer and back into classical memory. The level of performance of a quantum computer in executing these circuits and solving computational problems is dictated by many factors. These include the </w:t>
      </w:r>
      <w:r>
        <w:rPr>
          <w:rFonts w:ascii="Arial" w:cs="Arial" w:eastAsia="Arial" w:hAnsi="Arial"/>
          <w:sz w:val="16"/>
          <w:szCs w:val="16"/>
          <w:i w:val="1"/>
          <w:iCs w:val="1"/>
          <w:color w:val="auto"/>
        </w:rPr>
        <w:t>scale</w:t>
      </w:r>
      <w:r>
        <w:rPr>
          <w:rFonts w:ascii="Arial" w:cs="Arial" w:eastAsia="Arial" w:hAnsi="Arial"/>
          <w:sz w:val="16"/>
          <w:szCs w:val="16"/>
          <w:color w:val="auto"/>
        </w:rPr>
        <w:t xml:space="preserve">, or number of qubits available in the quantum processor to encode the problem and algorithm, with more qubits enabling exponentially more complex and challenging problems to be represented; the </w:t>
      </w:r>
      <w:r>
        <w:rPr>
          <w:rFonts w:ascii="Arial" w:cs="Arial" w:eastAsia="Arial" w:hAnsi="Arial"/>
          <w:sz w:val="16"/>
          <w:szCs w:val="16"/>
          <w:i w:val="1"/>
          <w:iCs w:val="1"/>
          <w:color w:val="auto"/>
        </w:rPr>
        <w:t>fidelity</w:t>
      </w:r>
      <w:r>
        <w:rPr>
          <w:rFonts w:ascii="Arial" w:cs="Arial" w:eastAsia="Arial" w:hAnsi="Arial"/>
          <w:sz w:val="16"/>
          <w:szCs w:val="16"/>
          <w:color w:val="auto"/>
        </w:rPr>
        <w:t xml:space="preserve"> of the quantum logic gates from which circuits are composed, which determines how often errors occur when the circuit is executed; the </w:t>
      </w:r>
      <w:r>
        <w:rPr>
          <w:rFonts w:ascii="Arial" w:cs="Arial" w:eastAsia="Arial" w:hAnsi="Arial"/>
          <w:sz w:val="16"/>
          <w:szCs w:val="16"/>
          <w:i w:val="1"/>
          <w:iCs w:val="1"/>
          <w:color w:val="auto"/>
        </w:rPr>
        <w:t>gate speed</w:t>
      </w:r>
      <w:r>
        <w:rPr>
          <w:rFonts w:ascii="Arial" w:cs="Arial" w:eastAsia="Arial" w:hAnsi="Arial"/>
          <w:sz w:val="16"/>
          <w:szCs w:val="16"/>
          <w:color w:val="auto"/>
        </w:rPr>
        <w:t xml:space="preserve">, which shapes the time taken to execute a given circuit; the </w:t>
      </w:r>
      <w:r>
        <w:rPr>
          <w:rFonts w:ascii="Arial" w:cs="Arial" w:eastAsia="Arial" w:hAnsi="Arial"/>
          <w:sz w:val="16"/>
          <w:szCs w:val="16"/>
          <w:i w:val="1"/>
          <w:iCs w:val="1"/>
          <w:color w:val="auto"/>
        </w:rPr>
        <w:t xml:space="preserve">co-processing </w:t>
      </w:r>
      <w:r>
        <w:rPr>
          <w:rFonts w:ascii="Arial" w:cs="Arial" w:eastAsia="Arial" w:hAnsi="Arial"/>
          <w:sz w:val="16"/>
          <w:szCs w:val="16"/>
          <w:color w:val="auto"/>
        </w:rPr>
        <w:t>technology and integration, which determines the rate at which classical data representing the problem and algorithm can be loaded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quantum computer, and the rate at which it flows back out upon completion of the circuit execution; and </w:t>
      </w:r>
      <w:r>
        <w:rPr>
          <w:rFonts w:ascii="Arial" w:cs="Arial" w:eastAsia="Arial" w:hAnsi="Arial"/>
          <w:sz w:val="16"/>
          <w:szCs w:val="16"/>
          <w:i w:val="1"/>
          <w:iCs w:val="1"/>
          <w:color w:val="auto"/>
        </w:rPr>
        <w:t>re-programmability</w:t>
      </w:r>
      <w:r>
        <w:rPr>
          <w:rFonts w:ascii="Arial" w:cs="Arial" w:eastAsia="Arial" w:hAnsi="Arial"/>
          <w:sz w:val="16"/>
          <w:szCs w:val="16"/>
          <w:color w:val="auto"/>
        </w:rPr>
        <w:t>, or the speed with which the specific quantum circuit being executed may be updated to move on to the next step in a computational process.</w:t>
      </w:r>
    </w:p>
    <w:p>
      <w:pPr>
        <w:spacing w:after="0" w:line="168" w:lineRule="exact"/>
        <w:rPr>
          <w:sz w:val="20"/>
          <w:szCs w:val="20"/>
          <w:color w:val="auto"/>
        </w:rPr>
      </w:pPr>
    </w:p>
    <w:p>
      <w:pPr>
        <w:jc w:val="both"/>
        <w:ind w:left="120" w:right="80"/>
        <w:spacing w:after="0" w:line="275" w:lineRule="auto"/>
        <w:rPr>
          <w:sz w:val="20"/>
          <w:szCs w:val="20"/>
          <w:color w:val="auto"/>
        </w:rPr>
      </w:pPr>
      <w:r>
        <w:rPr>
          <w:rFonts w:ascii="Arial" w:cs="Arial" w:eastAsia="Arial" w:hAnsi="Arial"/>
          <w:sz w:val="17"/>
          <w:szCs w:val="17"/>
          <w:color w:val="auto"/>
        </w:rPr>
        <w:t>Several candidate physical systems, or modalities, have been proposed or are being pursued, to form the basic physical qubits in quantum computers. These include, first and foremost, the superconducting qubit technology leveraged by us. They also include approaches based on trapped ions, trapped neutral atoms, and photonics. There is a varying degree of promise, potential and risk in building machines capable of meeting the above requirements for broad commercial utility. As outlined below, it is widely believed that superconducting qubit technology is the most mature, the most advanced, and most likely to ultimately lead to broad commercial success.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Practical Workloads: Path to Quantum Advantage</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Unlocking the broad commercial market for quantum computing calls for quantum computers that are able to solve practical commercial problems better, faster, or cheaper than the best alternative classical computing solution, including even the most powerful supercomputers. This inflection point is referred to as </w:t>
      </w:r>
      <w:r>
        <w:rPr>
          <w:rFonts w:ascii="Arial" w:cs="Arial" w:eastAsia="Arial" w:hAnsi="Arial"/>
          <w:sz w:val="17"/>
          <w:szCs w:val="17"/>
          <w:i w:val="1"/>
          <w:iCs w:val="1"/>
          <w:color w:val="auto"/>
        </w:rPr>
        <w:t>quantum advantage</w:t>
      </w:r>
      <w:r>
        <w:rPr>
          <w:rFonts w:ascii="Arial" w:cs="Arial" w:eastAsia="Arial" w:hAnsi="Arial"/>
          <w:sz w:val="17"/>
          <w:szCs w:val="17"/>
          <w:color w:val="auto"/>
        </w:rPr>
        <w:t xml:space="preserve">. Achieving quantum advantage imposes requirements on the quantum computer itself, the most important of which relate to the above performance factors of </w:t>
      </w:r>
      <w:r>
        <w:rPr>
          <w:rFonts w:ascii="Arial" w:cs="Arial" w:eastAsia="Arial" w:hAnsi="Arial"/>
          <w:sz w:val="17"/>
          <w:szCs w:val="17"/>
          <w:i w:val="1"/>
          <w:iCs w:val="1"/>
          <w:color w:val="auto"/>
        </w:rPr>
        <w:t>scale</w:t>
      </w:r>
      <w:r>
        <w:rPr>
          <w:rFonts w:ascii="Arial" w:cs="Arial" w:eastAsia="Arial" w:hAnsi="Arial"/>
          <w:sz w:val="17"/>
          <w:szCs w:val="17"/>
          <w:color w:val="auto"/>
        </w:rPr>
        <w:t xml:space="preserve">, </w:t>
      </w:r>
      <w:r>
        <w:rPr>
          <w:rFonts w:ascii="Arial" w:cs="Arial" w:eastAsia="Arial" w:hAnsi="Arial"/>
          <w:sz w:val="17"/>
          <w:szCs w:val="17"/>
          <w:i w:val="1"/>
          <w:iCs w:val="1"/>
          <w:color w:val="auto"/>
        </w:rPr>
        <w:t>fidelity</w:t>
      </w:r>
      <w:r>
        <w:rPr>
          <w:rFonts w:ascii="Arial" w:cs="Arial" w:eastAsia="Arial" w:hAnsi="Arial"/>
          <w:sz w:val="17"/>
          <w:szCs w:val="17"/>
          <w:color w:val="auto"/>
        </w:rPr>
        <w:t xml:space="preserve">, </w:t>
      </w:r>
      <w:r>
        <w:rPr>
          <w:rFonts w:ascii="Arial" w:cs="Arial" w:eastAsia="Arial" w:hAnsi="Arial"/>
          <w:sz w:val="17"/>
          <w:szCs w:val="17"/>
          <w:i w:val="1"/>
          <w:iCs w:val="1"/>
          <w:color w:val="auto"/>
        </w:rPr>
        <w:t>speed</w:t>
      </w:r>
      <w:r>
        <w:rPr>
          <w:rFonts w:ascii="Arial" w:cs="Arial" w:eastAsia="Arial" w:hAnsi="Arial"/>
          <w:sz w:val="17"/>
          <w:szCs w:val="17"/>
          <w:color w:val="auto"/>
        </w:rPr>
        <w:t xml:space="preserve">, </w:t>
      </w:r>
      <w:r>
        <w:rPr>
          <w:rFonts w:ascii="Arial" w:cs="Arial" w:eastAsia="Arial" w:hAnsi="Arial"/>
          <w:sz w:val="17"/>
          <w:szCs w:val="17"/>
          <w:i w:val="1"/>
          <w:iCs w:val="1"/>
          <w:color w:val="auto"/>
        </w:rPr>
        <w:t>co-processing</w:t>
      </w:r>
      <w:r>
        <w:rPr>
          <w:rFonts w:ascii="Arial" w:cs="Arial" w:eastAsia="Arial" w:hAnsi="Arial"/>
          <w:sz w:val="17"/>
          <w:szCs w:val="17"/>
          <w:color w:val="auto"/>
        </w:rPr>
        <w:t xml:space="preserve">, and </w:t>
      </w:r>
      <w:r>
        <w:rPr>
          <w:rFonts w:ascii="Arial" w:cs="Arial" w:eastAsia="Arial" w:hAnsi="Arial"/>
          <w:sz w:val="17"/>
          <w:szCs w:val="17"/>
          <w:i w:val="1"/>
          <w:iCs w:val="1"/>
          <w:color w:val="auto"/>
        </w:rPr>
        <w:t>re-programmability</w:t>
      </w:r>
      <w:r>
        <w:rPr>
          <w:rFonts w:ascii="Arial" w:cs="Arial" w:eastAsia="Arial" w:hAnsi="Arial"/>
          <w:sz w:val="17"/>
          <w:szCs w:val="17"/>
          <w:color w:val="auto"/>
        </w:rPr>
        <w:t>.</w:t>
      </w:r>
    </w:p>
    <w:p>
      <w:pPr>
        <w:spacing w:after="0" w:line="17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b w:val="1"/>
          <w:bCs w:val="1"/>
          <w:i w:val="1"/>
          <w:iCs w:val="1"/>
          <w:color w:val="auto"/>
        </w:rPr>
        <w:t>Scale</w:t>
      </w:r>
      <w:r>
        <w:rPr>
          <w:rFonts w:ascii="Arial" w:cs="Arial" w:eastAsia="Arial" w:hAnsi="Arial"/>
          <w:sz w:val="16"/>
          <w:szCs w:val="16"/>
          <w:color w:val="auto"/>
        </w:rPr>
        <w:t>. In order for quantum computers to solve problems out of reach for classical computers, such as modeling molecules with many electrons in order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enhance drug discovery, they require a significant number of high-performing qubits, likely starting at between a few hundred to 1,000 qubits.</w:t>
      </w:r>
    </w:p>
    <w:p>
      <w:pPr>
        <w:spacing w:after="0" w:line="12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b w:val="1"/>
          <w:bCs w:val="1"/>
          <w:i w:val="1"/>
          <w:iCs w:val="1"/>
          <w:color w:val="auto"/>
        </w:rPr>
        <w:t>Fidelity</w:t>
      </w:r>
      <w:r>
        <w:rPr>
          <w:rFonts w:ascii="Arial" w:cs="Arial" w:eastAsia="Arial" w:hAnsi="Arial"/>
          <w:sz w:val="18"/>
          <w:szCs w:val="18"/>
          <w:color w:val="auto"/>
        </w:rPr>
        <w:t>. A gate fidelity estimates the reliability of an operation. For instance, a two-qubit gate with a gate fidelity of 99% means that 99 out of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times the operation will provide the correct result. Errors can be caused by imperfect control, natural manufacturing variations, finite qubit lifetimes (coherence) or other sources. Overall, high fidelities of over 99% are likely necessary to enable performance benefits on practical workloads. An error per operation is defined as (1-fidelity).</w:t>
      </w:r>
    </w:p>
    <w:p>
      <w:pPr>
        <w:spacing w:after="0" w:line="187"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b w:val="1"/>
          <w:bCs w:val="1"/>
          <w:i w:val="1"/>
          <w:iCs w:val="1"/>
          <w:color w:val="auto"/>
        </w:rPr>
        <w:t>Speed</w:t>
      </w:r>
      <w:r>
        <w:rPr>
          <w:rFonts w:ascii="Arial" w:cs="Arial" w:eastAsia="Arial" w:hAnsi="Arial"/>
          <w:sz w:val="16"/>
          <w:szCs w:val="16"/>
          <w:color w:val="auto"/>
        </w:rPr>
        <w:t>. Speed is a crucial metric for all types of computers, both quantum and classical. Since quantum algorithms are ultimately composed of logic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gates applied sequentially to qubits in a quantum computer, the speed with which these gates can be executed translates directly into processing speed and workload throughput. Therefore, faster quantum processing speeds can result in a larger number of addressable problems and larger market opportunity, as well as a more direct path to outperforming classical alternatives and a higher intrinsic revenue potential per unit time.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b w:val="1"/>
          <w:bCs w:val="1"/>
          <w:i w:val="1"/>
          <w:iCs w:val="1"/>
          <w:color w:val="auto"/>
        </w:rPr>
        <w:t>Co-processing</w:t>
      </w:r>
      <w:r>
        <w:rPr>
          <w:rFonts w:ascii="Arial" w:cs="Arial" w:eastAsia="Arial" w:hAnsi="Arial"/>
          <w:sz w:val="18"/>
          <w:szCs w:val="18"/>
          <w:color w:val="auto"/>
        </w:rPr>
        <w:t>. Hybrid architectures that leverage quantum computers as co-processors, pioneered by us since the company’s inception, have now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widely adopted in the quantum computing industry. Quantum co-processing delivered over the cloud, such as Rigetti Quantum Cloud Services platform, is the predominant framework for building and using quantum computers today. In this paradigm, quantum processors are tightly integrated with classical computing systems and infrastructure to ensure the rate of data flowing in and out of the quantum processor can meet the needs of commercial applications. Effective implementation of co-processing hinges on both the intrinsic technological features of the specific qubit technology, as well as product innovations and system architectures aimed to prioritize this capability. For example, just as in classical computing architecture, fast gate speeds, coupled with a network architecture that achieves low network latency for data flow, are some requirements for high performance co-processing.</w:t>
      </w:r>
    </w:p>
    <w:p>
      <w:pPr>
        <w:spacing w:after="0" w:line="19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b w:val="1"/>
          <w:bCs w:val="1"/>
          <w:i w:val="1"/>
          <w:iCs w:val="1"/>
          <w:color w:val="auto"/>
        </w:rPr>
        <w:t>Reprogrammability</w:t>
      </w:r>
      <w:r>
        <w:rPr>
          <w:rFonts w:ascii="Arial" w:cs="Arial" w:eastAsia="Arial" w:hAnsi="Arial"/>
          <w:sz w:val="16"/>
          <w:szCs w:val="16"/>
          <w:color w:val="auto"/>
        </w:rPr>
        <w:t>. Reprogrammable quantum computers are general purpose machines that should be able to run any quantum algorithm, provided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machine has the scale, fidelity, and other attributes needed to support the particular problem instance. While gate-model quantum computers, such as those made by us, IBM, IonQ and Google, are typically reprogrammable, different technology approaches and architecture choices lead to varying constraints in applying this capability in a practical setting. Specifically, the ability to dynamically reprogram the quantum processor during the execution of a quantum circuit or within the coherence time of its qubits is of particular importance for many anticipated applications and use cases.</w:t>
      </w:r>
    </w:p>
    <w:p>
      <w:pPr>
        <w:spacing w:after="0" w:line="16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While research and development funding and investments into quantum computing have accelerated, we believe that long-term commercial demand for quantum computing systems hinges on the ability to meet the above criteria for running practical workloads. Multiple quantum hardware modalities are being pursued. Among these, we believe the superconducting qubit is the only such modality that has, to date, demonstrated viability across all these requisite metrics.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Superconducting Quantum Processors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Introduction to Superconducting Qubits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build and operate quantum computers based on superconducting qubits. Superconducting qubits are silicon-based electronic devices that encode information in quantum states associated with currents and voltages. Superconducting qubits benefit from the fact that their basic properties can be engineered through well-established semiconductor industry design and manufacturing techniques. This enables chip design and architecture tradeoffs to be made to overcome various practical constraints in building commercial quantum computing systems. They are also improving along these key metrics faster than approaches based on other qubit modalities, such as ion traps, photonics and neutral atoms. As an example, in June 2011, the largest algorithms demonstrated on programmable, gate model quantum computers across these modalities were in the range of a few qubits. In the ensuing ten-year period from 2011 to 2021, superconducting systems have successfully scaled up to the range of 30 to 60 or more qubits, including demonstrations of quantum supremacy. This rate of scaling has easily outpaced other approaches. We believe this leadership results in part from an intrinsic advantage: superconducting qubits have many inherent similarities to traditional silicon-based chips. As a result, progress in superconducting quantum computers may be achieved by leveraging the existing capabilities - expertise, technologies, workforces, and supply chains, for example - of the semiconductor manufacturing industry, rather than needing to establish such capabilities anew.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Rigetti Quantum Processors</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Rigetti quantum processors are based on transmon-style superconducting qubits. Quantum logic gates are actuated by applying electronic signals to the qubits. Chips are packaged, connected to input and output circuitry, and operated in a low-temperature environment. Control and readout signals are generated and processed in a control system operating at room temperature. This control system is subsequently integrated with, or networked into, auxiliary classical computing hardware to enable co-processing system requirements. Our competitive advantage begins at the chip level and extends through the full-stack, with a distinct focus on fabricating scalable hardware meeting the requirements for practical workloads.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Scale</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Achieving the scale of quantum processor needed for practical workloads is perhaps the hardest requirement of all. To address this, we have developed a unique patented and patent-pending multi-chip quantum processor technology. This approach leverages techniques long used in classical computer microprocessors and memory (“RAM”). Our scalable processor architecture enables multiple core processor chips, each having many qubits, within a multi-chip assembly to function cohesively as a single, large quantum computer-without introducing additional error sources, network latency or other overhead. Using our modular chip architecture, larger quantum processors may be constructed by assembling more core processors together. From a manufacturing perspective, this enables a single type of core processor chip to support multiple quantum processor generations of increasing scale and performance. We believe that this solution facilitates rapid scaling and can enable even faster development cycles in future chip generations.</w:t>
      </w:r>
    </w:p>
    <w:p>
      <w:pPr>
        <w:spacing w:after="0" w:line="166"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In addition to accelerating the pace of scaling, we believe our proprietary modular chip architecture has significant manufacturability and cost benefits. For example, rather than producing large, complex individual chips with 1,000 qubits, we may fabricate 10 chips with 100 qubits each, and use our multi-chip technology to assemble them together to produce a 1,000 qubit quantum processor. This solution makes it much easier to produce large processor chips with high yield. As a result, we believe our modular approach to be fundamentally more manufacturable, predictable, and scalable.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multi-chip technology incorporates several advances in integrated circuit design, architecture, and silicon device manufacturing. These advances include superconducting multi-chip bonding technology for chip-level 3D integration, superconducting through-silicon via process technology and interchip coupling technology that enables high-fidelity two-qubit logic gates between qubits disposed on different silicon dies. These innovations have resulted from our investment in more than five years of technology development to establishing the essential capabilities to produce quantum processors meeting the requirements for broad commercial utility. We believe our approach to scaling quantum computers will accelerate us toward quantum advantage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148590</wp:posOffset>
            </wp:positionV>
            <wp:extent cx="5014595" cy="3943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14595"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80" w:right="200"/>
        <w:spacing w:after="0" w:line="277" w:lineRule="auto"/>
        <w:rPr>
          <w:sz w:val="20"/>
          <w:szCs w:val="20"/>
          <w:color w:val="auto"/>
        </w:rPr>
      </w:pPr>
      <w:r>
        <w:rPr>
          <w:rFonts w:ascii="Arial" w:cs="Arial" w:eastAsia="Arial" w:hAnsi="Arial"/>
          <w:sz w:val="18"/>
          <w:szCs w:val="18"/>
          <w:i w:val="1"/>
          <w:iCs w:val="1"/>
          <w:color w:val="auto"/>
        </w:rPr>
        <w:t>Rigetti’s proprietary multi-chip architecture enables larger quantum processors to be constructed by assembling individual chips together, thereby supporting multiple quantum processor generations of increasing scale and performance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86"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b w:val="1"/>
          <w:bCs w:val="1"/>
          <w:i w:val="1"/>
          <w:iCs w:val="1"/>
          <w:color w:val="auto"/>
        </w:rPr>
        <w:t>Fab-1</w:t>
      </w:r>
      <w:r>
        <w:rPr>
          <w:rFonts w:ascii="Arial" w:cs="Arial" w:eastAsia="Arial" w:hAnsi="Arial"/>
          <w:sz w:val="17"/>
          <w:szCs w:val="17"/>
          <w:color w:val="auto"/>
        </w:rPr>
        <w:t>. We have developed, own and operate the distinctive manufacturing capabilities needed to produce quantum processors in our proprietary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scalable architecture. In 2017, we became the first company to build a dedicated and integrated Fab for producing quantum processors. In addition to vertically integrating the process capabilities to produce our proprietary chips, Fab-1 delivers a high mix of development chips to internal teams. This in-house fabrication capability allows for rapid design-fab-test cycles of learning, enabling an innovation cycle we estimate to be two to five times faster than a typical MEMS or semiconductor foundry. In Fab-1, our engineers focus their efforts on rapidly exploring then optimizing new chip designs and establishing repeatable manufacturing processes. Fab-1 also includes semi-automated chip testing and characterization capabilities. Additionally, by leveraging traditional semiconductor tools and processes, Fab-1 builds on expertise from the existing semiconductor industry, a distinct advantage over other qubit modalities. This in-house fab capability has enabled us to accumulate the hands-on experience and intellectual property, including know-how, patents, and trade secrets, to produce quantum computer chips within our scalable, proprietary architecture. Furthermore, we believe Fab-1 has enough wafer capacity to supply all of our chip needs for at least the next four years.</w:t>
      </w:r>
    </w:p>
    <w:p>
      <w:pPr>
        <w:spacing w:after="0" w:line="18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b w:val="1"/>
          <w:bCs w:val="1"/>
          <w:i w:val="1"/>
          <w:iCs w:val="1"/>
          <w:color w:val="auto"/>
        </w:rPr>
        <w:t>Cooling</w:t>
      </w:r>
      <w:r>
        <w:rPr>
          <w:rFonts w:ascii="Arial" w:cs="Arial" w:eastAsia="Arial" w:hAnsi="Arial"/>
          <w:sz w:val="18"/>
          <w:szCs w:val="18"/>
          <w:color w:val="auto"/>
        </w:rPr>
        <w:t>. Like all high-performance computing systems, Rigetti quantum computers require an advanced cooling system. In this case, commercially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dilution refrigerators maintain chip temperatures at around 0.02 Kelvin. Cooling power requirements and associated electricity costs will scale approximately linearly with qubit count, while expected computational utility increases exponentially. As a result, we expect the electricity costs to run the cooling systems of our quantum computers to make up an ever-decreasing fraction of the overall revenue generated from each machine. In addition, we work closely with refrigerator vendors and anticipate the commercial availability of dilution refrigerator systems with the capabilities to support our product roadmap.</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Fidelity</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Improvements to the coherence times of superconducting qubits, combined with methods for ever-faster and more precise quantum logic gates, have kept superconducting qubits on a pace of continuous fidelity improvement for approximately two decades. Over the last several years, algorithms have been developed on processors with average two-qubit gate fidelities of 95-98%. As processors scale to broad quantum advantage, fidelity will need to improve, likely to 99% and beyond.</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are focused on delivering advances to fidelity through a systematic engineering approach centered on our design-fab-test flywheel powered by our in-house design and manufacturing. Uniquely, our modular processor technology enables improvements to fidelity to be achieved separately from efforts to increase scale; fidelity advancements can be developed on the individual core processor chips, and these improvements can be rapidly integrated into scaled processors through our multi-chip integration technology.</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commercially available 80-qubit Aspen systems typically have similar gate fidelities to its 32-qubit systems. Significantly, our 80-qubit multi-chip processors leverage our interchip coupling technology to form an 80-qubit lattice of similar fidelity to the 40-qubit chips on which they are based. Looking forward, we plan to combine core elements of this multi-chip scaling technology with the expected higher performance and connectivity of our next generation chips.</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currently see higher performance in test devices of our next generation core quantum processor, the Ankaa-1 84 qubit system, which we recently deployed internally within the company in March 2023 for testing. This next-generation chip design uses tunable couplers to enable active cancellation of unwanted interactions between qubits to improve control and decrease error. Recent tests on a 9-qubit system utilizing these new chips have demonstrated mean two-qubit gate fidelities of 98.3%, median fidelities of 98.1% and maximum fidelities of 99.6%. As development has progressed, we continue to see high two-qubit gate fidelities around 99% on test devices.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Speed</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One of the strengths of superconducting qubit technology, and our technology in particular, is that gate operations on superconducting processors are faster than other commercially available modalities today.</w:t>
      </w:r>
    </w:p>
    <w:p>
      <w:pPr>
        <w:spacing w:after="0" w:line="170" w:lineRule="exact"/>
        <w:rPr>
          <w:sz w:val="20"/>
          <w:szCs w:val="20"/>
          <w:color w:val="auto"/>
        </w:rPr>
      </w:pPr>
    </w:p>
    <w:p>
      <w:pPr>
        <w:ind w:left="120" w:right="200"/>
        <w:spacing w:after="0" w:line="271" w:lineRule="auto"/>
        <w:rPr>
          <w:sz w:val="20"/>
          <w:szCs w:val="20"/>
          <w:color w:val="auto"/>
        </w:rPr>
      </w:pPr>
      <w:r>
        <w:rPr>
          <w:rFonts w:ascii="Arial" w:cs="Arial" w:eastAsia="Arial" w:hAnsi="Arial"/>
          <w:sz w:val="17"/>
          <w:szCs w:val="17"/>
          <w:color w:val="auto"/>
        </w:rPr>
        <w:t>The speed of gate operations in superconducting qubits are determined by the intentional design of circuit elements on-chip and their optimized parameters, rather than relying on atomic properties. Our slowest class of gate operations, two-qubit entangling gates, have a median duration of less than 200 nanoseconds. Moreover, for future computer systems from us, high quality entangling gates as fast as 36 nanoseconds have recently been achieved through the introduction of an additional circuit element to tune the interaction strength between qubits, showcasing the value of engineered approaches. We believe that superconducting processors’ speed advantage will result in a larger market for superconducting quantum computers compared to other modalities, as there are a multitude of high value use cases that require timely results, such as real-time decision making, risk calculations, and more. As in conventional computing, faster gate speeds also equate to higher throughput in commercial deployment and therefore greater potential revenue opportunity.</w:t>
      </w:r>
    </w:p>
    <w:p>
      <w:pPr>
        <w:spacing w:after="0" w:line="17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February 2022, we announced speed test results for Circuit layer operations per second, or CLOPS, for our Aspen 11 and Aspen-M series processors. CLOPs is a quantum computer performance metric initially developed and published by IBM in October 2021. Conducting tests based on 100 shots, as set forth in the original published definition, the 40-qubit Aspen-11 system demonstrated a CLOPS of 844, while the 80-qubit Aspen-M system demonstrated a CLOPS of 892. These results suggest that our current systems perform as well or better on this CLOPS speed test as the number of qubits in the system increases. To reflect what users can potentially expect in typical use cases, we also evaluated CLOPS using 1000 shots. In this case, Aspen-11 performed at 7512 CLOPS and Aspen-M performed at 8333 CLOPS, demonstrating that comparable or better system speed persists at both higher shot counts and higher qubit counts. In July and August, 2022, we successfully achieved a CLOPS performance greater than 4,000 on both our 80-qubit Aspen-M-2 system and our 40-qubit Aspen-11 system, respectively, representing a 4.5 times acceleration since February. These speed tests were conducted using our production QCS environment. CLOPS, characterizes quantum processing speeds inclusive of gate speeds, reprogrammability, and co-processing capabilities, among other factors. CLOPS is calculated as M × K × S × D / time taken where: M = number of templates = 100; K = number of parameter updates = 10; S = number of shots = 100 or 1000; and D = number of QV layers = log2 QV.</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Co-processing</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It is widely believed that unlocking the commercial value of quantum computing requires quantum computers to be tightly integrated with classical computing systems and technology. High-performance co-processing integration accelerates the path to quantum advantage by enabling both quantum and classical computing resources to work in tandem to address computational bottlenecks best suited to their particular strengths. This approach also facilitates adoption and usability by end users who are more familiar with classical programming. The inherent speed with which superconducting processors can execute circuits and be dynamically re-programmed makes them ideally suited to high-speed co-processing integration. Other modalities have not demonstrated the gate speeds necessary to support high-performance co-processing.</w:t>
      </w:r>
    </w:p>
    <w:p>
      <w:pPr>
        <w:spacing w:after="0" w:line="178"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We have invented and patented capabilities at the hardware and software level, such as parametric code compilation, to enable high performance co-processing on a cloud platform. Parametric code compilation supports running faster hybrid algorithms through memory registers shared between classical programs and embedded logic on a QPU control system. This means that users can run algorithms without incurring latency that would otherwise be caused by updating parameters at each step.</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86"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Reprogrammability</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systems are dynamically reprogrammable. Instructions are streamed into the quantum computer or updated within the execution time of the quantum logic circuit. This allows our machines to effectively run both the hybrid variational algorithms that underpin current use cases and quantum error correction routines in future systems. In a production setting, dynamic reprogrammability translates to higher customer job throughput per unit time. Since many applications are expected to require streamed data processing or error correction, we believe this dynamic reprogrammability is central to unlocking the full market potential of quantum computing systems, especially in comparison to alternative modalities that are unable to implement high speed re-programming.</w:t>
      </w:r>
    </w:p>
    <w:p>
      <w:pPr>
        <w:spacing w:after="0" w:line="19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quantum computers are orchestrated with a control system operated at room temperature. In our architecture, reprogramming the quantum processor occurs exclusively within this control system. Unlike photonics, for example, reprogramming the system to run a new quantum circuit does not require slow on-chip updates, but only requires changes to the sequence of signals applied to the chip. Our QPUs today support dynamic programming protocols within microsecond feedback loops. For example, re-setting registers of qubits conditional on the outcomes of previous measurements, can increase overall quantum circuit throughput by 5x relative to non-dynamic implementations of the same workload.</w:t>
      </w:r>
    </w:p>
    <w:p>
      <w:pPr>
        <w:spacing w:after="0" w:line="176" w:lineRule="exact"/>
        <w:rPr>
          <w:sz w:val="20"/>
          <w:szCs w:val="20"/>
          <w:color w:val="auto"/>
        </w:rPr>
      </w:pPr>
    </w:p>
    <w:p>
      <w:pPr>
        <w:ind w:left="120" w:right="240"/>
        <w:spacing w:after="0" w:line="293" w:lineRule="auto"/>
        <w:rPr>
          <w:sz w:val="20"/>
          <w:szCs w:val="20"/>
          <w:color w:val="auto"/>
        </w:rPr>
      </w:pPr>
      <w:r>
        <w:rPr>
          <w:rFonts w:ascii="Arial" w:cs="Arial" w:eastAsia="Arial" w:hAnsi="Arial"/>
          <w:sz w:val="16"/>
          <w:szCs w:val="16"/>
          <w:color w:val="auto"/>
        </w:rPr>
        <w:t>The QPU control system includes hardware for networking, classical microprocessors, FPGAs for control and readout pulse sequencing, and analog signal processing. The integrated system is designed and built to meet the requirements for co-processing and reprogrammability over the cloud. This capability enables high-speed data flow within the quantum processor, and between the quantum processor and auxiliary classical compute and networking infrastructure. Our systems are thus enabled for high-performance hybrid quantum-classical computing, the implementation of high-throughput quantum programs for practical workloads, and the dynamic control flow and feedback that underpins practical quantum error correction. The control system drives the quantum processor, calibrates and operates gates, and measures qubit states at the end of a computation.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Quantum Error Correction</w:t>
      </w:r>
    </w:p>
    <w:p>
      <w:pPr>
        <w:spacing w:after="0" w:line="11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Direct improvements to qubits and gate fidelities are currently the primary means of advancing the performance of quantum computers. However, at the scale of a few hundred qubits and beyond, a method called quantum error correction can be applied to further accelerate this rate of progress.</w:t>
      </w:r>
    </w:p>
    <w:p>
      <w:pPr>
        <w:spacing w:after="0" w:line="12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quantum error correction, a large number of individual physical qubits can be transformed, through repeated application of gate and readout operations designed to detect and fix physical errors, into single “logical” qubits, whose properties are exponentially improved relative to the constituent physical qubits. While the methodology of quantum error correction is well-established in the field of quantum computing, systems capable of running such codes at a commercially useful scale are not currently available. Eventually, solving certain classes of problems will require the ability to compute with tens to hundreds or even thousands of logical qubits. This makes the ability to build large qubit count processors at this commercial scale an even more crucial capability.</w:t>
      </w:r>
    </w:p>
    <w:p>
      <w:pPr>
        <w:spacing w:after="0" w:line="192"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Additionally, because errors must be identified at a specific physical location within the quantum processor in order to be corrected, those errors must also be well-localized within small regions of the quantum processor. For example, a qubit in one region must not induce errors on some distant qubit, but rather be constrained to influencing errors on nearby qubits. This essential requirement underpins modern quantum error correction theory and practice.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Turning to the processor’s physical qubit array, the necessity of localizing errors has led to the predominance of nearest-neighbor connectivity graphs in quantum processor design. Our quantum processors meet these essential requirements with a nearest-neighbor, planar connectivity graph. Planar codes are expected to show a high error threshold of approximately 1% error probability per operation. This means that if error rates are below the required threshold (e.g. 1%), then increasing the redundancy (</w:t>
      </w:r>
      <w:r>
        <w:rPr>
          <w:rFonts w:ascii="Arial" w:cs="Arial" w:eastAsia="Arial" w:hAnsi="Arial"/>
          <w:sz w:val="17"/>
          <w:szCs w:val="17"/>
          <w:i w:val="1"/>
          <w:iCs w:val="1"/>
          <w:color w:val="auto"/>
        </w:rPr>
        <w:t>i.e.</w:t>
      </w:r>
      <w:r>
        <w:rPr>
          <w:rFonts w:ascii="Arial" w:cs="Arial" w:eastAsia="Arial" w:hAnsi="Arial"/>
          <w:sz w:val="17"/>
          <w:szCs w:val="17"/>
          <w:color w:val="auto"/>
        </w:rPr>
        <w:t>, the number of physical qubits making up a single logical qubit) results in an exponential reduction in logical error. In other words, adding a small number of additional physical qubits per logical qubit will provide exponential improvements. Notably, codes for other modalities, such as Bacon-Shor codes for trapped ion qubits, lack such a threshold behavior and is one reason why we believe superconducting quantum computers to be superior to trapped ion modalities.</w:t>
      </w:r>
    </w:p>
    <w:p>
      <w:pPr>
        <w:spacing w:after="0" w:line="17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We aim to deliver the physical qubit count needed, with the requisite nearest-neighbor connectivity, to enable developers and customers to benefit from this exponential error reduction. In contrast to known approaches for other qubit modalities, our systems are expected to be able to run the same code family at multiple different levels of redundancy without requiring additional complexity such as code concatenation. This approach enables developers to scale the effective error rate and associated overheads up and down as dictated by their use-case requirements. For example, the smallest surface code logical qubit for superconducting processors is 17:1 physical qubits to logical qubits, in comparison to 16:1 for trapped ions. However, for complex applications, the ability to pack more physical qubits into the code (such as 100:1 or 1000:1) is critical because it allows developers to further reduce errors for algorithms based on many quantum gates where errors are more likely to accumulate. In comparison to trapped ions, we believe superconducting processors are better positioned to scale up to the large number of qubits required to run these valuable large codes while also having the fast gate speeds for them to be useful.</w:t>
      </w:r>
    </w:p>
    <w:p>
      <w:pPr>
        <w:spacing w:after="0" w:line="18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Our processor architecture, software tools, and cloud services platform are designed to enable users and partners to directly construct, test and deploy error correction and error mitigation protocols, and to tailor such codes to specific computational tasks through software. This capability is enabled by the re-programmability, co-processing integration, and system design we have established.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intellectual property portfolio plays a strategic role in advancing our innovation and leadership in quantum computing.</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patent portfolio seeks to protect our current developments and the intellectual property space for the company’s technology roadmap and anticipated areas of development. We rely upon a combination of protections afforded to owners of patents, copyrights, trade secrets, and trademarks, along with confidentiality and proprietary rights agreements with employees, consultants, contractors, vendors and business partners to establish and protect our intellectual property rights.</w:t>
      </w:r>
    </w:p>
    <w:p>
      <w:pPr>
        <w:spacing w:after="0" w:line="187" w:lineRule="exact"/>
        <w:rPr>
          <w:sz w:val="20"/>
          <w:szCs w:val="20"/>
          <w:color w:val="auto"/>
        </w:rPr>
      </w:pPr>
    </w:p>
    <w:p>
      <w:pPr>
        <w:jc w:val="both"/>
        <w:ind w:left="120" w:right="400"/>
        <w:spacing w:after="0" w:line="311" w:lineRule="auto"/>
        <w:rPr>
          <w:sz w:val="20"/>
          <w:szCs w:val="20"/>
          <w:color w:val="auto"/>
        </w:rPr>
      </w:pPr>
      <w:r>
        <w:rPr>
          <w:rFonts w:ascii="Arial" w:cs="Arial" w:eastAsia="Arial" w:hAnsi="Arial"/>
          <w:sz w:val="16"/>
          <w:szCs w:val="16"/>
          <w:color w:val="auto"/>
        </w:rPr>
        <w:t>As of the date hereof, we have 165 issued and pending patents that are designed to protect our full-stack technology across hardware, software, and services. These patents cover a broad range of key technology areas of the business including (i) quantum computing systems, software and access; (ii) quantum processor hardware; (iii) algorithms and applications for problem solving; and (iv) chip design &amp; fabrication.</w:t>
      </w:r>
    </w:p>
    <w:p>
      <w:pPr>
        <w:spacing w:after="0" w:line="14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pursue international registration of our domain names and trademarks. We are the registered holder of a variety of domain name registrations, including “rigetti.com.” Our trademark registrations include “Rigetti” in the US, U.K. and EU.</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&amp; Marketing</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During this period of eQA, our go-to-market strategy is focused on being a leader in the key market segments driving the early application of quantum computing. Our sales and marketing efforts are focused on technology development and distribution partnerships with the leading organizations in these markets. In the U.S. government, for example, the Department of Defense, the DOE and the Intelligence Community have each been making significant investments in quantum computing, and we have technology development partnerships with leading agencies and national laboratories. We are pursuing similar arrangements with customers in other important vertical market segments, like finance, where we are developing specific expertise in several application areas and are collaborating with Nasdaq and Standard Chartered Bank. We also have distribution relationships with customers like Amazon Web Services, Microsoft, ORNL and Strangeworks.</w:t>
      </w:r>
    </w:p>
    <w:p>
      <w:pPr>
        <w:spacing w:after="0" w:line="17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As we work to develop new generations of our hardware with the goal of continuing to scale and achieve nQA and then BQA, we anticipate increasing our investment in both sales and marketing to expand the number of enterprise companies directly licensing our QCS platform. However, with the reorganization and reduction in force announced in February 2023, we anticipate that the costs will decrease in the near term until we achieve narrow quantum advantage, at which point we expect costs to increase.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Customers &amp; Key Partners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that the realization of quantum computing’s promise requires strong relationships across an ecosystem of innovative and quantum-committed organizations and have been developing commercial relationships and collaborative partnerships with organizations that possess a keen understanding of specific industry problems and deep technical expertise in key scientific and engineering disciplines.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date, we have focused on developing a range of client relationships and research partnerships with:</w:t>
      </w:r>
    </w:p>
    <w:p>
      <w:pPr>
        <w:spacing w:after="0" w:line="131" w:lineRule="exact"/>
        <w:rPr>
          <w:sz w:val="20"/>
          <w:szCs w:val="20"/>
          <w:color w:val="auto"/>
        </w:rPr>
      </w:pPr>
    </w:p>
    <w:p>
      <w:pPr>
        <w:ind w:left="1080" w:right="20" w:hanging="424"/>
        <w:spacing w:after="0" w:line="286"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enterprise-sized organizations working on quantum-assisted breakthroughs in applications areas like drug discovery, network optimization, financial modeling, weather forecasting and fusion energy with organizations like Astex Pharmaceuticals, Deloitte, NASA, Nasdaq, Standard Chartered Bank, the U.S. DOE and certain military branches within the U.S. Department of Defense;</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materials science researchers and quantum algorithm developers at renowned laboratories like Fermilab, Lawrence Livermore National Laboratory, MIT Lincoln Laboratory, NASA Quantum Artificial Intelligence Laboratory and ORNL;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quantum-focused software and algorithm companies like 1Qbit, Phasecraft, Riverlane, Q-CTRL and Zapata;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Cloud service providers like Amazon Web Services, Microsoft Azure, and Strangeworks; and</w:t>
      </w:r>
    </w:p>
    <w:p>
      <w:pPr>
        <w:spacing w:after="0" w:line="130"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We also enter into multi-year technology development partnerships with organizations that possess specialized technical expertise and strong interests in advancing the development of quantum computing (as referenced in </w:t>
      </w:r>
      <w:r>
        <w:rPr>
          <w:rFonts w:ascii="Arial" w:cs="Arial" w:eastAsia="Arial" w:hAnsi="Arial"/>
          <w:sz w:val="18"/>
          <w:szCs w:val="18"/>
          <w:i w:val="1"/>
          <w:iCs w:val="1"/>
          <w:color w:val="auto"/>
        </w:rPr>
        <w:t>Business - Key Technology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Partnerships</w:t>
      </w:r>
      <w:r>
        <w:rPr>
          <w:rFonts w:ascii="Arial" w:cs="Arial" w:eastAsia="Arial" w:hAnsi="Arial"/>
          <w:sz w:val="18"/>
          <w:szCs w:val="18"/>
          <w:color w:val="auto"/>
        </w:rPr>
        <w:t>). These organizations include DARPA, SQMS, and Innovate UK.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quantum computing market is evolving and highly competitive. With the introduction of new innovations and the potential entry of new competitors into the market, we expect competition to increase in the future, which could harm our business, results of operations, or financial condition.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Our current and prospective competitors include companies engaged in the research, development, and operation of quantum computing capabilities. Major companies now developing both quantum hardware and software include IBM, Google, Microsoft, IonQ, Quantinuum, PsiQuantum, Xanadu and ColdQuanta. In addition, because of the importance of quantum computing, most large public cloud providers and traditional chip makers are researching and investing in quantum computing initiatives, in some cases seeking to build quantum computers. For example, Amazon and Intel are engaged in the research and development of quantum computers. A number of development-stage companies are also seeking to build quantum computers, quantum software and applications, and quantum cloud computing services.</w:t>
      </w:r>
    </w:p>
    <w:p>
      <w:pPr>
        <w:spacing w:after="0" w:line="178"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We believe our primary direct competition will come from other companies building or seeking to build universal, gate-model quantum computing systems that can meet the requirements for solving commercial problems. We believe competition will be based on a number of factors, including: different approaches to building quantum computers; quantum computer system performance, including scale, speed, and fidelity; system accessibility and ease of use; supported software and applications; compatibility with existing classical workflows; rate of technological innovation; ability to create value through long-term partnerships; end-user support and customer experience; solutions and insight delivery; price; brand recognition and trust; financial resources; and access to key personnel.</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believe that we are favorably positioned to compete on the basis of these factors. However, we face various risks relating to competition as described in “</w:t>
      </w:r>
      <w:r>
        <w:rPr>
          <w:rFonts w:ascii="Arial" w:cs="Arial" w:eastAsia="Arial" w:hAnsi="Arial"/>
          <w:sz w:val="18"/>
          <w:szCs w:val="18"/>
          <w:i w:val="1"/>
          <w:iCs w:val="1"/>
          <w:color w:val="auto"/>
        </w:rPr>
        <w:t>Risk Factors-Risks Related to Rigetti’s Business and Industry-The quantum computing industry is competitive on a global scale and Rigetti may not</w:t>
      </w:r>
      <w:r>
        <w:rPr>
          <w:rFonts w:ascii="Arial" w:cs="Arial" w:eastAsia="Arial" w:hAnsi="Arial"/>
          <w:sz w:val="18"/>
          <w:szCs w:val="18"/>
          <w:color w:val="auto"/>
        </w:rPr>
        <w:t xml:space="preserve"> </w:t>
      </w:r>
      <w:r>
        <w:rPr>
          <w:rFonts w:ascii="Arial" w:cs="Arial" w:eastAsia="Arial" w:hAnsi="Arial"/>
          <w:sz w:val="18"/>
          <w:szCs w:val="18"/>
          <w:i w:val="1"/>
          <w:iCs w:val="1"/>
          <w:color w:val="auto"/>
        </w:rPr>
        <w:t>be successful in competing in this industry or establishing and maintaining confidence in our long-term business prospects among current and future partners and customers</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U.S. government contracts, grants, and agreements are subject to regulations and procurement laws. The majority of our current programs are subject to Title 2 of the Code of Federal Regulations, covering Grants and Agreements. We also perform programs authorized under Other Transaction Authority and the Federal Acquisition Regulation. Several of our agreements are also subject to agency level acquisition regulation supplements, including the Defense Federal Acquisition Regulation Supplement and the Department of Energy Acquisition Regulation. These regulations mandate uniform policies and procedures for the administration of government funded programs. This includes requiring compliance with eligibility and responsibility requirements, contractor qualifications, financial and reporting requirements, as well as subjecting the company audits and to other government reviews covering issues such as cost, performance, internal controls and accounting practices.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&amp; Core Values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deep and talented workforce is the key to our success. As of March 1, 2023, we employ 144 people globally, the majority of whom are employed in areas of quantum physics, chip and hardware engineering and software development. Most of our employees are based in the United States with the remainder based in the United Kingdom, Australia and Canada. In addition, we also engage a small number of consultants and contractors to enhance our research and development and selling general and administrative areas of our business.</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To date, we have not experienced any work stoppages and maintain good working relationships with our employees. None of our employees are subject to a collective bargaining agreement or are represented by labor unions at this time.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Rigetti Computing, Inc., formerly known as Supernova Partners Acquisition Company II, Ltd. (“Supernova”), was incorporated on December 22, 2020 as a Cayman Islands exempted company and a special purpose acquisition company.</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October 6, 2021, Supernova entered into an Agreement and Plan of Merger (the “Merger Agreement”) with Supernova Merger Sub, Inc., a Delaware corporation and a direct wholly owned subsidiary of Supernova (“First Merger Sub”), Supernova Romeo Merger Sub, LLC, a Delaware limited liability company and a direct wholly owned subsidiary of Supernova (“Second Merger Sub”) and Rigetti Holdings, Inc., a Delaware corporation (“Legacy Rigetti”). Pursuant to the Merger Agreement, on March 1, 2022, Supernova effected a domestication after which it continues as a Delaware corporation, changing its name to “Rigetti Computing, Inc.”</w:t>
      </w:r>
    </w:p>
    <w:p>
      <w:pPr>
        <w:spacing w:after="0" w:line="188"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On March 2, 2022, pursuant to the Merger Agreement, First Merger Sub merged with and into Legacy Rigetti, the separate corporate existence of First Merger Sub ceasing and Legacy Rigetti being the surviving corporation (the “Surviving Corporation” and, such merger, the “First Merger”) and</w:t>
      </w:r>
    </w:p>
    <w:p>
      <w:pPr>
        <w:ind w:left="120" w:right="260" w:hanging="4"/>
        <w:spacing w:after="0" w:line="255" w:lineRule="auto"/>
        <w:tabs>
          <w:tab w:leader="none" w:pos="3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immediately following the First Merger, the Surviving Corporation merged with and into the Second Merger Sub, with the separate corporate existence of the Surviving Corporation ceasing and the Second Merger Sub being the surviving entity and changing its name to “Rigetti Intermediate LLC”.</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principal executive offices are located at 775 Heinz Avenue, Berkeley, CA 94710 and our telephone number is (510) 210-5550.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corporate website address is www.rigetti.com. We make available on our website, free of charge, our Annual Reports on Form 10-K, our Quarterly Reports on Form 10-Q and our Current Reports on Form 8-K and any amendments to those reports filed or furnished pursuant to Section 13(a) or 15(d) of the Exchange Act, as soon as reasonably practicable after we electronically file such material with, or furnish it to, the Securities and Exchange Commission (the “SEC”). The SEC maintains a website that contains reports, proxy and information statements and other information regarding our filings at www.sec.gov. We use our corporate website as a channel of distribution of material company information. For example, financial and other material information regarding our company is routinely posted on and accessible on our website. Accordingly, investors should monitor this channel, in addition to following our press releases, SEC filings and public conference calls and webcasts. The information found on our website is not incorporated by reference into this Annual Report on Form 10-K or any other report we file with or furnish to the SEC.</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86"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of the other information contained in this Annual Report on Form 10-K before deciding to invest in our securities. If any of the events or developments described below were to occur, our business, prospects, operating results and financial condition could suffer materially, the trading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Condition and Status as an Early-Stage Company</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b w:val="1"/>
          <w:bCs w:val="1"/>
          <w:i w:val="1"/>
          <w:iCs w:val="1"/>
          <w:color w:val="auto"/>
        </w:rPr>
        <w:t>Based on our estimates and current business plan, we expect that we will need to raise additional capital by late 2024 or early 2025 in order to continue our research and development efforts and achieve our business objectives. We will require a significant amount of cash for expenditures as we invest in ongoing research and development and business operations and may need additional capital sooner than planned to pursue our business objectives and respond to business opportunities, challenges or unforeseen circumstances, and we cannot be sure that additional financing will be available. If we are unable to raise additional funding when needed, we may be required to delay, limit or substantially reduce our quantum computing development efforts.</w:t>
      </w:r>
    </w:p>
    <w:p>
      <w:pPr>
        <w:spacing w:after="0" w:line="70"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Our business and future plans for expansion are capital-intensive, and the specific timing of cash inflows and outflows may fluctuate substantially from period to period. We will require a significant amount of cash for expenditures as we invest in ongoing research and development and business operations. For example, in addition to our continuing investment in our technology roadmap we may continue to invest in the expansion of and upgrades to our Fab-1 facility. In addition to increased electrical utility fees going forward, we may be required to pay additional amounts in taxes, penalties or otherwise related to the electrical utility fees that were unpaid and unrecognized in prior periods as discussed in “Management’s Discussion and Analysis of Financial Condition and Results of Operations”. We have incurred and expect to incur costs related to, among other things, the reduction in workforce that we announced in February 2023 and our recent management transitions, in addition to expenses relating to the remediation of our material weaknesses in internal controls over financial reporting. The actual amounts we may be required to spend on these and other matters may be greater and more significant than our expectations. We believe that our existing cash, cash equivalents and marketable securities should be sufficient to meet our anticipated operating cash needs for at least the next 12 months based on our current business plan, and expectations and assumptions considering current macroeconomic conditions. Based on our estimates and current business plan, we expect that we will need to obtain additional capital by late 2024 or early 2025 in order to continue our research and development efforts and achieve our business objectives. Our operating plan may change because of factors currently unknown,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Such financings may result in dilution to stockholders, issuance of securities with priority as to liquidation and dividend and other rights more favorable than common stock, imposition of debt covenants and repayment obligations or other restrictions that may adversely affect our business. Any funds we raise may not be sufficient to enable us to continue to implement our long-term business strategy. Further, our ability to raise additional capital may be adversely impacted by worsening global economic conditions and the recent disruptions to and volatility in the credit and financial markets in the United States and worldwide resulting from, the continuing impacts of the COVID-19 pandemic, recent and potential future disruptions in access to bank deposits or lending commitments due to bank failures and military conflict with Russia and Ukraine and the related sanctions imposed against Russia. There can be no assurance that further deterioration in credit and financial markets and confidence in economic conditions will not occur. A severe or prolonged economic downturn could result in a variety of risks to our business, including weakened demand for</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our products and services and our ability to raise additional capital when needed on acceptable terms, if at all. If the equity and credit markets continue to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our business plans. We cannot anticipate all of the ways in which the current economic climate and financial market conditions could adversely impact our business. There can be no assurance that financing will be available to us on favorable terms, or at all. The inability to obtain financing when needed may make it more difficult for us to operate our business or implement our growth plans and we may be required to delay, limit or substantially reduce our quantum computing development efforts. In addition,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 at terms that are acceptable to us or at all.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are in our early stages and have a limited operating history, which makes it difficult to forecast our future results of operations.</w:t>
      </w:r>
    </w:p>
    <w:p>
      <w:pPr>
        <w:spacing w:after="0" w:line="12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Our business was founded in 2013 and has operated quantum computers over the cloud since 2017. As a result of our limited operating history, our ability to accurately forecast the future results of operations is limited and subject to a number of uncertainties, including our ability to plan for and model future growth. Our ability to generate revenues will largely be dependent on our ability to develop and produce quantum computers with increasing numbers of quantum bits (“qubits”) and with increasing levels of performance. As of the date hereof, the highest number of qubits we have externally deployed is a quantum computer with 80 qubits with 94.5% median fidelities As a result, our scalable business model has not been formed and our technology roadmap may not be realized as quickly as hoped, or even at all. We have in the past failed to meet publicly announced milestones and may fail to meet projected technological milestones in the future. In addition, we have in the past changed our technology roadmap, including anticipated milestones and timing thereof. For example, in 2018, we announced that we planned to build and deploy a 128-qubit system over the subsequent twelve months, but have not to date built a 128-qubit system. In addition, in 2022 we updated our technology roadmap, including anticipated timing for the 84Q Ankaa system, the 336Q Lyra system, 1,000+ qubit system, 4,000+ qubit system and incremental milestones relating to applications, access and production, Quantum Cloud Services (“Quantum Cloud Services” or “QCS”), quantum processing units and chip fabrication. We revised our technology roadmap in February 2023 to reflect our updated business strategy, including our plan to first concentrate on the goal of delivering the Ankaa-1 84-qubit system, then prioritize increasing the performance of the anticipated Ankaa-1 84-qubit system by focusing efforts on improving performance with an anticipated Ankaa-2 84-qubit system, and thereafter scale to develop the anticipated Lyra 336-qubit system, and after our internal deployment of Ankaa-1 in March 2023, we further refined this plan to reflect that we plan to continue to work to improve Ankaa-1 performance before the potential external release of the system to select customers. We may further update the technology roadmap in the future, including anticipated milestones and anticipated timeline for milestones. Furthermore, we may be unable to achieve the milestones in our technology roadmap on their announced anticipated timeline or at all. The development of our scalable business model will likely require the incurrence of a substantially higher level of costs than incurred to date, while our revenues will not substantially increase unless and until more powerful, scalable, higher performing computers are produced, which requires a number of technological advancements which may not occur on the currently anticipated timetable or at all. As a result, our historical results should not be considered indicative of our future performance. Further, in future periods, our growth could slow or decline for a number of reasons, including but not limited to slowing demand for our Quantum Cloud Services (“Quantum Cloud Services” or “QCS”), increased competition, changes to technology, inability to scale up or improve performance of our technology, a decrease in the growth of the market, or our failure, for any reason, to continue to take advantage of growth opportunities.</w:t>
      </w: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86"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research and development breakthroughs in the coming years. There is no certainty these research and development milestones will be achieved as quickly as hoped, or even at all.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a history of operating losses and expect to incur significant expenses and continuing losses for the foreseeable future.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incurred net losses of $71.5 million and $41.7 million for the year ended December 31, 2022 and the twelve months ended December 31, 2021,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respectively, and $38.2 million for the eleven months ended December 31, 2021. As of December 31, 2022, we had an accumulated deficit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$278.7 million. We believe that we will continue to incur operating and net losses each quarter until at least the time we begin generating significant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revenue from our narrow or broad quantum advantage quantum computers, which may never occur. Even with significant production, our services may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never become profitable.</w:t>
      </w:r>
    </w:p>
    <w:p>
      <w:pPr>
        <w:spacing w:after="0" w:line="21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expect the rate at which we will incur losses to be significantly higher in future periods as we, among other things, continue to incur significant expenses in connection with the design, development and manufacturing of our quantum computers; and as we expand our research and development activities; invest in manufacturing capabilities; build up inventories of components for our quantum computers; increase our sales and marketing activities; develop our infrastructure; and increase our general and administrative functions to support our growing operations and our being a public company. We may find that these efforts are more expensive than we currently anticipate or that these efforts may not result in revenues, which would further increase our losses. If we are unable to achieve and/or sustain profitability, or if we are unable to achieve the growth that we expect from these investments, it could have a material effect on our business, financial condition or results of operations. Our business model is unproven and may never allow us to cover our costs.</w:t>
      </w:r>
    </w:p>
    <w:p>
      <w:pPr>
        <w:spacing w:after="0" w:line="300" w:lineRule="exact"/>
        <w:rPr>
          <w:sz w:val="20"/>
          <w:szCs w:val="20"/>
          <w:color w:val="auto"/>
        </w:rPr>
      </w:pPr>
    </w:p>
    <w:p>
      <w:pPr>
        <w:ind w:left="120" w:right="740"/>
        <w:spacing w:after="0" w:line="342" w:lineRule="auto"/>
        <w:rPr>
          <w:sz w:val="20"/>
          <w:szCs w:val="20"/>
          <w:color w:val="auto"/>
        </w:rPr>
      </w:pPr>
      <w:r>
        <w:rPr>
          <w:rFonts w:ascii="Arial" w:cs="Arial" w:eastAsia="Arial" w:hAnsi="Arial"/>
          <w:sz w:val="16"/>
          <w:szCs w:val="16"/>
          <w:b w:val="1"/>
          <w:bCs w:val="1"/>
          <w:i w:val="1"/>
          <w:iCs w:val="1"/>
          <w:color w:val="auto"/>
        </w:rPr>
        <w:t>Our operating results may be adversely affected by unfavorable economic and market conditions. We have recorded a charge for goodwill impairment and may in the future be required to record significant charges for impairment of other assets or investments.</w:t>
      </w:r>
    </w:p>
    <w:p>
      <w:pPr>
        <w:spacing w:after="0" w:line="1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An adverse change in market conditions, including a sustained decline in our stock price, negative changes to the Company’s position in the market, or lack of growth in demand for our products and services could be considered to be an impairment triggering event. Such changes in the future could impact valuation assumptions relating to the recoverability of assets and may result in impairment charges to our long-lived assets, other assets or investments, which would negatively impact our operating results and harm our business.</w:t>
      </w:r>
    </w:p>
    <w:p>
      <w:pPr>
        <w:spacing w:after="0" w:line="18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There are inherent uncertainties in management’s estimates, judgments and assumptions used in assessing recoverability of goodwill, intangible, and other long-lived assets. Any material changes in key assumptions, including failure to meet business plans, a deterioration in the U.S. and global financial markets, an increase in interest rates or an increase in the cost of equity financing by market participants within the industry or other unanticipated events and circumstances, may decrease our projected cash flows or increase discount rates and could potentially result in an impairment charge. From time to time, we may be required to record a significant charge to earnings in our consolidated financial statements during the period in which any impairment of our goodwill or intangible and other long-lived assets is determined, which might have a materially adverse impact on our business operations and our financial position or results of operations.</w:t>
      </w:r>
    </w:p>
    <w:p>
      <w:pPr>
        <w:spacing w:after="0" w:line="17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example, in assessing our goodwill in connection with the preparation of the financial statements for the fourth quarter and fiscal year ended December 31, 2022, we concluded indicators of impairment were present due to the current macroeconomic conditions, including continued declines in our stock price. Based upon the results of the impairment test, we recorded a goodwill impairment charge of $5.4 million within the consolidated statement of operations.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320" w:top="486" w:right="5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customer and market demand, which could result in lower profitability or cause us to fail to execute on our business strategies.</w:t>
      </w:r>
    </w:p>
    <w:p>
      <w:pPr>
        <w:spacing w:after="0" w:line="6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order to grow our business, we will need to continually evolve and scale our business and operations to meet customer and market demand. Quantum computing technology has never been sold at large-scale commercial levels. Evolving and scaling our business and operations places increased demands on our management as well as our financial and operational resources to:</w:t>
      </w:r>
    </w:p>
    <w:p>
      <w:pPr>
        <w:spacing w:after="0" w:line="8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new customers and grow our customer base;</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and increase the rates at which existing customers use our platform, sell additional products and services to our existing customers, and reduce customer churn;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our platform and product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manage organizational 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accelerate and/or refocus research and development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manufacturing and supply chain capacity;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sales and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broaden customer-support and services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or increase operational efficiencies;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appropriate operational and financial systems;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maintain effective financial disclosure controls and procedures and remediate material weaknesses thereof.</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Commercial traction of quantum computing technology may never occur. As noted above, there are significant technological challenges associated with developing, producing, marketing and selling services in the advanced technology industry, including our services, and we may not be able to resolve all of the difficulties that may arise in a timely or cost-effective manner, or at all. We may not be able to cost effectively manage production at a scale or quality consistent with customer demand in a timely or economical manner.</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ability to scale is dependent also upon components we must source from multiple industries including: from the electronics industry with low-noise microwave components, CPUs, GPUs, FPGAs; cryogenic industry with dilution refrigerators and associated helium gas products; and from the semiconductor industry with silicon wafers and other specialty materials, tooling and measurement equipment. Shortages or supply interruptions in any of these components will adversely impact our ability to deliver revenues.</w:t>
      </w:r>
    </w:p>
    <w:p>
      <w:pPr>
        <w:spacing w:after="0" w:line="18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If large-scale development of our quantum computers commences, our computers may contain defects in design and manufacture that may cause them to not perform as expected or that may require repair and design changes. Our quantum computers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computers. There can be no assurance that we will be able to detect and fix any defects in our quantum computers in a timely manner that does not disrupt our services to our customers. 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w:t>
      </w:r>
    </w:p>
    <w:p>
      <w:pPr>
        <w:spacing w:after="0" w:line="16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86"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Even if the market in which we compete achieves its anticipated growth levels, our business could fail to grow at similar rates, if at all.</w:t>
      </w:r>
    </w:p>
    <w:p>
      <w:pPr>
        <w:spacing w:after="0" w:line="12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success will depend upon our ability to expand, scale our operations, and increase our sales and support capability. Even if the market in which we compete meets the size estimates and growth forecasted, our business could fail to grow at similar rates, if at all.</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Our growth is dependent upon our ability to successfully expand our solutions and services, retain customers, bring in new customers and retain critical talent. Unforeseen issues associated with scaling up and constructing quantum computing technology at commercially viable levels could negatively impact our business, financial condition and results of operations.</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Our growth is dependent upon our ability to successfully market and sell our quantum computing services and solutions. We do not have experience with the large-scale production and sale of quantum computing technology. Our growth and long-term success will depend upon the development of our sales and retention capabilities.</w:t>
      </w:r>
    </w:p>
    <w:p>
      <w:pPr>
        <w:spacing w:after="0" w:line="18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Moreover, because of our unique technology, our customers will require particular support and service functions, some of which are not currently available, and may never be available. If we experience delays in adding such support capacity or servicing our customers efficiently, or experiences unforeseen issues with the reliability of our technology, we could overburden our servicing and support capabilities. Similarly, increasing the number of our products and services would require us to rapidly increase the availability of these services. Failure to adequately support and service our customers may inhibit our growth and ability to expand.</w:t>
      </w:r>
    </w:p>
    <w:p>
      <w:pPr>
        <w:spacing w:after="0" w:line="18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There is no assurance that we will be able to ramp our business to meet our sales, manufacturing, installation, servicing and quantum computing targets globally, that expected growth levels will prove accurate or that the pace of growth or coverage of our customer infrastructure network will meet customer expectations. For example, our competitors may achieve certain narrow and/or broad quantum milestones faster than us, which may negatively impact our business and prospects. Failure to grow at rates similar to that of the quantum computing industry may adversely affect our operating results and ability to effectively compete within the industry.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manage growth effectively, including with respect to our employee base, and managing our operations successfully.</w:t>
      </w:r>
    </w:p>
    <w:p>
      <w:pPr>
        <w:spacing w:after="0" w:line="12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For example, the expansion of our Fab 1 facility is ongoing and we may not complete the expansion on terms originally anticipated, in a timely manner or at all, which could have a material impact on our business, financial condition or results of operations. Expansion will require significant cash investments and management resources and there is no guarantee that they will generate additional sales of our products or services, or that we will be able to avoid cost overruns or be able to hire additional personnel to support us. In addition, we will also need to ensure our compliance with regulatory requirements in various jurisdictions applicable to the sale, installation and servicing of our products. To manage the growth of our operations and personnel, we must establish appropriate and scalable operational and financial systems, procedures and controls and establish and maintain a qualified finance, administrative and operations staff. The reduction in workforce that we announced in February 2023 may impair our ability to manage growth and maintain operations effectively, due to factors such as loss of institutional knowledge and expertise, employee attrition beyond our intended reduction in force, a reduction in morale among our remaining employees, greater-than-anticipated costs incurred in connection with implementing the restructuring, and the risk that we may not achieve the benefits from the restructuring to the extent or as quickly as we anticipate, all of which may have a material adverse effect on our business, results of operations or financial condition. We may be unable to acquire the necessary capabilities and personnel required to manage growth or to identify, manage and exploit potential strategic relationships and market opportunities.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86"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recent updates to our business plan and workforce reduction may not have the anticipated benefits and we may incur additional costs or other difficulties.</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February 2023, we announced an updated business plan and implemented a workforce reduction. The objective of these initiatives is to focus our organization and its resources on nearer-term strategic priorities. We believe these changes were needed to streamline our organization and reallocate our resources to better align with our current strategic goals.</w:t>
      </w:r>
    </w:p>
    <w:p>
      <w:pPr>
        <w:spacing w:after="0" w:line="184"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However, the changes to our business strategy and the reduction in workforce may yield unintended consequences and costs, such as the loss of institutional knowledge and expertise, attrition beyond our intended reduction-in-force, a reduction in morale among our remaining employees, and the risk that we may not achieve the anticipated benefits, all of which may have an adverse effect on our development activities, ability to progress our technology roadmap, and results of operations or financial condition. We may also incur other charges, costs, future cash expenditures or impairments not currently contemplated due to events that may occur as a result of, or in connection with, the revised business plan and reduction in workforce. In addition, we may be unsuccessful in distributing the duties and obligations of departed employees among our remaining employees. In addition, our management may need to divert a disproportionate amount of its attention away from our day-to-day strategic and operational activities and devote a substantial amount of time to managing these organizational changes.</w:t>
      </w:r>
    </w:p>
    <w:p>
      <w:pPr>
        <w:spacing w:after="0" w:line="178"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may also discover that the reductions in workforce and cost cutting measures will make it difficult for us to pursue new opportunities and initiatives and require us to hire qualified replacement personnel, which may require us to incur additional and unanticipated costs and expenses. Moreover, there is no assurance we will be successful in our pursuit of any of our new goals. Our failure to successfully accomplish any of the above activities and goals may have a material adverse impact on our business, financial condition, and results of operations.</w:t>
      </w:r>
    </w:p>
    <w:p>
      <w:pPr>
        <w:spacing w:after="0" w:line="27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We have a credit facility secured by substantially all of our assets under which we have borrowed and may in the future borrow additional amounts; any indebtedness thereunder could adversely affect our financial position and our ability to raise additional capital and prevent us from fulfilling our obligations.</w:t>
      </w:r>
    </w:p>
    <w:p>
      <w:pPr>
        <w:spacing w:after="0" w:line="76"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On March 10, 2021, we entered into a Loan and Security Agreement (as amended from time to time, the “Loan Agreement”) with Trinity Capital Inc. (“Trinity”). The credit facility had an available borrowing capacity of $32.0 million. As of December 31, 2022, we had total outstanding indebtedness of approximately $30.7 million consisting of outstanding borrowings under the Loan Agreement. Any future additional borrowings under this agreement are at the sole discretion of the lender. This and future indebtedness incurred under the Loan Agreement may:</w:t>
      </w:r>
    </w:p>
    <w:p>
      <w:pPr>
        <w:spacing w:after="0" w:line="77"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limit our ability to borrow additional funds for working capital, capital expenditures, acquisitions, or other general business purposes;</w:t>
      </w:r>
    </w:p>
    <w:p>
      <w:pPr>
        <w:spacing w:after="0" w:line="142" w:lineRule="exact"/>
        <w:rPr>
          <w:rFonts w:ascii="Arial" w:cs="Arial" w:eastAsia="Arial" w:hAnsi="Arial"/>
          <w:sz w:val="17"/>
          <w:szCs w:val="17"/>
          <w:color w:val="auto"/>
        </w:rPr>
      </w:pPr>
    </w:p>
    <w:p>
      <w:pPr>
        <w:ind w:left="1080" w:right="6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 us to use a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29"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following the consummation of our initial public offering borrowings under the Loan Agreement are subject to interest at the greater of (i) a floating per annum rate equal to 7.5% above the prime rate, or (ii) a fixed per annum rate equal to 11.0%, also paid on a monthly basis;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competitive and industry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credit facility is secured by substantially all of our assets. In addition, the Loan Agreement contains, and the agreements governing our future indebtedness may contain, restrictive covenants that may limit our ability to engage in activities that may be in our long-term best interest. These restrictive covenants include, among others, financial reporting requirements and limitations on indebtedness, liens, mergers, consolidations, liquidations and dissolutions, sales of assets, dividends and other restricted payments, investments (including acquisitions) and transactions with affiliates. Our failure to comply with those covenants could result in an event of default which, if not cured or waived, could result in the acceleration of substantially all of our debt and potentially the foreclosure on our assets in the event we are unable to repay all amounts owed.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w:t>
      </w:r>
    </w:p>
    <w:p>
      <w:pPr>
        <w:spacing w:after="0" w:line="117"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We have incurred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As of December 31, 2022 we had U.S. federal net operating loss carryforwards of approximately $234.7 million.</w:t>
      </w:r>
    </w:p>
    <w:p>
      <w:pPr>
        <w:spacing w:after="0" w:line="16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Under current law, U.S. federal net operating loss carryforwards generated in taxable periods beginning after December 31, 2017, may be carried forward indefinitely, but the deductibility of such net operating loss carryforwards is limited to 80% of taxable income. It is uncertain if and to what extent various states will conform to current federal law.</w:t>
      </w:r>
    </w:p>
    <w:p>
      <w:pPr>
        <w:spacing w:after="0" w:line="18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In addition, under Sections 382 and 383 of the Internal Revenue Code of 1986, as amended (the “Code”), our federal net operating loss carryforwards and other tax attributes may become subject to an annual limitation in the event of certain cumulative changes in our ownership.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net operating loss carryforwards and other tax attributes to offset future taxable income or tax liabilities may be limited as a result of ownership changes, including changes in connection with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net operating loss carryforwards and other tax attributes.</w:t>
      </w:r>
    </w:p>
    <w:p>
      <w:pPr>
        <w:spacing w:after="0" w:line="165"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If we earn taxable income, such limitations could result in increased future income tax liability and our future cash flows could be adversely affected. We have recorded a valuation allowance related to our net operating loss carryforwards and other deferred tax assets due to the uncertainty of the ultimate realization of the future benefits of those assets.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We have not produced quantum computers with high qubit counts or at volume and we face significant barriers in our attempts to produce quantum computers, including the need to invent and develop new technology. If we cannot successfully overcome those barriers, our business will be negatively impacted and could fail.</w:t>
      </w:r>
    </w:p>
    <w:p>
      <w:pPr>
        <w:spacing w:after="0" w:line="76"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Producing quantum computers is a difficult undertaking. There are significant engineering challenges that we must overcome to build our quantum computers. We are still in the development stage and face significant challenges in completing development of our quantum computers and in producing quantum computers in sufficient volumes. Some of the development challenges that could prevent the introduction of our quantum computers include, but are not limited to, failure to find scalable ways to manipulate qubits, failure to reduce error rates, failure to transition quantum systems to leverage low-cost components, and failure to realize multi-chip quantum computer technology.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86"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Even if we complete development and achieve volume production of our quantum computers, if the cost, accuracy, performance characteristics or other specifications of the quantum computer fall short of our expectations, our business, financial condition and results of operations would be adversely affected.</w:t>
      </w:r>
    </w:p>
    <w:p>
      <w:pPr>
        <w:spacing w:after="0" w:line="29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b w:val="1"/>
          <w:bCs w:val="1"/>
          <w:i w:val="1"/>
          <w:iCs w:val="1"/>
          <w:color w:val="auto"/>
        </w:rPr>
        <w:t>Any future generations of hardware and software developed to demonstrate narrow quantum advantage and broad quantum advantage, and the anticipated release of an 84 qubit system and a subsequent 84 qubit system with reduced error rates, and the potential later release of a 336 qubit system, each of which is an important anticipated milestone for our technology roadmap and commercialization, may not occur on our anticipated timeline or at all.</w:t>
      </w:r>
    </w:p>
    <w:p>
      <w:pPr>
        <w:spacing w:after="0" w:line="7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successful execution of our technology roadmap is based on the development of multiple generations of quantum computing systems, including hardware that demonstrates narrow quantum advantage and broad quantum advantage, and the anticipated release of an 84 qubit system and a subsequent 84 qubit system with error rates reduced to 1% or lower, in addition to the potential release of a 336 qubit system. The future success of our technology roadmap will depend upon our ability to continue to increase the number of qubits and decrease error rates in each subsequent generation of our quantum computer. If we are unable to achieve the increase in the number of qubits or decrease in error rates on the timeframe that we anticipate, the availability of future generations of quantum computer systems may be materially delayed, or may never occur. In the past we have failed to meet publicly announced milestones and may fail to meet projected milestones in the future. If our technology roadmap is delayed or never achieved, this would have a material impact on our business, financial condition or results of operations. See “</w:t>
      </w:r>
      <w:r>
        <w:rPr>
          <w:rFonts w:ascii="Arial" w:cs="Arial" w:eastAsia="Arial" w:hAnsi="Arial"/>
          <w:sz w:val="17"/>
          <w:szCs w:val="17"/>
          <w:i w:val="1"/>
          <w:iCs w:val="1"/>
          <w:color w:val="auto"/>
        </w:rPr>
        <w:t>We are in our early stages and have a limited 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history, which makes it difficult to forecast our future results of operations</w:t>
      </w:r>
      <w:r>
        <w:rPr>
          <w:rFonts w:ascii="Arial" w:cs="Arial" w:eastAsia="Arial" w:hAnsi="Arial"/>
          <w:sz w:val="17"/>
          <w:szCs w:val="17"/>
          <w:color w:val="auto"/>
        </w:rPr>
        <w:t>.”</w:t>
      </w:r>
    </w:p>
    <w:p>
      <w:pPr>
        <w:spacing w:after="0" w:line="28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If our computers fail to achieve quantum advantage, our business, financial condition and future prospects may be harmed. Moreover, the standards by which we measure our progress may be based on assumptions and expectations that are not accurate or that may change as quantum computing evolves.</w:t>
      </w:r>
    </w:p>
    <w:p>
      <w:pPr>
        <w:spacing w:after="0" w:line="76"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Quantum advantage refers to the moment when a quantum computer can compute faster than traditional computers, while quantum supremacy is achieved once quantum computers are powerful enough to complete calculations that traditional supercomputers cannot perform at all. Narrow quantum advantage is when a quantum computer is able to solve practical problems in production workloads with improved accuracy, speed or cost. Broad quantum advantage is when quantum advantage is seen in many applications and developers prefer quantum computers to a traditional computer. No current quantum computers, including our quantum hardware, have reached broad quantum advantage, and may never reach such advantage. Achieving narrow quantum advantage and broad quantum advantage will be critical to the success of any quantum computing company, including ours. However, achieving quantum advantage would not necessarily lead to commercial viability of the technology that accomplished such advantage, nor would it mean that such system could outperform classical computers in tasks other than the one used to determine a quantum advantage. In addition, the definitions and expectations with respect to what constitutes quantum advantage, including the anticipated stages of quantum technology maturation, may continue to evolve and may also diverge from others in the industry. Quantum computing technology, including narrow quantum advantage and broad quantum advantage, may take years or decades to be realized, if ever. In addition, the standards by which we measure our progress may be based on assumptions and expectations that are not accurate or that may change as quantum computing evolves. For example, CLOPs as a speed test was originally developed by IBM in October 2021. To our knowledge, CLOPS as a speed test has not been investigated or verified by any independent third party. In addition, while we have applied CLOPs in testing the speed of our Aspen-M-2 and Aspen-11 systems, there is no guarantee that we applied the test in the same way as IBM and, as a result, any variability in the application of the test as between Rigetti, IBM or others in the industry that may apply CLOPS in the future could render CLOPS scores incomparable and actual relative performance may materially differ from reported results. Other than IBM, others in the industry have not announced CLOPS as a speed test. As a result, the speed of other competitors as measured by CLOPS is not currently known. In addition, the solution accuracy provided by quantum computers is another key factor, and a quantum computer that may be slower may be preferable to users if it provides a more accurate answer for certain applications. Moreover, the relative leads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reflected by speed tests such as CLOPS can change as new generations of quantum computers are introduced by industry participants and, consequently, any advantages cannot be considered permanent and can be expected to change from time to time. Current CLOPS tests may not be indicative of the results of future tests.</w:t>
      </w:r>
    </w:p>
    <w:p>
      <w:pPr>
        <w:spacing w:after="0" w:line="184"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If we cannot develop quantum computers that have quantum advantage, customers may not continue to purchase our products and services. If other companies’ quantum computers reach narrow quantum advantage or broad quantum advantage prior to the time we reach such capabilities, it could lead to a loss of customers. If any of these events occur, it could have a material adverse effect on our business, financial condition or results of operations.</w:t>
      </w:r>
    </w:p>
    <w:p>
      <w:pPr>
        <w:spacing w:after="0" w:line="25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We may expend our resources to pursue particular products, designs, sectors or investments and we may fail to capitalize on such products, designs, sectors or investments and/or forego other products, designs, sectors or investments that may have been more profitable or for which there may have been a greater likelihood of success.</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Because we have limited financial and operational resources, we must prioritize our research and development for use of quantum computing within certain products, designs, sectors or investments. Correctly prioritizing our research and development activities is particularly important for us due to the breadth of companies building or seeking to build universal, gate-model quantum computing systems that can meet the requirements for solving commercial problems. As a result, we may forego or delay pursuit of opportunities in other products, designs, sectors or investments that later prove to have greater commercial potential and ability to achieve quantum advantage. For example, although we currently believe that quantum machine learning for finance is poised to be an early domain of quantum advantage through rapid value capture from quick integration, the risks associated with developing a product that can compute algorithms that scale efficiently to real-world size applications and will be applicable to multiple use cases and competition in creating such a product, among others, could outweigh the benefits. In addition, in February 2023, we announced an updated business strategy and revisions to our technology roadmap reflecting a nearer term reprioritization and focus on lower qubit systems than our prior business strategy and technology roadmap. We may fail to capitalize on the products, designs, sectors, or investments we choose to pursue, and our resource allocation decisions may cause us to or forego viable or more profitable products, designs, sectors or investments, which would have an adverse effect on our business, prospects and financial results.</w:t>
      </w:r>
    </w:p>
    <w:p>
      <w:pPr>
        <w:spacing w:after="0" w:line="287"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auto"/>
        </w:rPr>
        <w:t>The quantum computing industry is competitive on a global scale and we may not be successful in competing in this industry or establishing and maintaining confidence in our long-term business prospects among current and future partners and customers.</w:t>
      </w:r>
    </w:p>
    <w:p>
      <w:pPr>
        <w:spacing w:after="0" w:line="38"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markets in which we operate are rapidly evolving and highly competitive. As the marketplace continues to mature and new technologies and competitors enter, we expect competition to intensify. Our current competitors include:</w:t>
      </w:r>
    </w:p>
    <w:p>
      <w:pPr>
        <w:spacing w:after="0" w:line="76" w:lineRule="exact"/>
        <w:rPr>
          <w:sz w:val="20"/>
          <w:szCs w:val="20"/>
          <w:color w:val="auto"/>
        </w:rPr>
      </w:pPr>
    </w:p>
    <w:p>
      <w:pPr>
        <w:ind w:left="1080" w:right="2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 well-established tech companies that generally compete across our products, including Quantinuum, Google, Microsoft, Amazon, Intel and IBM;</w:t>
      </w:r>
    </w:p>
    <w:p>
      <w:pPr>
        <w:spacing w:after="0" w:line="75"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large research organizations funded by sovereign nations such as China, Russia, Canada, Australia and the United Kingdom, and those in the European Union as of the date of this Annual Report on Form 10-K and we believe additional countries in the future;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less-established public and private companies with competing technology, including companies located outside the United States;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or emerging entrants seeking to develop competing technologies.</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compete based on various factors, including technology, performance, multi-cloud availability, brand recognition and reputation, customer support and differentiated capabilities, including ease of administration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use, scalability and reliability, data governance and security. Many of our competitors have substantially greater brand recognition, customer relationships, and financial, technical and other resources, including an experienced sales force and sophisticated supply chain management. They may be able to respond more effectively than us to new or changing opportunities, technologies, standards, customer requirements and buying practices. In addition, many countries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might be able to compete with us by bundling their other products in a way that does not allow us to offer a competitive solution.</w:t>
      </w:r>
    </w:p>
    <w:p>
      <w:pPr>
        <w:spacing w:after="0" w:line="195"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Additionally, we must be able to achieve our objectives in a timely manner lest quantum computing lose ground to competitors, including competing technologies. For example, our competitors may achieve certain narrow and/or broad quantum milestones faster than us, which may negatively impact our business and prospects. Because there are a large number of market participants, including certain sovereign nations,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w:t>
      </w:r>
    </w:p>
    <w:p>
      <w:pPr>
        <w:spacing w:after="0" w:line="16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For all of these reasons, competition may negatively impact our ability to maintain and grow consumption of our platform or put downward pressure on our prices and gross margins, any of which could materially harm our reputation, business, results of operations, and financial condition.</w:t>
      </w:r>
    </w:p>
    <w:p>
      <w:pPr>
        <w:spacing w:after="0" w:line="23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for a significant percentage of our revenue and the loss or temporary loss of a major customer for any reason could harm our financial condition.</w:t>
      </w:r>
    </w:p>
    <w:p>
      <w:pPr>
        <w:spacing w:after="0" w:line="6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have historically generated most of our revenue from a limited number of customers. Our three largest customers, which differed by period, collectively accounted for 66% of our revenue for the fiscal year ended December 31, 2022, and 66% of our revenue for the eleven months ended December 31, 2021. As a consequence of the concentrated nature of our customer base, our quarterly revenue and results of operations may fluctuate from quarter to quarter and are difficult to estimate, and any delay, reduction or cancellation of orders or services rendered or any acceleration or delay in anticipated purchases or grants and awards by our larger customers could materially affect our revenue and results of operations in any quarterly period. For further information regarding our customer concentration, refer to Note 2 to the notes to our audited consolidated financial statements for the year ended December 31, 2022, included elsewhere in this Annual Report on Form 10-K.</w:t>
      </w:r>
    </w:p>
    <w:p>
      <w:pPr>
        <w:spacing w:after="0" w:line="17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may be unable to sustain or increase our revenue from our larger customers, grow revenues with new or other existing customers, or offset the discontinuation of concentrated purchases by our larger customers with purchases by new or existing customers. These larger customers could also reduce or discontinue their purchases of our products and services in the event they transition to internally developed products and services or determine to divide their purchases of our products and services between us and a second source. We expect that such concentrated purchases will continue to contribute materially to our revenue for the foreseeable future and that our results of operations may fluctuate materially as a result of such larger customers’ buying patterns or funding cycles. The loss or temporary loss of such customers, or a significant delay or reduction in their purchases, could materially harm our business, financial condition, results of operations and prospects.</w:t>
      </w:r>
    </w:p>
    <w:p>
      <w:pPr>
        <w:spacing w:after="0" w:line="285" w:lineRule="exact"/>
        <w:rPr>
          <w:sz w:val="20"/>
          <w:szCs w:val="20"/>
          <w:color w:val="auto"/>
        </w:rPr>
      </w:pPr>
    </w:p>
    <w:p>
      <w:pPr>
        <w:ind w:left="120" w:right="420"/>
        <w:spacing w:after="0" w:line="375" w:lineRule="auto"/>
        <w:rPr>
          <w:sz w:val="20"/>
          <w:szCs w:val="20"/>
          <w:color w:val="auto"/>
        </w:rPr>
      </w:pPr>
      <w:r>
        <w:rPr>
          <w:rFonts w:ascii="Arial" w:cs="Arial" w:eastAsia="Arial" w:hAnsi="Arial"/>
          <w:sz w:val="15"/>
          <w:szCs w:val="15"/>
          <w:b w:val="1"/>
          <w:bCs w:val="1"/>
          <w:i w:val="1"/>
          <w:iCs w:val="1"/>
          <w:color w:val="auto"/>
        </w:rPr>
        <w:t>A significant portion of our revenue currently depends on contracts with the public sector, and our failure to receive and maintain government contracts or changes in the contracting or fiscal policies of the public sector could have a material adverse effect on our business.</w:t>
      </w:r>
    </w:p>
    <w:p>
      <w:pPr>
        <w:spacing w:after="0" w:line="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derive a significant portion of our revenue from contracts with U.S. federal and foreign governments and government agencies, and we believe that the success and growth of our business will continue to depend on our successful procurement of government contracts. We have historically derived, and expect to continue to derive,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86"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 significant portion of our revenue from contracts with agencies of the U.S. federal and foreign governments, either directly by us or through other government contractors. In the year ended December 31, 2022 and the eleven months ended December 31, 2021, sales to government entities comprised 81.3% and 80.0% of our total revenue, respectively.</w:t>
      </w:r>
    </w:p>
    <w:p>
      <w:pPr>
        <w:spacing w:after="0" w:line="18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Contracts with government agencies are subject to a number of challenges and risks. The bidding process for government contracts can be highly competitive, expensive, and time-consuming, often requiring significant upfront time and expense without any assurance that these efforts will generate revenue. We also must comply with laws and regulations relating to the formation, administration, and performance of contracts, which provide public sector customers rights, many of which are not typically found in commercial contracts. In addition, our perceived relationship with the U.S. government could adversely affect our business prospects in certain non-U.S. geographies or with certain non-U.S. governments.</w:t>
      </w:r>
    </w:p>
    <w:p>
      <w:pPr>
        <w:spacing w:after="0" w:line="16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Accordingly, our business, financial condition, results of operations, and growth prospects may be adversely affected by certain events or activities, including, but not limited to:</w:t>
      </w:r>
    </w:p>
    <w:p>
      <w:pPr>
        <w:spacing w:after="0" w:line="76" w:lineRule="exact"/>
        <w:rPr>
          <w:sz w:val="20"/>
          <w:szCs w:val="20"/>
          <w:color w:val="auto"/>
        </w:rPr>
      </w:pPr>
    </w:p>
    <w:p>
      <w:pPr>
        <w:ind w:left="1080" w:right="5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 fiscal or procurement policies, or decreases in government funding available for procurement of goods and services generally, or for our federal government contracts specifically;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 programs or applicable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in the grant of personnel security clearances to our employees;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maintain facility clearances required to perform on classified contracts for U.S. federal government and foreign government agencies;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political environment, including before or after a change to the leadership within the government administration, and any resulting uncertainty or changes in policy or priorities and resultant funding;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government’s attitude towards the capabilities that we offer;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government’s attitude towards us as a company or our platforms;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Appeals, disputes, or litigation relating to government procurement, including but not limited to bid protests by unsuccessful bidders on potential or actual awards of contracts to us or our partners by the government;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Budgetary constraints, including automatic reductions as a result of “sequestration” or similar measures and constraints imposed by any lapses in appropriations for the federal government or certain of its departments and agencies;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Influence by, or competition from, third parties with respect to pending, new, or existing contracts with government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or data privacy issues;</w:t>
      </w:r>
    </w:p>
    <w:p>
      <w:pPr>
        <w:spacing w:after="0" w:line="130" w:lineRule="exact"/>
        <w:rPr>
          <w:rFonts w:ascii="Arial" w:cs="Arial" w:eastAsia="Arial" w:hAnsi="Arial"/>
          <w:sz w:val="18"/>
          <w:szCs w:val="18"/>
          <w:color w:val="auto"/>
        </w:rPr>
      </w:pPr>
    </w:p>
    <w:p>
      <w:pPr>
        <w:ind w:left="1080" w:right="58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delays or changes in the government appropriations or procurement processes, including as a result of events such as war, incidents of terrorism, natural disasters, and public health concerns or epidemics, such as the coronavirus pandemic;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or unexpected costs or unanticipated delays caused by other factors outside of our control.</w:t>
      </w:r>
    </w:p>
    <w:p>
      <w:pPr>
        <w:spacing w:after="0" w:line="225"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For example, following the second quarter 2022, we announced that we anticipate lower-than-expected new government contract opportunities and what we believe to be slower than anticipated timing of government funding and appropriations with respect to relevant projects in 2022.</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86"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Any such of the foregoing events or activities, among others, could cause governments and governmental agencies to delay or refrain from entering into contracts with us and/or purchasing our computers in the future, reduce the size or timing of payments with respect to our services to, or purchases from, existing or new government customers, or otherwise have an adverse effect on our business, results of operations, financial condition, and growth prospects.</w:t>
      </w:r>
    </w:p>
    <w:p>
      <w:pPr>
        <w:spacing w:after="0" w:line="29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business is currently dependent upon our relationship with our cloud providers. There are no assurances that we will be able to commercialize quantum computers from our relationships with cloud providers.</w:t>
      </w:r>
    </w:p>
    <w:p>
      <w:pPr>
        <w:spacing w:after="0" w:line="62"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We currently offer access to quantum computing as a service (“Quantum Computing as a Service” or “QCaaS”), both directly to our end users with our own Quantum Cloud Services and indirectly to end users through public cloud providers such as Amazon Braket and Microsoft Azure Quantum who integrate our QCS into their own quantum computing platforms. These public cloud partners operate a service in direct competition with our providing direct access to QCS. Currently, a majority of our QCaaS business is run through the AWS service, and we intend to partner with additional partners to provide access to our QCaaS. Cloud computing partnerships could be terminated, or not scale as anticipated, or even at all.</w:t>
      </w:r>
    </w:p>
    <w:p>
      <w:pPr>
        <w:spacing w:after="0" w:line="16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There is risk that one or more of the public cloud providers, such as AWS and Azure, could use their respective control of their public clouds to control market pricing of the services, restrict access, embed innovations or privileged interoperating capabilities in competing products, bundle competing products and leverage their public cloud customer relationships to exclude us from opportunities.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w:t>
      </w:r>
    </w:p>
    <w:p>
      <w:pPr>
        <w:spacing w:after="0" w:line="16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Currently, our customer agreement with AWS remains in effect until (i) terminated for convenience, which we may do for any reason by providing AWS notice and closing our account and which AWS may do for any reason by providing us at least 30 days’ notice or (ii) terminated for cause, which either party may do if the other party has an uncured material breach and which AWS may do immediately upon notice. Although alternative data center providers could host our business on a substantially similar basis to AWS, transitioning the cloud infrastructure currently hosted by AWS to alternative providers could potentially be disruptive, and we could incur significant one-time costs. If we are unable to renew our agreement with AWS on commercially acceptable terms, our agreement with AWS is prematurely terminated, or it adds additional infrastructure providers, we may experience costs or downtime in connection with the transfer to, or the addition of, new data center providers. If AWS or other infrastructure providers increase the costs of their services, our business, financial condition, or results of operations could be materially and adversely affected.</w:t>
      </w:r>
    </w:p>
    <w:p>
      <w:pPr>
        <w:spacing w:after="0" w:line="16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Any material change in our contractual and other business relationships with our partners, could result in reduced use of our systems, increased expenses, including service credit obligations, and harm to our brand and reputation, any of which could have a material adverse effect on our business, financial condition and results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86"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40" w:lineRule="auto"/>
        <w:rPr>
          <w:sz w:val="20"/>
          <w:szCs w:val="20"/>
          <w:color w:val="auto"/>
        </w:rPr>
      </w:pPr>
      <w:r>
        <w:rPr>
          <w:rFonts w:ascii="Arial" w:cs="Arial" w:eastAsia="Arial" w:hAnsi="Arial"/>
          <w:sz w:val="15"/>
          <w:szCs w:val="15"/>
          <w:b w:val="1"/>
          <w:bCs w:val="1"/>
          <w:i w:val="1"/>
          <w:iCs w:val="1"/>
          <w:color w:val="auto"/>
        </w:rPr>
        <w:t>We rely on access to high performance third party classical computing through public clouds, high performance computing centers and on-premises computing infrastructure to deliver performant quantum solutions to customers. We may not be able to maintain high quality relationships and connectivity with these resources which could make it harder for us to reach customers or deliver solutions in a cost-effective manner.</w:t>
      </w:r>
    </w:p>
    <w:p>
      <w:pPr>
        <w:spacing w:after="0" w:line="2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QCS incorporates high performance classical computing through public clouds to provide services to end users and our partners. These services are predominantly on AWS.</w:t>
      </w:r>
    </w:p>
    <w:p>
      <w:pPr>
        <w:spacing w:after="0" w:line="170"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Any material change in our contractual and other business relationships with AWS or other cloud provider, could result in reduced use of our systems, increased expenses, including service credit obligations, and harm our brand and reputation, any of which could have a material adverse effect on our business, financial condition and results of operations.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spacing w:after="0" w:line="295"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p>
      <w:pPr>
        <w:spacing w:after="0" w:line="16"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buy our products and supplies from suppliers that manufacture and source products from the United States and abroad. We enter into agreements with many of our suppliers that provide us with exclusive or restrictive distribution rights, limiting our competitors’ ability to source materials from such suppliers. Our ability to identify and develop relationships with qualified suppliers and enter into exclusive or restrictive distribution rights agreements with suppliers who can satisfy our standards for quality and our need to access products and supplies in a timely and efficient manner is a significant challenge. Any failure to maintain our relationship with any of our top ten largest suppliers, or a failure to replace any such supplier that is lost, could have a material adverse effect on our business, financial position, results of operations and cash flows.</w:t>
      </w:r>
    </w:p>
    <w:p>
      <w:pPr>
        <w:spacing w:after="0" w:line="164"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may be required to replace a supplier if their products do not meet our quality or safety standards. In addition, our suppliers could discontinue selling products at any time for reasons that may or may not be in our control or the suppliers’ control, including shortages of raw materials, environmental and social supply chain issues, pandemic, labor disputes or weather conditions. Disruptions in transportation lines or the ongoing military conflict involving Russia and Ukraine may also cause global supply chain issues that affect us or our suppliers. We generally have multiple sources of supply, however, in some cases, materials are provided by a single supplier. For example, our small and mid-size cryogenic refrigerators have been provided by a single supplier and we have begun to source from a second supplier. In addition, we expect that larger cryogenic refrigerators required in connection with the potential development of systems greater than 100 qubits will be provided by a single supplier, at least for an initial period of time. We cannot assure that any of our suppliers or potential suppliers will have the capacity to supply larger cryogenic refrigerators on the terms, timing or scale that we expect. The loss of, or substantial decrease in the availability of, products from our suppliers, or the loss of a key supplier, temporarily or permanently, could result in a material shortage of products, which could lead to price escalations that we may be unable to offset by our prices to our customers. When supply chain issues are later resolved and prices return to normal levels, we may be required to reduce the prices at which we sell our products to our customers in order to remain competitive. In addition, even where these risks do not materialize, we may incur costs as we prepare contingency plans to address such risks. Our operating results and inventory levels could suffer if we are unable to promptly replace a supplier who is unwilling or unable to satisfy our requirements with a supplier providing similar products. In addition, our suppliers’ ability to deliver products may also be affected by raw material and commodity cost volatility or financing constraints caused by credit market conditions, which could materially and negatively impact our net sales and operating costs, at least until alternate sources of supply are arranged. Any delay or unavailability of key products required for our development activities could delay or prevent us from further developing our systems and applications on our expected timelines or at all.</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86"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Additionally, our business, financial position, results of operations and cash flows could be materially and adversely affected by our inability to continue sourcing products from our suppliers. A weak or declining economy could strain our suppliers, possibly resulting in supply disruption. In addition, there is a risk that our current or future suppliers, service providers, manufacturers or other partners may not survive such difficult economic times, which could directly affect our ability to attain our operating goals on schedule and on budget. Although we seek to have alternate sources and recover increases in input costs through price increases in our products, shortages, supply chain interruptions or regulatory changes or other governmental actions could result in the need to change suppliers or incur cost increases that cannot, in the short term, or in some cases even in the long-term, be offset by our prices.</w:t>
      </w:r>
    </w:p>
    <w:p>
      <w:pPr>
        <w:spacing w:after="0" w:line="30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may face unknown supply chain issues that could delay the development or introduction of our products and negatively impact our business and operating results.</w:t>
      </w:r>
    </w:p>
    <w:p>
      <w:pPr>
        <w:spacing w:after="0" w:line="6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are reliant on third-party suppliers for components necessary to develop and manufacture our quantum computing solutions. Any of the following factors (and others) could have an adverse impact on the availability of these components:</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enter into agreements with suppliers on commercially reasonable terms, or at all;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of suppliers ramping up their supply of materials to meet our requirements;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increase in the price of one or more components, including due to industry consolidation occurring within one or more component supplier markets or as a result of decreased production capacity at manufacturers;</w:t>
      </w:r>
    </w:p>
    <w:p>
      <w:pPr>
        <w:spacing w:after="0" w:line="75"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reductions or interruption in supply, including disruptions on our global supply chain as a result of the COVID-19 pandemic, which we have experienced, and may in the future experience or as a result of the ongoing military conflict between Russia and Ukraine and the related sanctions imposed against Russia (including as a result of disruptions in global shipping, the transport of products, energy supply, cybersecurity incidents and banking systems as well as our ability to control input costs) or otherwise;</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problems of either manufacturers or component suppliers;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significantly increased freight charges, raw material costs, rising electrical power costs and other expenses associated with our business;</w:t>
      </w:r>
    </w:p>
    <w:p>
      <w:pPr>
        <w:spacing w:after="0" w:line="153"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beyond our control or which we do not presently anticipate, could also affect our suppliers’ ability to deliver components to us on a timely basis;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failure to develop our supply chain management capabilities and recruit and retain qualified professionals;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failure to adequately authorize procurement of inventory by our contract manufacturers;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failure to appropriately cancel, reschedule or adjust our requirements based on our business needs.</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If any of the aforementioned factors were to materialize, it could cause us to halt production of our quantum computing solutions and/or entail higher manufacturing costs, any of which could materially adversely affect our business, operating results, and financial condition and could materially damage customer relationships.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86"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b w:val="1"/>
          <w:bCs w:val="1"/>
          <w:i w:val="1"/>
          <w:iCs w:val="1"/>
          <w:color w:val="auto"/>
        </w:rPr>
        <w:t>Our systems depend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p>
      <w:pPr>
        <w:spacing w:after="0" w:line="41"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There are limited suppliers to sources of materials which may be necessary for the production of our technology. We are currently reliant on a single or small number of suppliers for certain resources. While we are currently looking to engage additional suppliers, there is no guarantee we will be able to establish or maintain relationships with such additional suppliers on terms satisfactory to us. Reliance on any single supplier increases the risks associated with being unable to obtain the necessary components because the supplier may have manufacturing constraints, can be subject to unanticipated shutdowns and/or may be affected by natural disasters and other catastrophic events. Some of these factors may be completely out of our and our suppliers’ control. Failure to acquire sufficient quantities of the necessary components in a timely or cost-effective manner could materially harm our business.</w:t>
      </w:r>
    </w:p>
    <w:p>
      <w:pPr>
        <w:spacing w:after="0" w:line="303" w:lineRule="exact"/>
        <w:rPr>
          <w:sz w:val="20"/>
          <w:szCs w:val="20"/>
          <w:color w:val="auto"/>
        </w:rPr>
      </w:pPr>
    </w:p>
    <w:p>
      <w:pPr>
        <w:ind w:left="120" w:right="900"/>
        <w:spacing w:after="0" w:line="342" w:lineRule="auto"/>
        <w:rPr>
          <w:sz w:val="20"/>
          <w:szCs w:val="20"/>
          <w:color w:val="auto"/>
        </w:rPr>
      </w:pPr>
      <w:r>
        <w:rPr>
          <w:rFonts w:ascii="Arial" w:cs="Arial" w:eastAsia="Arial" w:hAnsi="Arial"/>
          <w:sz w:val="16"/>
          <w:szCs w:val="16"/>
          <w:b w:val="1"/>
          <w:bCs w:val="1"/>
          <w:i w:val="1"/>
          <w:iCs w:val="1"/>
          <w:color w:val="auto"/>
        </w:rPr>
        <w:t>Even if we are successful in developing quantum computing systems and executing our strategy, competitors in the industry may achieve technological breakthroughs which render our quantum computing systems obsolete or inferior to other products.</w:t>
      </w:r>
    </w:p>
    <w:p>
      <w:pPr>
        <w:spacing w:after="0" w:line="1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continued growth and success depends on our ability to innovate and develop quantum computing technology in a timely manner and effectively market these products. Without timely innovation and development, our quantum computing solutions could be rendered obsolete or less competitive by changing customer preferences or because of the introduction of a competitor’s newer technologies. We believe that many competing technologies will require a technological breakthrough in one or more problems related to science, fundamental physics or manufacturing. While it is uncertain whether such technological breakthroughs will occur in the next several years that does not preclude the possibility that such technological breakthroughs could eventually occur. Any technological breakthroughs which render our technology obsolete or inferior to other products, could have a material effect on our business, financial condition or results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be unable to reduce the cost of developing our quantum computers, which may prevent us from pricing our quantum systems competitively.</w:t>
      </w:r>
    </w:p>
    <w:p>
      <w:pPr>
        <w:spacing w:after="0" w:line="15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success of our business is dependent upon the cost per qubit decreasing over the next several years as our quantum computers advance, which is based on achieving anticipated economies of scale related to demand for our computer systems, technological innovation and negotiations with third-party parts suppliers. If we do not achieve economies of scale or if the anticipated cost savings do not materialize, we may be unable to achieve a lower cost per qubit, which would make our quantum computing solution less competitive than those produced by our competitors and could have a material adverse effect on our business, financial condition or results of operations. Due to macroeconomic headwinds, we have experienced and may continue to experience increased costs, including with respect to labor and products.</w:t>
      </w:r>
    </w:p>
    <w:p>
      <w:pPr>
        <w:spacing w:after="0" w:line="28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w:t>
      </w:r>
    </w:p>
    <w:p>
      <w:pPr>
        <w:spacing w:after="0" w:line="76"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nascent market for quantum computers is still rapidly evolving, characterized by rapidly changing technologies, competitive pricing and competitive factors, evolving government regulation and industry standards, and changing customer demands and behaviors. If demand for quantum computers in general does not develop as expected, or develops more slowly than expected, our business, prospects, financial condition and operating results could be harmed.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In addition, our growth and future demand for our products is highly dependent upon the adoption by developers and customers of quantum computers, as well as on our ability to demonstrate the value of quantum computing to our customers. Delays in future generations of our quantum computers or technical failures at other quantum computing companies could limit acceptance of our solution. Negative publicity concerning our solution or the quantum computing industry as a whole could limit acceptance of our solution. We believe quantum computing will solve many large-scale problems. However, such problems may never be solvable by quantum computing technology. If our clients and partners do not perceive the benefits of our solution, or if our solution does not drive member engagement, then demand for our products may not develop at all, or it may develop slower than we expect. If any of these events occur, it could have a material adverse effect on our business, financial condition or results of operations. If progress towards quantum advantage ever slows relative to expectations, it could adversely impact revenues and customer confidence to continue to pay for testing, access and “quantum readiness.” This would harm or even eliminate revenues in the period before quantum advantage.</w:t>
      </w:r>
    </w:p>
    <w:p>
      <w:pPr>
        <w:spacing w:after="0" w:line="274"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auto"/>
        </w:rPr>
        <w:t>We could suffer disruptions, outages, defects and other performance and quality problems with our quantum computing systems, our production technology partners or with the public cloud, data centers and internet infrastructure on which we rely.</w:t>
      </w:r>
    </w:p>
    <w:p>
      <w:pPr>
        <w:spacing w:after="0" w:line="38"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Our business depends on our quantum computing systems being available. We have experienced, and may in the future further experience, disruptions, outages, defects and other performance and quality problems with our systems. We have also experienced, and may in the future further experience, disruptions, outages, defects and other performance and quality problems with the public cloud and internet infrastructure on which our systems rely. These problems can be caused by a variety of factors, including failed introductions of new functionality, vulnerabilities and defects in proprietary and open-source software, hardware components, human error or misconduct, capacity constraints, design limitations or denial of service attacks or other security-related incidents. We do not have a contractual right with our public cloud providers that compensates us for any losses due to availability interruptions in the public cloud.</w:t>
      </w:r>
    </w:p>
    <w:p>
      <w:pPr>
        <w:spacing w:after="0" w:line="17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Any disruptions, outages, defects and other performance and quality problems with our quantum computing systems or with the public cloud and internet infrastructure on which we rely, could result in reduced use of our systems, increased expenses, including service credit obligations, and harm to our brand and reputation, any of which could have a material adverse effect on our business, financial condition and results of operations.</w:t>
      </w:r>
    </w:p>
    <w:p>
      <w:pPr>
        <w:spacing w:after="0" w:line="273" w:lineRule="exact"/>
        <w:rPr>
          <w:sz w:val="20"/>
          <w:szCs w:val="20"/>
          <w:color w:val="auto"/>
        </w:rPr>
      </w:pPr>
    </w:p>
    <w:p>
      <w:pPr>
        <w:ind w:left="120" w:right="580"/>
        <w:spacing w:after="0" w:line="375" w:lineRule="auto"/>
        <w:rPr>
          <w:sz w:val="20"/>
          <w:szCs w:val="20"/>
          <w:color w:val="auto"/>
        </w:rPr>
      </w:pPr>
      <w:r>
        <w:rPr>
          <w:rFonts w:ascii="Arial" w:cs="Arial" w:eastAsia="Arial" w:hAnsi="Arial"/>
          <w:sz w:val="15"/>
          <w:szCs w:val="15"/>
          <w:b w:val="1"/>
          <w:bCs w:val="1"/>
          <w:i w:val="1"/>
          <w:iCs w:val="1"/>
          <w:color w:val="auto"/>
        </w:rPr>
        <w:t>If we cannot successfully execute on our strategy, including in response to changing customer needs and new technologies and other market requirements, or achieve our objectives in a timely manner, our business, financial condition and results of operations could be harmed.</w:t>
      </w:r>
    </w:p>
    <w:p>
      <w:pPr>
        <w:spacing w:after="0" w:line="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quantum computing market is characterized by rapid technological change, changing user requirements, uncertain product lifecycles and evolving industry standards. We believe that the pace of innovation will continue to accelerate as technology changes and different approaches to quantum computing mature on a broad range of factors, including system architecture, error correction, performance and scale, ease of programming, user experience, markets addressed, types of data processed, and data governance and regulatory compliance. Our future success depends on our ability to continue to innovate and increase customer adoption of our quantum solutions. If we are unable to enhance our quantum computing system to keep pace with these rapidly evolving customer requirements, or if new technologies emerge that are able to deliver competitive products at lower prices, more efficiently, with better functionality, more conveniently, or more securely than our platform, our business, financial condition and results of operations could be adversely affected.</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86"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340" w:lineRule="auto"/>
        <w:rPr>
          <w:sz w:val="20"/>
          <w:szCs w:val="20"/>
          <w:color w:val="auto"/>
        </w:rPr>
      </w:pPr>
      <w:r>
        <w:rPr>
          <w:rFonts w:ascii="Arial" w:cs="Arial" w:eastAsia="Arial" w:hAnsi="Arial"/>
          <w:sz w:val="15"/>
          <w:szCs w:val="15"/>
          <w:b w:val="1"/>
          <w:bCs w:val="1"/>
          <w:i w:val="1"/>
          <w:iCs w:val="1"/>
          <w:color w:val="auto"/>
        </w:rPr>
        <w:t>We are highly dependent on our ability to attract and retain senior executive leadership and other key employees, such as quantum physicists, software engineers and other key technical employees, which is critical to our success. If we fail to retain talented, highly qualified senior management, engineers and other key employees or attract them when needed, such failure could negatively impact our business.</w:t>
      </w:r>
    </w:p>
    <w:p>
      <w:pPr>
        <w:spacing w:after="0" w:line="23"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Our future success is highly dependent on our ability to attract and retain our executive officers, key employees and other qualified personnel. As we build our brand and become more well known, there is increased risk that competitors or other companies may seek to hire our personnel. The loss of the services provided by these individuals will adversely impact the achievement of our business strategy. These individuals could leave our employment at any time, as they are “at will” employees. A loss of a member of senior management, or an engineer or other key employee particularly to a competitor, could also place us at a competitive disadvantage. Effective succession planning is also important to our long-term success. Failure to ensure effective transfer of knowledge and smooth transitions involving key employees could hinder our strategic planning and execution. For example, our former President and Chief Executive Officer, Dr. Chad Rigetti, resigned in the fourth quarter of 2022 and has been replaced by our current President and Chief Executive Officer, Dr. Subodh Kulkarni, following a transition period with an interim President and Chief Executive Officer. In addition, we recently announced the departure of our former Chief Financial Officer, Brian Sereda, and the appointment of Jeffrey Bertelsen as our new Chief Financial Officer, in addition to the departure of our former Chief Technology Officer, Michael Harburn, and promotion of David Rivas to such position. An inadequate transition in our management may cause disruption to our business due to, among other things, diverting management’s attention away from the operations of the business or causing a deterioration in morale.</w:t>
      </w:r>
    </w:p>
    <w:p>
      <w:pPr>
        <w:spacing w:after="0" w:line="168"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Furthermore, the reduction in workforce that we announced in February 2023 may yield unintended consequences and costs, such as the loss of institutional knowledge and expertise, employee attrition beyond our intended reduction in force, a reduction in morale among our remaining employees, greater-than-anticipated costs incurred in connection with implementing the restructuring, and the risk that we may not achieve the benefits from the restructuring to the extent or as quickly as we anticipate, all of which may have a material adverse effect on our business, results of operations or financial condition. These restructuring initiatives could place substantial demands on our management and employees, which could lead to the diversion of our management’s and employees’ attention from other business priorities. In addition, we may discover that the workforce reduction and other restructuring efforts will make it difficult for us to pursue new opportunities and initiatives and require us to hire qualified replacement personnel, which may require us to incur additional and unanticipated costs and expenses.</w:t>
      </w:r>
    </w:p>
    <w:p>
      <w:pPr>
        <w:spacing w:after="0" w:line="17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future success also depends on our continuing ability to attract, develop, motivate, and retain highly qualified and skilled employees. The market for highly skilled workers and leaders in the quantum computing industry is extremely competitive. In particular, hiring qualified personnel specializing in supply chain management, engineering and sales, as well as other technical staff and research and development personnel is critical to our business and the development of our quantum computing systems. Some of these professionals are hard to find and we may encounter significant competition in our efforts to hire them. Many of the other companies with which we compete for qualified personnel have greater financial and other resources than we do. The effective operation of our supply chain, including the acquisition of critical components and materials, the development of our quantum computing technologies, the commercialization of our quantum computing technologies and the effective operation of our managerial and operating systems all depend upon our ability to attract, train and retain qualified personnel in the aforementioned specialties. 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be otherwise unable to develop and grow our business as projected, or even at all.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growth and success depends on our ability to sell effectively to government entities and large enterprises.</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Our potential customers tend to be government agencies and large enterprises. Therefore, our future success will depend on our ability to effectively sell our products to such customers. Sales to these end-customers involve risks that may not be present (or that are present to a lesser extent) with sales to non-governmental agencies or smaller customers. These risks include, but are not limited to, (i) increased purchasing power and leverage held by such customers in negotiating contractual arrangements with us and (ii) longer sales cycles and the associated risk that substantial time and resources may be spent on a potential end-customer that elects not to purchase our solutions. Sales to government agencies are typically under fixed fee development contracts, which involve additional risks. See “-</w:t>
      </w:r>
      <w:r>
        <w:rPr>
          <w:rFonts w:ascii="Arial" w:cs="Arial" w:eastAsia="Arial" w:hAnsi="Arial"/>
          <w:sz w:val="17"/>
          <w:szCs w:val="17"/>
          <w:i w:val="1"/>
          <w:iCs w:val="1"/>
          <w:color w:val="auto"/>
        </w:rPr>
        <w:t>If our cost and time estimates for fixed fee arrangements do not accurately anticipate the cost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servicing those arrangements, we could experience losses on these arrangements or our profitability could be reduced. </w:t>
      </w:r>
      <w:r>
        <w:rPr>
          <w:rFonts w:ascii="Arial" w:cs="Arial" w:eastAsia="Arial" w:hAnsi="Arial"/>
          <w:sz w:val="17"/>
          <w:szCs w:val="17"/>
          <w:color w:val="auto"/>
        </w:rPr>
        <w:t>” In addition,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generally include the ability of government agencies to terminate early which, if exercised, would result in a lower contract value and lower than anticipated revenues generated by such arrangement. See “-</w:t>
      </w:r>
      <w:r>
        <w:rPr>
          <w:rFonts w:ascii="Arial" w:cs="Arial" w:eastAsia="Arial" w:hAnsi="Arial"/>
          <w:sz w:val="17"/>
          <w:szCs w:val="17"/>
          <w:i w:val="1"/>
          <w:iCs w:val="1"/>
          <w:color w:val="auto"/>
        </w:rPr>
        <w:t>Contracts with U.S. government entities subject us to risks including early termination,</w:t>
      </w:r>
      <w:r>
        <w:rPr>
          <w:rFonts w:ascii="Arial" w:cs="Arial" w:eastAsia="Arial" w:hAnsi="Arial"/>
          <w:sz w:val="17"/>
          <w:szCs w:val="17"/>
          <w:color w:val="auto"/>
        </w:rPr>
        <w:t xml:space="preserve"> </w:t>
      </w:r>
      <w:r>
        <w:rPr>
          <w:rFonts w:ascii="Arial" w:cs="Arial" w:eastAsia="Arial" w:hAnsi="Arial"/>
          <w:sz w:val="17"/>
          <w:szCs w:val="17"/>
          <w:i w:val="1"/>
          <w:iCs w:val="1"/>
          <w:color w:val="auto"/>
        </w:rPr>
        <w:t>audits, investigations, sanctions and penalties</w:t>
      </w:r>
      <w:r>
        <w:rPr>
          <w:rFonts w:ascii="Arial" w:cs="Arial" w:eastAsia="Arial" w:hAnsi="Arial"/>
          <w:sz w:val="17"/>
          <w:szCs w:val="17"/>
          <w:color w:val="auto"/>
        </w:rPr>
        <w:t>.”</w:t>
      </w:r>
    </w:p>
    <w:p>
      <w:pPr>
        <w:spacing w:after="0" w:line="185"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Government agencies and large organizations often undertake a significant evaluation process that results in a lengthy sales cycle. Our contracts with government agencies are typically structured in phases, with each phase subject to satisfaction of certain conditions. As a result, the actual scope of work performed pursuant to any such contracts, in addition to related contract revenue, could be less than total contract value. In addition, product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results than originally anticipated.</w:t>
      </w:r>
    </w:p>
    <w:p>
      <w:pPr>
        <w:spacing w:after="0" w:line="28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may not be able to accurately estimate the future supply and demand for our quantum computers, which could result in a variety of inefficiencies in our business and hinder our ability to generate revenue. If we fail to accurately predict our manufacturing requirements, we could incur additional costs or experience delays.</w:t>
      </w:r>
    </w:p>
    <w:p>
      <w:pPr>
        <w:spacing w:after="0" w:line="76"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It is difficult to predict our future revenues and appropriately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computers or our ability to develop, manufacture, and deliver quantum computers, or our profitability, if any,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quantum computers and related compute time to our potential customers could be delayed, which would harm our business, financial condition and operating results.</w:t>
      </w:r>
    </w:p>
    <w:p>
      <w:pPr>
        <w:spacing w:after="0" w:line="274"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Because our success depends, in part, on our ability to expand sales internationally, our business will be susceptible to risks associated with international operations.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maintain offices and have sales personnel in the United States, the United Kingdom, Australia and Canada. In the year ended</w:t>
      </w:r>
    </w:p>
    <w:p>
      <w:pPr>
        <w:spacing w:after="0" w:line="35"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December 31, 2022 and the eleven months ended December 31, 2021, our non-U.S. revenue was approximately 15.0% and 28.9% of our total revenue, respectively. Depending on customer opportunities and our ability to access quantum engineering talent, we may continue to expand our international operations, which may include opening offices in new jurisdictions. Any additional international expansion efforts that we are undertaking and may undertake may not be successful. In addition, conducting international operations subjects us to new risks, some of which we have not generally faced in the United States or other countries where we currently operate. These risks include, among other things:</w:t>
      </w:r>
    </w:p>
    <w:p>
      <w:pPr>
        <w:spacing w:after="0" w:line="84" w:lineRule="exact"/>
        <w:rPr>
          <w:sz w:val="20"/>
          <w:szCs w:val="20"/>
          <w:color w:val="auto"/>
        </w:rPr>
      </w:pPr>
    </w:p>
    <w:p>
      <w:pPr>
        <w:ind w:left="1080" w:right="2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costs and errors in the localization of our platform and solutions, including translation into foreign languages and adaptation for local culture, practices and regulatory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86"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familiarity and burdens of complying with foreign laws, legal standards, privacy and cybersecurity standards, regulatory requirements, tariffs and other barriers, and the risk of penalties to our customers and individual members of management or employees if our practices are deemed to not be in compliance;</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practical difficulties of enforcing intellectual property rights in countries with varying laws and standards and reduced or varied protection for intellectual property rights in some countries;</w:t>
      </w:r>
    </w:p>
    <w:p>
      <w:pPr>
        <w:spacing w:after="0" w:line="75"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evolving legal framework and additional legal or regulatory requirements for data privacy and cybersecurity, which may necessitate the establishment of systems to maintain data in local markets, requiring us to invest in additional data centers and network infrastructure, and the implementation of additional employee data privacy documentation (including locally-compliant data privacy notice and policies), all of which may involve substantial expense and may cause us to need to divert resources from other aspects of our business, all of which may adversely affect our business;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unexpected changes in regulatory requirements, taxes, trade laws, tariffs, export quotas, custom duties or other trade restrictions;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managing systems integrators and technology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longer accounts receivable payment cycles and difficulties in collecting accounts receivable;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including the proper classification of independent contractors and other contingent workers, differing employer/employee relationships and local employment laws;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costs involved with recruiting and retaining an expanded employee population outside the United States through cash and equity-based incentive programs and unexpected legal costs and regulatory restrictions in issuing our shares to employees outside the United States;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global political and regulatory changes that may lead to restrictions on immigration and travel for our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exchange rates that may decrease the value of foreign-based revenue;</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(or other tax) systems, restrictions on the repatriation of earnings, and transfer pricing requirements; and</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permanent establishment risks and complexities in connection with international payroll, tax and social security requirements for international employees.</w:t>
      </w:r>
    </w:p>
    <w:p>
      <w:pPr>
        <w:spacing w:after="0" w:line="170"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w:t>
      </w:r>
    </w:p>
    <w:p>
      <w:pPr>
        <w:spacing w:after="0" w:line="12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Compliance with laws and regulations applicable to our global operations also substantially increases our cost of doing business in foreign jurisdictions. We have limited experience in marketing, selling and supporting our platform outside of the United States.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financial condition, revenues, results of operations or cash flows will suffer. We may be unable to keep current with changes in government requirements as they change from time to time. Failure to comply with these regulations could harm our business. In many countries, it is common for others to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engage in business practices that are prohibited by our internal policies and procedures or other regulations applicable to us. Although we have implemented policies and procedures designed to ensure compliance with these laws and policies, there can be no assurance that all of our employees, contractors, partners and agents will comply with these laws and policies. 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solutions and could harm our business, financial condition, revenues, results of operations or cash flows.</w:t>
      </w:r>
    </w:p>
    <w:p>
      <w:pPr>
        <w:spacing w:after="0" w:line="28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Our international sales and operations subject us to additional risks and costs, including the ability to engage with customers in new geographies, exposure to foreign currency exchange rate fluctuations, that can adversely affect our business, financial condition, revenues, results of operations or cash flows.</w:t>
      </w:r>
    </w:p>
    <w:p>
      <w:pPr>
        <w:spacing w:after="0" w:line="7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derive a significant portion of revenue from our customers in the United States. We may expand our international operations if we are able to achieve narrow or broad quantum advantage. However, there are a variety of risks and costs associated with our international sales and operations, which may include making additional investments prior to the proven adoption of our solutions, the cost of conducting our business internationally and hiring and training international employees and the costs associated with complying with local law. Furthermore, we cannot predict the rate at which our platform and solutions will be accepted in international markets by potential customers. We currently have sales, customer support and engineering personnel outside the United States in the United Kingdom, Australia and Canada, and have established an entity in Germany; however, our sales, support and engineering organization outside the United States is smaller than our U.S. sales organization. We believe our ability to attract new customers to subscribe to our platform or to attract existing customers to renew or expand their use of our platform is directly correlated to the level of engagement we obtain with the customer. To the extent we are unable to effectively engage with non-U.S. customers due to our limited sales force capacity, we may be unable to effectively grow in international markets.</w:t>
      </w:r>
    </w:p>
    <w:p>
      <w:pPr>
        <w:spacing w:after="0" w:line="18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Given our international presence, we are exposed to the effects of fluctuations in currency exchange rates. While we have primarily transacted with customers in U.S. dollars, we expect to continue to generate some revenues, denominated in foreign currencies. Additionally, fluctuations in the value of the U.S. dollar and foreign currencies may make our subscriptions more expensive for international customers, which could harm our business. Additionally, we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international operations may subject us to greater than anticipated tax liabilities.</w:t>
      </w:r>
    </w:p>
    <w:p>
      <w:pPr>
        <w:spacing w:after="0" w:line="117"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The amount of taxes we pay in different jurisdictions depends on the application of the tax laws of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quantum computing systems may not be compatible with some or all industry-standard software and hardware in the future, which could harm our business.</w:t>
      </w:r>
    </w:p>
    <w:p>
      <w:pPr>
        <w:spacing w:after="0" w:line="6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have focused our efforts on creating quantum computing hardware, the operating system for such hardware, a suite of low-level software programs that optimize execution of quantum algorithms on our hardware, application programing interfaces (“APIs”) to access our systems, software development kits (“SDKs”) for system and application developers, and quantum programming languages for low- and high-level application developers. The industry is rapidly evolving, and customers have many choices for programming languages, application libraries, APIs, and SDKs, some of which may not be compatible with our own languages, APIs or SDKs. Our quantum computing solutions are designed today to be compatible with most major quantum software development kits, including Qiskit, Cirq, and Open QASM, all of which are open source. If a proprietary (not open source) software toolset became the standard for quantum application development in the future by a competitor, usage of our hardware might be limited as a result which would have a negative impact on the Company. Similarly, if a piece of hardware became a necessary component for quantum computing (for instance, quantum networking) and we cannot integrate with, the result might have a negative impact on the Company.</w:t>
      </w:r>
    </w:p>
    <w:p>
      <w:pPr>
        <w:spacing w:after="0" w:line="166"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If our customers are unable to achieve compatibility between other software and hardware and our hardware, it could impact our relationships with such customers or with customers, generally, if the incompatibility is more widespread. 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w:t>
      </w:r>
    </w:p>
    <w:p>
      <w:pPr>
        <w:spacing w:after="0" w:line="15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We may rely heavily on future collaborative partners and third parties to develop key, relevant algorithms and programming to make our quantum systems commercially viable.</w:t>
      </w:r>
    </w:p>
    <w:p>
      <w:pPr>
        <w:spacing w:after="0" w:line="170"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We have entered into, and may enter into, strategic partnerships to develop and commercialize our current and future research and development programs with other companies to accomplish one or more of the following:</w:t>
      </w:r>
    </w:p>
    <w:p>
      <w:pPr>
        <w:spacing w:after="0" w:line="76"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expertise;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sales and marketing services or support;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equipment and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relationships with potential future customers;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generate revenue.</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may not be successful in establishing or maintaining suitable partnerships, and we may not be able to negotiate collaboration agreements having terms satisfactory to the Company, or at all. Failure to make or maintain these arrangements or a delay or failure in a collaborative partner’s performance under any such arrangements could harm our business and financial condition.</w:t>
      </w:r>
    </w:p>
    <w:p>
      <w:pPr>
        <w:spacing w:after="0" w:line="29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which may adversely affect our business.</w:t>
      </w:r>
    </w:p>
    <w:p>
      <w:pPr>
        <w:spacing w:after="0" w:line="7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the ordinary course of our business, we and the third parties upon which we rely, process proprietary, confidential, and sensitive data, including personal data, intellectual property, and trade secrets (collectively, sensitive information). Cyber-attacks, malicious internet-based activity, online and offline fraud, denial-of-service attacks, ransomware attacks, business email compromises, computer malware, viruses, and social engineering (including phishing) and other similar activities threaten the confidentiality, integrity, and availability of our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sensitive information and information technology systems, and those of the third parties upon which we rely. Such threats are prevalent in the technology industry and our customers’ industries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The techniques may be used to sabotage or to obtain unauthorized access to our platform, systems, networks, or physical facilities where our quantum computers are stored, and we may be unable to implement adequate preventative measures or stop security breaches while they are occurring. U.S. law enforcement agencies have indicated to us that quantum computing technology is of particular interest to certain malicious cyber threat actors. In addition, our cybersecurity risk could be increased as a result of the ongoing military conflict between Russia and Ukraine and the related sanctions imposed against Russia.</w:t>
      </w:r>
    </w:p>
    <w:p>
      <w:pPr>
        <w:spacing w:after="0" w:line="178"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72"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We rely on third-party service providers and technologies to operate critical business systems to process sensitive information in a variety of contexts. Our platform is built to be accessed through third-party public cloud providers such as AWS. These providers may also experience breaches and attacks to their products which may impact our systems. Data security breaches may also result from non-technical means, such as actions by an employee with access to our systems.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6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platform/products/services.</w:t>
      </w:r>
    </w:p>
    <w:p>
      <w:pPr>
        <w:spacing w:after="0" w:line="18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We may expend significant resources or modify our business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While we and our third-party cloud providers have implemented security measures designed to protect against security breaches, these measures could fail or may be insufficient, resulting in the unauthorized disclosure, modification, misuse, destruction, or loss of sensitive or confidential information.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after a security incident has occurred. These vulnerabilities pose material risks to our business. Further, we may experience delays in developing and deploying remedial measures designed to address any such identified vulnerabilities.</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Applicable data privacy and security obligations may require us to notify relevant stakeholders of security incidents. Such disclosures are costly, and the disclosure or the failure to comply with such requirements could lead to adverse consequences. Actual or perceived breaches of our security measures or the accidental loss, inadvertent disclosure or unapproved dissemination of proprietary information or sensitive or confidential data about the Company, our partners, our customers or third parties could expose us and the parties affected to a risk of loss or misuse of this information, resulting in litigation and potential liability, paying damages, regulatory inquiries or actions, damage to our brand and reputation or other harm to our business. Our efforts to prevent and overcome these challenges could increase our expenses and may not be successful. If we fail to detect or remediate a security breach in a timely manner, or a breach otherwise affects our customers, or if we suffer a cyber-attack that impacts our ability to operate our platform,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material damage to our reputation; monetary fund diversions;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68"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92"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could limit our ability to grow our business and negatively affect our results of operations.</w:t>
      </w:r>
    </w:p>
    <w:p>
      <w:pPr>
        <w:spacing w:after="0" w:line="62"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Our results of operations have varied and may continue to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international trade relations, pandemics (such as the COVID-19 pandemic), political turmoil, natural catastrophes, warfare, and terrorist attacks on the United States or elsewhere, could cause a decrease in business investments, including the progress on development of quantum technologies, and negatively affect the growth of our business. In addition, in challenging economic times, our current or potential future customers may experience cash flow problems and as a result may modify, delay or cancel plans to purchase our products and services. Additionally, if our customers are not successful in generating sufficient revenue or are unable to secure financing, they may not be able to pay, or may delay payment of, accounts receivable due to it. Moreover, our key suppliers may reduce their output or become insolvent, thereby adversely impacting our ability to manufacture our products.</w:t>
      </w:r>
    </w:p>
    <w:p>
      <w:pPr>
        <w:spacing w:after="0" w:line="181"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Furthermore, uncertain economic conditions may make it more difficult for us to raise funds through borrowings or private or public sales of debt or equity securities. We cannot predict the timing, strength or duration of any economic slowdown, instability or recovery, generally or within any particular industry.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Government actions and regulations, such as tariffs and trade protection measures, may limit our ability to obtain products from our suppliers or sell our products and services to customers. Political challenges between the United States and countries in which our suppliers are located, and changes to trade policies, including tariff rates and customs duties, trade relations between the United States and those countries and other macroeconomic issues could adversely impact our business. The United States administration has announced tariffs on certain products imported into the United States, and some countries have imposed tariffs in response to the actions of the United States. There is also a possibility of future tariffs, trade protection measures or other restrictions imposed on our products or on our customers by the United States or other countries that could have a material adverse effect on our business. Our technology may be deemed a matter of national security and as such our customer base may be tightly restricted. We may accept government grants that place restrictions on the business’ ability to operate.</w:t>
      </w:r>
    </w:p>
    <w:p>
      <w:pPr>
        <w:spacing w:after="0" w:line="28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Unstable market and economic conditions have had and may continue to have serious adverse consequences on our business, financial condition and share price.</w:t>
      </w:r>
    </w:p>
    <w:p>
      <w:pPr>
        <w:spacing w:after="0" w:line="6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bank failures and uncertainty about economic stability. For example, recent bank failures have resulted in volatility in the capital markets. Similarly, the ongoing military conflict between Russia and Ukraine has created extreme volatility in the global capital markets and is expected to have further global economic consequences, including disruptions of the global supply chain and energy markets. Any volatility and disruptions may have adverse consequences on us or the third parties on whom we rely. If general economic conditions were to deteriorate or remain uncertain for an extended period of time, our liquidity and ability to repay our outstanding debt may be harmed and the trading price of our Common Stock could decline. Significant decline of stock price has caused, and may cause in the future, a triggering event for impairment testing of fair-valued assets, including goodwill and other long-lived assets. For example, in assessing our goodwill in connection with the preparation of the financial statements for the fourth quarter and fiscal year ended December 31, 2022, we concluded indicators of impairment were present due to the current macroeconomic conditions, including continued declines in our stock price. Based upon the results of the impairment test, we recorded a goodwill impairment charge of $5.4 million within the consolidated statement of operations for the twelve months ended December 31, 2022. If the equity and credit markets deteriorate, including as a result of political unrest or war, it may make any necessary debt or equity financing more difficult to obtain in a timely manner or on favorable terms, more costly or more dilutive, and we could be forced to delay, reduce or eliminate our research and development programs and other efforts. Increased inflation rates have and are expected to adversely affect us by increasing our costs, including labor and employee benefit costs, and costs for equipment and system components associated with system development. In addition, higher inflation could also increase our customers’ operating costs, which could result in reduced budgets for our customers and potentially less demand for our systems. Any significant increases in inflation and related increase in interest rates could have a material adverse effect on our business, results of operations and financial condition.</w:t>
      </w:r>
    </w:p>
    <w:p>
      <w:pPr>
        <w:spacing w:after="0" w:line="188"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On March 10, 2023, the California Department of Financial Protection and Innovation closed Silicon Valley Bank (“SVB”) and appointed Federal Deposit Insurance Corporation (the “FDIC”) receiver. On March 12, 2023, the Department of the Treasury, the Federal Reserve, and the FDIC jointly released a statement that depositors at SVB and Signature Bank would have access to their funds, even those in excess of the standard FDIC insurance limits, under a systemic risk exception. As of March 14, 2023, we had approximately $1.0 million of cash with SVB, our sole depositor. We are making arrangements to open accounts with a new financial institution and could experience disruption with customer receivables and vendor payments during the transition process. The majority of our other cash, cash equivalents and investments, consisting of a variety of short-term and high-credit treasury and corporate bonds and other liquid investments, is held in custodial accounts with U.S. Bank for which SVB Asset Management is the advisor. Despite our proactive measures and the measures taken by the United States federal government, there is great uncertainty in the markets regarding the stability of regional banks and</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86"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safety of deposits in excess of the FDIC insured deposit limits. The ultimate outcome of these events, and whether further regulatory actions will be taken, cannot be predicted. These events may have a material adverse effect on our liquidity and financial condition if our ability to access funds at SVB and our ability to transfer our other cash, cash equivalents and investments to other financial institutions are impaired. In addition, if in the future a financial institution in which we hold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operating expense obligations. Further, these events may make equity or debt financing more difficult to obtain, and additional equity or debt financing might not be available on reasonable terms, if at all; difficulties obtaining equity or debt financing could have a material adverse effect on our financial condition, as well as our ability to continue to grow our operations.</w:t>
      </w:r>
    </w:p>
    <w:p>
      <w:pPr>
        <w:spacing w:after="0" w:line="30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our cost and time estimates for fixed fee arrangements do not accurately anticipate the cost of servicing those arrangements, we could experience losses on these arrangements and our profitability could be reduced.</w:t>
      </w:r>
    </w:p>
    <w:p>
      <w:pPr>
        <w:spacing w:after="0" w:line="6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Our development contracts are typically fixed fee arrangements invoiced on a milestone basis. If we underestimate the amount of effort required to deliver on a contract and/or the period of time required to achieve the milestone, our profitability could be reduced. If the actual costs of completing the contract exceed the agreed upon fixed price, we would incur a loss on the arrangement.</w:t>
      </w:r>
    </w:p>
    <w:p>
      <w:pPr>
        <w:spacing w:after="0" w:line="29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related to the lack of effective review controls over the accounting for complex financial instruments and to the design and operation of our overall closing and financial reporting processes, and we may identify additional material weaknesses in the future. The material weakness over accounting for complex financial instruments has resulted in errors in financial statements for prior periods. If we fail to remediate such material weaknesses,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p>
      <w:pPr>
        <w:spacing w:after="0" w:line="69" w:lineRule="exact"/>
        <w:rPr>
          <w:sz w:val="20"/>
          <w:szCs w:val="20"/>
          <w:color w:val="auto"/>
        </w:rPr>
      </w:pPr>
    </w:p>
    <w:p>
      <w:pPr>
        <w:ind w:left="120" w:right="560"/>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2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As previously disclosed, in connection with our unaudited condensed consolidated financial statements for the nine months ended October 31, 2021, we identified a material weakness in our internal control over financial reporting related to the lack of effective review controls over the accounting for complex financial instruments. Specifically, the controls failed to identify an error in the accounting for complex warrant instruments. The error related to the Company not properly accounting for the liability associated with the warrants to purchase common stock issued to Trinity Capital Inc. that was subsequently cancelled and reissued for a new warrant in connection with an amendment to the Loan Agreement.</w:t>
      </w:r>
    </w:p>
    <w:p>
      <w:pPr>
        <w:spacing w:after="0" w:line="16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addition, in connection with the preparation of the financial statements for the second quarter of 2022, we also identified and corrected an immaterial error related to the revaluation of the liability associated with the same warrants issued to Trinity Capital. The error was made in the previously issued unaudited condensed consolidated financial statements as of and for the period ended March 31, 2022. We corrected the immaterial error in our condensed consolidated financial statements as of and for the period ended June 30, 2022 and restated our financial statements for the quarters ended March 31, 2022 and June 30, 2022 as described below, and reversed such prior correction and instead reflected such correction in the restated financial statements for the quarter ended March 31, 2022.</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In connection with the preparation of the financial statements for the third quarter of 2022, we discovered that the previously identified material weakness led to additional material errors related to the valuation of the Earn-out liability and the Private Warrant liability that affected the previously issued unaudited condensed consolidated financial statements as of and for the periods ended March 31, 2022 and June 30, 2022. These errors were corrected in the unaudited condensed consolidated financial statements as of and for the periods ended March 31, 2022 and June 30, 2022 through a restatement of previously filed financial statements for such periods.</w:t>
      </w:r>
    </w:p>
    <w:p>
      <w:pPr>
        <w:spacing w:after="0" w:line="18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management previously concluded that this material weakness in our internal control over financial reporting was due to the fact that at the time we initially identified the material weakness, we did not have sufficient accounting resources and did not have the necessary business processes and related internal controls formally designed and implemented to address the accounting and financial reporting requirements related to these complex instruments. This material weakness continued to exist as of December 31, 2022 due to the reasons described above and due to the shorter period of time that has elapsed since the identification of the additional errors in prior periods related to the material weakness discussed above.</w:t>
      </w:r>
    </w:p>
    <w:p>
      <w:pPr>
        <w:spacing w:after="0" w:line="16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Additionally, in connection with the preparation of the financial statements for the year ended December 31, 2022 appearing elsewhere in this Annual Report on Form 10-K, we identified a material weakness in our internal control over financial reporting related to the design and operation of our overall closing and financial reporting processes, including the timely preparation of account reconciliations, effective segregation of duties, and a lack of timely review over the financial statement close process. We have concluded that this material weakness is due to the fact that, between the date the company went public pursuant to the Business Combination and December 31, 2022, the company had limited resources and did not have the necessary business processes and related internal controls formally designed and implemented coupled with the appropriate resources with the appropriate level of experience and technical expertise to oversee our closing and financial reporting processes.</w:t>
      </w:r>
    </w:p>
    <w:p>
      <w:pPr>
        <w:spacing w:after="0" w:line="17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As a result of the foregoing, management concluded that our disclosure controls and procedures were not effective at the reasonable assurance level as of the end of the quarterly periods ended March 31, 2022, June 30, 2022, September 30, 2022 and December 31, 2022. Our management is in the process of undertaking a remediation plan and is taking steps to remediate the material weaknesses. The material weaknesses will not be considered remediated until such time as management designs and implements effective controls that operate for a sufficient period of time and concludes, through testing, that these controls are effective.</w:t>
      </w:r>
    </w:p>
    <w:p>
      <w:pPr>
        <w:spacing w:after="0" w:line="18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management will continue to monitor the effectiveness of our remediation plan and will make the changes it determines to be appropriate. Although we intend to complete this remediation process as quickly as practicable, we cannot at this time estimate how long it will take, and our initiatives may not prove to be successful in remediating the material weaknesses. Furthermore, we cannot ensure that the measures we have taken to date, and actions we may take in the future, will be sufficient to remediate in a timely manner or at all the control deficiencies that led to our material weaknesses in our internal controls over financial reporting or that they will prevent or avoid potential future material weaknesses due to a failure to implement and maintain adequate internal control over financial reporting or circumvention of these controls. In addition, even if we are successful in strengthening our controls and procedures, in the future these controls and procedures may not be adequate to prevent or identify irregularities or errors or to facilitate the fair presentation of our financial statements.</w:t>
      </w:r>
    </w:p>
    <w:p>
      <w:pPr>
        <w:spacing w:after="0" w:line="17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Any failure to remediate the material weaknesses or otherwise develop or maintain effective controls or any difficulties encountered in their implementation or improvement could limit our ability to prevent or detect a misstatement of our accounts or disclosures that could result in additional material misstatements of our annual or interim financial statements. In such case, we may be unable to maintain compliance with securities law requirements regarding timely filing of periodic reports in addition to the listing requirements of the Nasdaq. For example, in connection with the identification of the material weakness related to the lack of effective review controls over the accounting for complex financial instruments as described above, we were unable to file our Quarterly Report on Form 10-Q for the quarterly period ended September 30, 2022 by the deadline prescribed by the SEC and, as a result, we are not eligible to utilize a Form S-3 registration statement. In addition, we could be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subject to sanctions or investigations by the SEC, the Nasdaq Stock Market or other regulatory authorities as well as shareholder litigation which would require additional financial and management resources, and investors may lose confidence in our financial reporting and our stock price may decline as a result. Further, B. Riley has the right to terminate the Purchase Agreement under specified circumstances, including if the related registration statement is unavailable for a specified period of time, including as a result of errors or missing information in our SEC filings. If we fail to make timely and complete filings with the SEC in the future, B.Riley may terminate the Purchase Agreement under specified circumstances. As a result, our ability to obtain any additional financing, or additional financing on favorable terms, could be materially and adversely affected, which in turn, could materially and adversely affect our business, financial condition and the market value of our common stock and require us to incur additional costs to improve our internal control systems and procedures. In addition, perceptions of the Company among customers, suppliers, lenders, investors, securities analysts and others could also be adversely affected.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been, and may in the future be, adversely affected by the global COVID-19 pandemic, its various strains or future pandemics.</w:t>
      </w:r>
    </w:p>
    <w:p>
      <w:pPr>
        <w:spacing w:after="0" w:line="1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face various risks related to epidemics, pandemics, and other outbreaks, including the recent COVID-19 pandemic, including newly discovered strains of the virus. In response to the COVID-19 pandemic, governments have implemented significant measures, including, but not limited to, business closures, quarantines, travel restrictions, shelter-in-place, stay-at-home and other social distancing directives, intended to control the spread of the virus. Companies have also taken precautions, such as requiring employees to work remotely, imposing travel restrictions and temporarily closing businesses. To the extent that these restrictions remain in place, additional prevention and mitigation measures are implemented in the future, or there is uncertainty about the effectiveness of these or any other measures to contain or treat COVID-19 or future pandemics, there is likely to be an adverse impact on our potential customers, our employees and global economic conditions, and consumer confidence and spending, which could materially and adversely affect our operations and demand for our products.</w:t>
      </w:r>
    </w:p>
    <w:p>
      <w:pPr>
        <w:spacing w:after="0" w:line="178"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spread of COVID-19 has and may continue to impact our suppliers by disrupting the manufacturing, delivery and the overall supply chain of parts required to manufacture our quantum computers. In addition, various aspects of our business cannot be conducted remotely, such as the fabrication of quantum processors and the assembly of our quantum computers. Future measures by government authorities may remain in place for a significant period of time and they are likely to adversely affect our future manufacturing plans, sales and marketing activities, business and results of operations. We may take further actions as may be required by government authorities or that we determine are in the best interests of our employees, suppliers, vendors and business partners.</w:t>
      </w:r>
    </w:p>
    <w:p>
      <w:pPr>
        <w:spacing w:after="0" w:line="19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Due to the fluid nature of the COVID-19 pandemic, uncertainties regarding the related economic impact are likely to result in sustained market turmoil, which could also negatively impact our business, financial condition and cash flows. During 2020, we scaled back our recruiting efforts to control costs and experienced weeklong onsite work stoppages due to quarantining related to the COVID-19 pandemic. The extent of COVID-19’s effect on our operational and financial performance will depend on future developments, including the duration, spread and intensity of the pandemic,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could negatively impact our business, financial condition results of operations and cash flows, and may also have the effect of heightening many of the other risks described in this “Risk Factors” section.</w:t>
      </w:r>
    </w:p>
    <w:p>
      <w:pPr>
        <w:spacing w:after="0" w:line="19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Even after the COVID-19 pandemic has subsided, we may continue to experience an adverse impact to our business as a result of COVID-19’s global economic impact, including any recession that has occurred or may occur in the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facilities or operations could be damaged or adversely affected as a result of prolonged power outages, natural disasters and other catastrophic events.</w:t>
      </w:r>
    </w:p>
    <w:p>
      <w:pPr>
        <w:spacing w:after="0" w:line="6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facilities or operations could be adversely affected by power outages as well as events outside of our control, such as natural disasters and other calamities. We cannot assure you that any backup systems will be adequate to protect us from the effects of fire, floods, typhoons, earthquakes, power loss resulting from such natural disasters, telecommunications failures, break-ins, war, riots, terrorist attacks or similar events. Any of the foregoing events may give rise to interruptions, breakdowns, system failures, technology platform failures or internet failures, which could cause delays in development and fabrication, the loss or corruption of data or malfunctions of software or hardware as well as adversely affect our ability to provide services. A significant power outage may disrupt our operations and could have a material adverse impact on our business, financial condition, results of operations and cash flows</w:t>
      </w:r>
    </w:p>
    <w:p>
      <w:pPr>
        <w:spacing w:after="0" w:line="195"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Further, the British National Grid recently warned that the United Kingdom, where we have significant operations, could face planned power cuts to homes and businesses throughout the winter of 2022 and 2023 if the country is unable to import electricity from Europe and it struggles to attract enough gas imports to fuel its gas-fired power plants. A significant power outage could have a material adverse impact on our business, financial condition, results of operations and cash flows.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Litigation and Government Regulation</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b w:val="1"/>
          <w:bCs w:val="1"/>
          <w:i w:val="1"/>
          <w:iCs w:val="1"/>
          <w:color w:val="auto"/>
        </w:rPr>
        <w:t>We are subject to stringent and evolving U.S. state, federal and foreign laws and regulations, rules, contractual obligations, policies and other obligations related to privacy, data use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otherwise could adversely affect us and our business.</w:t>
      </w:r>
    </w:p>
    <w:p>
      <w:pPr>
        <w:spacing w:after="0" w:line="63"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and intellectual property. We are, therefore, subject to numerous data privacy and security obligations, such as state and federal laws and regulations, guidance, industry standards, external and internal privacy and security policies, contractual requirements, and other obligations related to privacy, data use and security.</w:t>
      </w:r>
    </w:p>
    <w:p>
      <w:pPr>
        <w:spacing w:after="0" w:line="188"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In addition, several states have enacted privacy or security breach legislation requiring varying levels of consumer notification in the event of a security breach. For example, the California Consumer Privacy Act (“CCPA”), applies to personal information of consumers, business representatives, and employees, and requires businesses to provide specific disclosures in privacy notices and grants consumers resident in California new rights with respect to the collection of their personal data. The CCPA provides for civil penalties of up to $7,500 per violation and allows private litigants affected by certain data breaches to recover significant statutory damages. In addition, the California Privacy Rights Act of 2020 (“CPRA”) expands the CCPA’s requirements, including by adding a new right for individuals to correct their personal information and establishing a new regulatory agency to implement and enforce the law. Several other states such as Virginia and Colorado, have also passed comprehensive privacy laws, and similar laws are being considered in several other states, as well as at the federal and local levels. These developments further complicate compliance efforts, and increase legal risk and compliance costs for us, and the third parties upon whom we rely.</w:t>
      </w:r>
    </w:p>
    <w:p>
      <w:pPr>
        <w:spacing w:after="0" w:line="172"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Outside of the United States, foreign governments are raising similar privacy and data security concerns. In particular, the United Kingdom’s GDPR (“UK GDPR”) imposes strict requirements for processing personal data. For example, under the UK GDPR, companies may face temporary or definitive bans on data processing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86"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other corrective actions; fines of up to 17.5 million pounds or 4% of annual global revenue, whichever is greater; or private litigation related to processing of personal data brought by classes of data subjects or consumer protection organizations authorized at law to represent their interests. In Canada, the Personal Information Protection and Electronic Documents Act (“PIPEDA”) and various related provincial laws, as well as Canada’s Anti-Spam Legislation (“CASL”), may apply to our operations.</w:t>
      </w:r>
    </w:p>
    <w:p>
      <w:pPr>
        <w:spacing w:after="0" w:line="18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the ordinary course of business, we may transfer personal data from the United Kingdom (UK), Canada, Australia and other jurisdictions to the United States or other countries. The UK and other jurisdictions have enacted laws requiring data to be localized or limiting the transfer of personal data to other countries. In particular, the UK has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UK to the United States in compliance with law, such as the UK’s international data transfer addendum, these mechanisms are subject to legal challenges, and there is no assurance that we can satisfy or rely on these measures to lawfully transfer personal data to the United States. If there is no lawful manner for us to transfer personal data from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UK to other jurisdictions, particularly to the United States, are subject to increased scrutiny from regulators, individual litigants, and activist groups.</w:t>
      </w:r>
    </w:p>
    <w:p>
      <w:pPr>
        <w:spacing w:after="0" w:line="174"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are also bound by contractual obligations related to data privacy and security, and our efforts to comply with such obligations may not be successful. For example, certain privacy laws, such as the UK GDPR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6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spacing w:after="0" w:line="195"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w:t>
      </w:r>
    </w:p>
    <w:p>
      <w:pPr>
        <w:spacing w:after="0" w:line="17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Any of these events could have a material adverse effect on our reputation, business, or financial condition, including but not limited to: loss of customers; interruptions or stoppages in our business operations;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86"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Contracts with U.S. government entities subject us to risks including early termination, audits, investigations, sanctions and penalties.</w:t>
      </w:r>
    </w:p>
    <w:p>
      <w:pPr>
        <w:spacing w:after="0" w:line="12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We have several contracts with various government entities, including contracts with NASA, the Defense Advanced Research Project Agency, and the Department of Energy, among others, and we may enter into additional contracts with U.S. government entities in the future, which subjects our business to statutes and regulations applicable to companies doing business with the government, including the Federal Acquisition Regulation. These government contracts customarily contain provisions that give the government substantial rights and remedies, many of which are not typically found in commercial contracts and which are unfavorable to contractors. For instance,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for any extra costs incurred by the government in procuring undelivered items from another source.</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addition, government contracts normally contain additional requirements that may increase our costs of doing business, reduce our profits, and expose us to liability for failure to comply with these terms and conditions. These requirements include, for example:</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specialized disclosure and accounting requirements unique to government contracts;</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disclosures of certain contract and company information;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mandatory socioeconomic compliance requirements, including labor requirements, non-discrimination and affirmative action programs and environmental compliance requirements.</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Government contracts are also generally subject to greater scrutiny by the government, which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Federal Civil False Claims Act (including treble damages and other penalties), or criminal law. In particular, the False Claims Act’s “whistleblower” provisions also allow private individuals, including present and former employees, to sue on behalf of the U.S. government. Any penalties, damages, fines or suspension could adversely affect our ability to operate our business and our financial results.</w:t>
      </w:r>
    </w:p>
    <w:p>
      <w:pPr>
        <w:spacing w:after="0" w:line="28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anti-bribery and similar laws, and non-compliance with such laws can subject us to criminal or civil liability and harm our business.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are subject to the U.S. Foreign Corrupt Practices Act of 1977, as amended, the U.S. domestic bribery statute contained in 18 U.S.C. § 201, the U.S. Travel Act, and other anti-bribery, and anti-corruption laws in countries in which we conduct activities. Anti-corruption and anti-bribery laws have been enforced aggressively in recent years and are interpreted broadly to generally prohibit companies, their employees, and their third-party intermediaries from authorizing, promising, offering, providing, soliciting, or accepting, directly or indirectly, improper payments or benefits to or from any person whether in the public or private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and of our employees, representatives, contractors, partners, and agents, even if we do not explicitly authorize such activities. We cannot provide any assurance that all of our employees and agents will not take actions in violation of our policies and applicable law, for which we may be ultimately held responsible.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86"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w:t>
      </w:r>
    </w:p>
    <w:p>
      <w:pPr>
        <w:spacing w:after="0" w:line="26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products and technologies are subject to U.S. export control and import laws and regulations, including the U.S. Export Administration Regulations, U.S. Customs regulations, and various economic and trade sanctions regulations administered by the U.S. Treasury Department’s Office of Foreign Assets Controls. U.S. export control and economic sanctions laws include restrictions or prohibitions on the sale or supply of certain products, technologies, and services to U.S. Government embargoed or sanctioned countries, governments, persons and entities. In addition, certain products and technology may be subject to export licensing or approval requirements. Exports of our products and technology must be made in compliance with export control and sanctions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6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In addition, changes in our products or technologies or changes in applicable export or import laws and regulations may create delays in the introduction and sale of our products and technologies in international markets or, in some cases, prevent the export or import of our products and technologies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technologies, or in our decreased ability to export or sell our products and technologies to existing or potential customers. Any decreased use of our products and technologies or limitation on our ability to export or sell our products and technologies would likely adversely affect our business, financial condition and results of operations.</w:t>
      </w:r>
    </w:p>
    <w:p>
      <w:pPr>
        <w:spacing w:after="0" w:line="17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expect to incur significant costs in complying with these regulations. Regulations related to quantum computing are currently evolving and we face risks associated with changes to these regulations.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exposed to risks associated with litigation, investigations and regulatory proceedings.</w:t>
      </w:r>
    </w:p>
    <w:p>
      <w:pPr>
        <w:spacing w:after="0" w:line="11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We may in the future face legal, administrative and regulatory proceedings, claims, demands and/or investigations involving stockholder, consumer, competition and/or other issues relating to our business on a global basis. Litigation and regulatory proceedings are inherently uncertain, and adverse rulings could occur, including monetary damages, or an injunction stopping us 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w:t>
      </w:r>
    </w:p>
    <w:p>
      <w:pPr>
        <w:spacing w:after="0" w:line="16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various exclusions as well as caps on amounts recoverable.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86"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Even if we believe a claim is covered by insurance, insurers may dispute our entitlement to recovery for a variety of potential reasons, which may affect the timing and, if the insurers prevail, the amount of our recovery.</w:t>
      </w:r>
    </w:p>
    <w:p>
      <w:pPr>
        <w:spacing w:after="0" w:line="2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may become subject to product liability claims, even those without merit, which could harm our business prospects, operating results, and financial condition. We may face inherent risk of exposure to claims in the event our quantum computers do not perform as expected or malfunction. A successful product liability claim against us could require us to pay a substantial monetary award. Moreover, a product liability claim could generate substantial negative publicity about our quantum computers and business and inhibit or prevent 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spacing w:after="0" w:line="28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are subject to requirements relating to environmental and safety regulations and environmental remediation matters which could adversely affect our business, results of operations and reputation.</w:t>
      </w:r>
    </w:p>
    <w:p>
      <w:pPr>
        <w:spacing w:after="0" w:line="62"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w:t>
      </w:r>
    </w:p>
    <w:p>
      <w:pPr>
        <w:spacing w:after="0" w:line="171" w:lineRule="exact"/>
        <w:rPr>
          <w:sz w:val="20"/>
          <w:szCs w:val="20"/>
          <w:color w:val="auto"/>
        </w:rPr>
      </w:pPr>
    </w:p>
    <w:p>
      <w:pPr>
        <w:jc w:val="both"/>
        <w:ind w:left="120" w:right="620"/>
        <w:spacing w:after="0" w:line="263" w:lineRule="auto"/>
        <w:rPr>
          <w:sz w:val="20"/>
          <w:szCs w:val="20"/>
          <w:color w:val="auto"/>
        </w:rPr>
      </w:pPr>
      <w:r>
        <w:rPr>
          <w:rFonts w:ascii="Arial" w:cs="Arial" w:eastAsia="Arial" w:hAnsi="Arial"/>
          <w:sz w:val="18"/>
          <w:szCs w:val="18"/>
          <w:color w:val="auto"/>
        </w:rPr>
        <w:t>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spacing w:after="0" w:line="184"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Our manufacturing process will have hazards such as but not limited to hazardous materials, machines with moving parts, and high voltage and/or high current electrical systems typical of large manufacturing equipment and related safety incidents.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our brand, finances, or ability to operate.</w:t>
      </w:r>
    </w:p>
    <w:p>
      <w:pPr>
        <w:spacing w:after="0" w:line="265"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New tax laws, statutes, rules, regulations, or ordinances could be enacted at any time. For instance, the recently enacted Inflation Reduction Act imposes, among other rules, a 15% minimum tax on the book income of certain large corporations and a 1% excise tax on certain corporate stock repurchases. Further, existing tax laws, statutes, rules, regulations, or ordinances could be interpreted differently, changed, repealed, or modified at any time. Any such enactment, interpretation, change, repeal, or modification could adversely affect us, possibly with retroactive effect. In particular, changes in corporate tax rates, the realization of our net deferred tax assets, the taxation of foreign earnings, and the deductibility of expenses under the Tax Cuts and Jobs Act, as amended by the Coronavirus Aid, Relief, and Economic Security Act or any future tax reform legislation, could have a material impact on the value of our deferred tax assets, result in significant one-time charges, and increase our future tax expenses.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86"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Our failure to obtain, maintain and protect our intellectual property rights could impair our ability to protect and commercialize our proprietary products and technology and cause us to lose our competitive advantage.</w:t>
      </w:r>
    </w:p>
    <w:p>
      <w:pPr>
        <w:spacing w:after="0" w:line="62"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Our success depends, in significant part, on our ability to obtain, maintain, enforce and defend our intellectual property rights, including patents and trade secrets. We rely upon a combination of the intellectual property protections afforded by patent, copyright,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6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However, we may not be able to prevent unauthorized use of our intellectual property. Our trade secrets may also be compromised, which could cause us to lose our competitive advantage. Third parties may attempt to copy or otherwise obtain, use or infringe our intellectual property.</w:t>
      </w:r>
    </w:p>
    <w:p>
      <w:pPr>
        <w:spacing w:after="0" w:line="146"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Monitoring and detecting unauthorized use of our intellectual property is difficult and costly, and the steps we have taken or will take to prevent infringement or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and third parties may develop competitive offerings in a manner that leaves us with limited means to enforce our intellectual property rights against them.</w:t>
      </w:r>
    </w:p>
    <w:p>
      <w:pPr>
        <w:spacing w:after="0" w:line="161"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Patent, copyright, trademark and trade secret laws vary significantly throughout the world.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outside of the United States.</w:t>
      </w:r>
    </w:p>
    <w:p>
      <w:pPr>
        <w:spacing w:after="0" w:line="18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w:t>
      </w:r>
    </w:p>
    <w:p>
      <w:pPr>
        <w:spacing w:after="0" w:line="29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Our inability to secure patent protection or enforce our patent rights could have a material adverse effect on our ability to prevent others from commercializing similar products or technology.</w:t>
      </w:r>
    </w:p>
    <w:p>
      <w:pPr>
        <w:spacing w:after="0" w:line="62" w:lineRule="exact"/>
        <w:rPr>
          <w:sz w:val="20"/>
          <w:szCs w:val="20"/>
          <w:color w:val="auto"/>
        </w:rPr>
      </w:pPr>
    </w:p>
    <w:p>
      <w:pPr>
        <w:ind w:left="120" w:right="280"/>
        <w:spacing w:after="0" w:line="272" w:lineRule="auto"/>
        <w:rPr>
          <w:sz w:val="20"/>
          <w:szCs w:val="20"/>
          <w:color w:val="auto"/>
        </w:rPr>
      </w:pPr>
      <w:r>
        <w:rPr>
          <w:rFonts w:ascii="Arial" w:cs="Arial" w:eastAsia="Arial" w:hAnsi="Arial"/>
          <w:sz w:val="17"/>
          <w:szCs w:val="17"/>
          <w:color w:val="auto"/>
        </w:rPr>
        <w:t>The application and registration of patents involves complex legal and factual questions. As a result, we cannot be certain that the patent applications that we file will result in patents being issued, or that our patents and any future patents that do issue will afford protection against competitors with similar technology. Numerous patents and pending patent applications owned by others exist in the fields in which we have developed and are developing our technology, and this may make it difficult for us to obtain certain patent coverage on our own. Any of our existing or pending patents may also be challenged by others on the basis that they are otherwise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7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Even if our patent applications succeed, it is still uncertain whether these patents will be contested, circumvented, invalidated or limited in scope in the future. The rights granted under any issued patents may not provide us with meaningful protection or competitive advantages. The intellectual property rights of others could bar us from licensing and exploiting any patents that issue from our pending applications, and the claims under any patents that issue from our patent applications may not be broad enough to prevent others from developing technologies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86"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that are similar or that achieve results similar to ours. In addition, patents issued to us may be infringed upon or designed around by others and others may obtain patents that it needs to license or design around, either of which would increase costs and may adversely affect our business, prospects, financial condition and operating results.</w:t>
      </w:r>
    </w:p>
    <w:p>
      <w:pPr>
        <w:spacing w:after="0" w:line="292"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We may face patent infringement and other intellectual property claims that could be costly to defend, result in injunctions and significant damage awards, or limit our ability to use certain key technologies in the future, all of which could harm our business.</w:t>
      </w:r>
    </w:p>
    <w:p>
      <w:pPr>
        <w:spacing w:after="0" w:line="3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For example, there may be issued patents of which we are unaware, held by third parties that, if found to be valid and enforceable, could be alleged to be infringed by our current or future products, services or technologies. Also,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The strength of our defenses will depend on the rights asserted, the interpretation of these rights, and our ability to invalidate the asserted rights. However, we could be unsuccessful in advancing non-infringement and/or invalidity arguments in our defense.</w:t>
      </w:r>
    </w:p>
    <w:p>
      <w:pPr>
        <w:spacing w:after="0" w:line="192"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third-party claims against their use. In addition, as compared to us, many companies have the capability to dedicate substantially greater resources to enforce their intellectual property rights and to defend claims that may be brought against them. If a third party is able to obtain an injunction preventing us from using or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Even if the claims do not result in litigation or are resolved in our favor, these claims, and the time and resources necessary to resolve them, could divert the resources of our management and harm our business and operating results. Further, there could be public announcements of the intellectual property litigation, and if securities analysts, investors or others perceive the potential impact to be negative or risks to be substantial, it could have an adverse effect on the price of our Common Stock.</w:t>
      </w:r>
    </w:p>
    <w:p>
      <w:pPr>
        <w:spacing w:after="0" w:line="73" w:lineRule="exact"/>
        <w:rPr>
          <w:sz w:val="20"/>
          <w:szCs w:val="20"/>
          <w:color w:val="auto"/>
        </w:rPr>
      </w:pPr>
    </w:p>
    <w:p>
      <w:pPr>
        <w:ind w:left="1080" w:right="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intellectual property litigation to which we might become a party, or for which we are required to provide indemnification, regardless of the merit of the claim or our defenses, may require us to do one or more of the following:</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selling or using solutions or services that incorporate the intellectual property rights that allegedly infringe, misappropriate or violate the intellectual property of a third 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redesign the allegedly infringing solutions to avoid infringement, misappropriation or violation, which could be costly, time-consuming or impossible;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indemnify third parties using our products or services.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86"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The occurrence of infringement claims may grow as the market for our products, services and technologies grows. Accordingly, our exposure to damages resulting from infringement claims could increase and this could further exhaust our financial and management resources.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rely on certain open-source software in our quantum systems. If licensing terms change, our business may be adversely affected.</w:t>
      </w:r>
    </w:p>
    <w:p>
      <w:pPr>
        <w:spacing w:after="0" w:line="1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platform utilizes software licensed to us by third-party authors under “open-source” licenses and we expect to continue to utilize open-source software in the future. The use of open-source software may entail greater risks than the use of third-party commercial software, as open-source licensors generally do not provide warranties or other contractual protections regarding infringement claims or the quality of the code. To the extent that our platform depends upon the successful operation of the open-source software we use, any undetected errors or defects in this open-source software could prevent the deployment or impair the functionality of our platform, delay new solution introductions, result in a failure of our platform and injure our reputation. For example, undetected errors or defects in open-source software could render us vulnerable to breaches or security attacks, and, in conjunction, make our systems more vulnerable to data breaches.</w:t>
      </w:r>
    </w:p>
    <w:p>
      <w:pPr>
        <w:spacing w:after="0" w:line="177"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Furthermore, some open-source licenses require the release of proprietary source code combined with, linked to or distributed with such open-source software to be released to the public. If we combine, link or distribute our proprietary software with open-source software in a specific manner, we could, under some open-source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157"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Although we monitor our use of open-source software to avoid subjecting our platform to conditions we do not intend to attach to such platform or our proprietary code, we cannot assure you that our processes for controlling such use will be effective. If we are held to have breached the terms of an open-source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 This could allow our competitors to create similar solutions with lower development effort and time and ultimately put us at a competitive disadvantage.</w:t>
      </w:r>
    </w:p>
    <w:p>
      <w:pPr>
        <w:spacing w:after="0" w:line="286"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b w:val="1"/>
          <w:bCs w:val="1"/>
          <w:i w:val="1"/>
          <w:iCs w:val="1"/>
          <w:color w:val="auto"/>
        </w:rPr>
        <w:t>Some of our intellectual property has been or may be conceived or developed through government-funded research and thus may be subject to federal regulations providing for certain rights for the U.S. government or imposing certain obligations on us, such as a license to the U.S. government under such intellectual property, “march-in” rights, certain reporting requirements and a preference for U.S.-based companies, and compliance with such regulations may limit our exclusive rights and our ability to contract with non-U.S. manufacturers.</w:t>
      </w:r>
    </w:p>
    <w:p>
      <w:pPr>
        <w:spacing w:after="0" w:line="4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As a result, the U.S. government may have certain rights to intellectual property embodied in our current or future product candidates pursuant to the Bayh-Dole Act of 1980, or the Patent and Trademark Law Amendments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86" w:right="4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addition, the U.S. government requires that any products embodying any of these inventions or produced through the use of any of these inventions be manufactured substantially in the United States, and some of our license agreements require that we comply with this requirement.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Risks Related to Ownership of Our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Common Stock and Public Warrants has been and may continue to be volatile.</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price of our Common Stock and Public Warrants has been and may continue to be volatile. From March 2, 2022, the date our Common Stock and Public Warrants began trading on Nasdaq, through March 22, 2023, our stock price fluctuated from a high of $11.368 to a low of $0.464, and the price of our Public Warrants fluctuated from a high of $2.20 to a low of $0.0899. As a result of this volatility, investors in our common stock may not be able to sell their shares at or above the prices they paid. Further, as a result of this volatility it may be difficult for us to attract new investments, including additional offerings of our securities, on terms we consider reasonable, or at all. The price of our Common Stock and Public Warrants may fluctuate due to a variety of factors, including, without limitation:</w:t>
      </w:r>
    </w:p>
    <w:p>
      <w:pPr>
        <w:spacing w:after="0" w:line="98"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meet our technological milestones, including any delays;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industries in which we and our customers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 in general;</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and adverse impact of the COVID-19 pandemic or the ongoing military conflict between Russia and Ukraine and the related sanctions imposed against Russia on the markets and the broader global economy;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 including the significant percentage of shares of our Common Stock that may be offered for resale;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42"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 including with respect to our technology roadmap;</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60"/>
          </w:cols>
          <w:pgMar w:left="320" w:top="486" w:right="5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actions by institutional or activist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 and</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events or factors, including recessions, increases in inflation and interest rates, disruptions to banking systems, foreign currency fluctuations, international tariffs, social, political and economic risks, natural disasters, acts of war (including the conflict involving Russia and Ukraine), terrorism or responses to such events.</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These market and industry factors may materially reduce the market price of our Common Stock and our Public Warrants regardless of the operating performance of the Company. In the past, following periods of market volatility, stockholders have instituted securities class action litigation. If we are involved in securities litigation, it could have a substantial cost and divert resources and the attention of executive management from our business regardless of the outcome of such litigation.</w:t>
      </w:r>
    </w:p>
    <w:p>
      <w:pPr>
        <w:spacing w:after="0" w:line="29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may fail to comply with the rules that apply to public companies, including Section 404 of the Sarbanes-Oxley Act, which could result in sanctions or other penalties that would adversely impact our business.</w:t>
      </w:r>
    </w:p>
    <w:p>
      <w:pPr>
        <w:spacing w:after="0" w:line="6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including costs resulting from public company reporting obligations under the Securities Act or the Exchange Act, and regulations regarding corporate governance practices. The Sarbanes-Oxley Act, the Dodd-Frank Wall Street Reform and Consumer Protection Act, the rules of the SEC, the listing requirements of the Nasdaq, and other applicable securities rules and regulations impose various requirements on public companies, including establishment and maintenance of effective disclosure and financial controls and corporate governance practices. We have begun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recently becoming a public company or the timing of such costs.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90"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Pursuant to Sarbanes-Oxley Act Section 404, we will be required to furnish a report by our management on our internal control over financial reporting in our Annual Reports on Form 10-K with the SEC. In order to continue to maintain effective internal controls to support growth and public company requirements, we will need additional financial personnel, systems and resources. However, while we remain an emerging growth company, we are not required to include an attestation report on internal control over financial reporting issued by our independent registered public accounting firm. To achieve compliance with Sarbanes-Oxley Act Section 404 within the prescribed period, we will be engaged in a process to enhance our documentation and evaluate our internal control over financial reporting, which is both costly and challenging. In this regard, we will need to</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86" w:right="4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in the future, within the prescribed timeframe or at all, that our internal control over financial reporting is effective as required by Sarbanes-Oxley Act Section 404. We have identified material weaknesses with respect to our internal control over financial reporting. See </w:t>
      </w:r>
      <w:r>
        <w:rPr>
          <w:rFonts w:ascii="Arial" w:cs="Arial" w:eastAsia="Arial" w:hAnsi="Arial"/>
          <w:sz w:val="17"/>
          <w:szCs w:val="17"/>
          <w:i w:val="1"/>
          <w:iCs w:val="1"/>
          <w:color w:val="auto"/>
        </w:rPr>
        <w:t>We have identified material weaknesses in our internal control over financial reporting related to the lack of effective review controls over</w:t>
      </w:r>
      <w:r>
        <w:rPr>
          <w:rFonts w:ascii="Arial" w:cs="Arial" w:eastAsia="Arial" w:hAnsi="Arial"/>
          <w:sz w:val="17"/>
          <w:szCs w:val="17"/>
          <w:color w:val="auto"/>
        </w:rPr>
        <w:t xml:space="preserve"> </w:t>
      </w:r>
      <w:r>
        <w:rPr>
          <w:rFonts w:ascii="Arial" w:cs="Arial" w:eastAsia="Arial" w:hAnsi="Arial"/>
          <w:sz w:val="17"/>
          <w:szCs w:val="17"/>
          <w:i w:val="1"/>
          <w:iCs w:val="1"/>
          <w:color w:val="auto"/>
        </w:rPr>
        <w:t>the accounting for complex financial instruments and to the design and operation of our overall closing and financial reporting processes, and we may identify additional material weaknesses in the future. The material weakness over accounting for complex financial instruments has resulted in errors in financial statements for prior periods. If we fail to remediate such material weaknesses,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r>
        <w:rPr>
          <w:rFonts w:ascii="Arial" w:cs="Arial" w:eastAsia="Arial" w:hAnsi="Arial"/>
          <w:sz w:val="17"/>
          <w:szCs w:val="17"/>
          <w:color w:val="auto"/>
        </w:rPr>
        <w:t>.</w:t>
      </w:r>
    </w:p>
    <w:p>
      <w:pPr>
        <w:spacing w:after="0" w:line="2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We have incurred and will continue to incur substantial costs as a result of operating as a public company, and our management will continue to devote substantial time to new compliance initiatives. In addition, key members of our management team have limited experience managing a public company.</w:t>
      </w:r>
    </w:p>
    <w:p>
      <w:pPr>
        <w:spacing w:after="0" w:line="76"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As a public company, we incur substantial legal, accounting, and other expenses that we did not incur as a private company. For example, we are subject to the reporting requirements of the Exchange Act, the applicable requirements of the Sarbanes-Oxley Act, the Dodd-Frank Wall Street Reform and Consumer Protection Act, the rules and regulations of the SEC and the listing standards of Nasdaq. The Exchange Act requires, among other things, that we file annual, quarterly, and current reports with respect to our business, financial condition and results of operations. Compliance with these rules and regulations increase our legal and financial compliance costs and increase demand on our systems, particularly after we are no longer an emerging growth company. In addition, as a public company, we may be subject to shareholder activism, which can lead to additional substantial costs, distract management and impact the manner in which we operate our business in ways we cannot currently anticipate. As a result of disclosure of information in this Annual Report on Form 10-K and in filings required of a public company, our business and financial condition are more visible, which may result in threatened or actual litigation, including by competitors.</w:t>
      </w:r>
    </w:p>
    <w:p>
      <w:pPr>
        <w:spacing w:after="0" w:line="18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Certain members of our management team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the business, which could adversely affect our business, financial condition, and results of operations.</w:t>
      </w:r>
    </w:p>
    <w:p>
      <w:pPr>
        <w:spacing w:after="0" w:line="30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executive officers, directors and their respective affiliates may limit other stockholders’ ability to influence corporate matters and delay or prevent a third party from acquiring control over us.</w:t>
      </w:r>
    </w:p>
    <w:p>
      <w:pPr>
        <w:spacing w:after="0" w:line="62"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Our current executive officers and directors and their respective affiliates beneficially own, in the aggregate, approximately 24.6% of our outstanding Common Stock as of March 1, 2023. This significant concentration of ownership may have a negative impact on the trading price for our Common Stock because investors often perceive disadvantages in owning stock in companies where there is a concentration of ownership in a small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86"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number of stockholders. In addition, these stockholders will be able to exercise influence over all matters requiring stockholder approval, including the election of directors and approval of corporate transactions, such as a merger or other sale of us or our assets. This concentration of ownership could limit other stockholders’ ability to influence corporate matters and may have the effect of delaying or preventing a change in control, including a merger, consolidation or other business combination, or discouraging a potential acquirer from making a tender offer or otherwise attempting to obtain control, even if that change in control would benefit the other stockholders.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currently intend to retain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295"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Our quarterly operating results have and may fluctuate significantly and could fall below the expectations of securities analysts and investors due to seasonality and other factors, some of which are beyond our control, resulting in a decline in our stock price.</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quarterly operating results have and may fluctuate significantly because of several factors, including:</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labor availability and costs for hourly and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profitability of our products, especially in new markets and due to seasonal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publicity relating to products we serve;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to new markets.</w:t>
      </w:r>
    </w:p>
    <w:p>
      <w:pPr>
        <w:spacing w:after="0" w:line="33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securities.</w:t>
      </w:r>
    </w:p>
    <w:p>
      <w:pPr>
        <w:spacing w:after="0" w:line="6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Securities research analysts have and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If analysts cease coverage of us, the market price and volume for our securities could be adversely affected.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86"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b w:val="1"/>
          <w:bCs w:val="1"/>
          <w:i w:val="1"/>
          <w:iCs w:val="1"/>
          <w:color w:val="auto"/>
        </w:rPr>
        <w:t>There can be no assurance that we will regain compliance with the continued listing standards of Nasdaq. If we fail to cure our current deficiency and regain compliance with the listing requirements of the Nasdaq Capital Market or fail to comply with such listing requirements in the future or fail to cure any future deficiencies, we may be delisted and the price of our common stock and our ability to access the capital markets would be negatively impacted.</w:t>
      </w:r>
    </w:p>
    <w:p>
      <w:pPr>
        <w:spacing w:after="0" w:line="7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Our common stock is currently listed for quotation on the Nasdaq Capital Market. To maintain the listing of our common stock on the Nasdaq Capital Market, we are required to meet certain listing requirements, including, among others:</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minimum closing bid price of $1.00 per share, and</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market value of publicly held shares (excluding shares held by our officers, directors and 10% or more stockholders) of at least $1.0 million.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the above requirements, we must meet at least one of the following requirements:</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stockholders’ equity of at least $2.5 million;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market value of listed securities of at least $35 million;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income from continuing operations of $500,000.</w:t>
      </w:r>
    </w:p>
    <w:p>
      <w:pPr>
        <w:spacing w:after="0" w:line="225"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On January 25, 2023, we received a letter from the Listing Qualifications Department of Nasdaq, indicating that, based on the closing bid price for the previous 30 consecutive business days, the listing of our common stock was not in compliance with Nasdaq Listing Rule 5550(a)(2) to maintain a minimum bid price of $1.00 per share (the “Bid Price Rule”). Under Nasdaq Listing Rule 5810(c)(3)(A), we were given a period of 180 calendar days, or until July 24, 2023 (the “Compliance Date”), to regain compliance with the Bid Price Rule. If at any time during this 180-day period the closing bid price of our common stock is at least $1.00 for a minimum of ten consecutive business days, we will regain compliance. If we are unable to regain compliance before the Compliance Date, we may be eligible for an additional 180 calendar days to satisfy the Bid Price Rule. To qualify, we will be required to meet the continued listing requirement for market value of publicly held shares and all other initial listing standards for the Nasdaq Capital Market with the exception of the Bid Price Rule, and will need to provide written notice of our intention to cure the deficiency during such additional compliance period, by effecting a reverse stock split, if necessary. However, if it appears to Nasdaq staff that we will not be able to cure the deficiency, or if we are otherwise not eligible for the additional compliance period, and we do not regain compliance by the Compliance Date, the Nasdaq Capital Market will provide written notification to us that our common stock is subject to delisting. At that time, we may appeal the delisting determination to a hearings panel pursuant to the procedures set forth in the applicable Nasdaq Listing Rules. However, there can be no assurance that, if the Company does appeal the delisting determination by Nasdaq to the panel, such appeal would be successful.</w:t>
      </w:r>
    </w:p>
    <w:p>
      <w:pPr>
        <w:spacing w:after="0" w:line="17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There can be no assurance that we will be able to regain compliance with respect to the current deficiency including by effecting a reverse share split, or that we will be able to maintain compliance with the Nasdaq Capital Market continued listing requirements in the future or regain compliance with respect to any future deficiencies. This could impair the liquidity and market price of our common stock. In addition, the delisting of our common stock from a national exchange would have a material adverse effect on our access to capital markets, and any limitation on market liquidity or reduction in the price of our common stock as a result of that delisting would adversely affect our ability to raise capital on terms acceptable to us, or at all. We intend to actively monitor the closing bid price of our listed Common Stock and, as appropriate, will consider available options to resolve the deficiency and regain compliance with the Bid Price Rule, including potentially seeking to effect a reverse share split, if necessary.</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86" w:right="4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“Penny stock” rules may make buying or selling our securities difficult which may make our stock less liquid and make it harder for investors to buy and sell our securities.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Trading in our securities is subject to the SEC’s “penny stock” rules and it is anticipated that trading in our securities will continue to be subject to the penny stock rules for the foreseeable future. The SEC has adopted regulations that generally define a penny stock to be any equity security that has a market price of less than $5.00 per share, subject to certain exceptions. These rules require that any broker-dealer who recommends our securities to persons other than prior customers and accredited investors must, prior to the sale, make a special written suitability determination for the purchaser and receive the purchaser’s written agreement to execute the transaction. Unless an exception is available, the regulations require the delivery, prior to any transaction involving a penny stock, of a disclosure schedule explaining the penny stock market and the risks associated with trading in the penny stock market. In addition, broker-dealers must disclose commissions payable to both the broker-dealer and the registered representative and current quotations for the securities they offer. The additional burdens imposed upon broker-dealers by these requirements may discourage broker-dealers from recommending transactions in our securities, which could severely limit the liquidity of our securities and consequently adversely affect the market price for our securities.</w:t>
      </w:r>
    </w:p>
    <w:p>
      <w:pPr>
        <w:spacing w:after="0" w:line="293" w:lineRule="exact"/>
        <w:rPr>
          <w:sz w:val="20"/>
          <w:szCs w:val="20"/>
          <w:color w:val="auto"/>
        </w:rPr>
      </w:pPr>
    </w:p>
    <w:p>
      <w:pPr>
        <w:ind w:left="120" w:right="240"/>
        <w:spacing w:after="0" w:line="375" w:lineRule="auto"/>
        <w:rPr>
          <w:sz w:val="20"/>
          <w:szCs w:val="20"/>
          <w:color w:val="auto"/>
        </w:rPr>
      </w:pPr>
      <w:r>
        <w:rPr>
          <w:rFonts w:ascii="Arial" w:cs="Arial" w:eastAsia="Arial" w:hAnsi="Arial"/>
          <w:sz w:val="15"/>
          <w:szCs w:val="15"/>
          <w:b w:val="1"/>
          <w:bCs w:val="1"/>
          <w:i w:val="1"/>
          <w:iCs w:val="1"/>
          <w:color w:val="auto"/>
        </w:rPr>
        <w:t>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w:t>
      </w:r>
    </w:p>
    <w:p>
      <w:pPr>
        <w:spacing w:after="0" w:line="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at a price that it deems appropriate. Resales of our securities may cause the market price of our securities to drop significantly, even if our business is doing well.</w:t>
      </w:r>
    </w:p>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market price of our Common Stock could decline if holders of our shares sell them, including pursuant to the resale registration statements, or are perceived by the market as intending to sell them.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7"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Pursuant to registration rights we have with certain holders of our securities, we filed a resale shelf registration statement covering the resale of up to an aggregate of 96,941,181 shares of our Common Stock, which was declared effective on June 1, 2022. We have also agreed to register the resale of 1,000,000 shares of our Common Stock issued or issuable upon exercise of the Ampere Warrant. As of March 1, 2023, the number of shares of our Common Stock that have been registered for resale by holders represented approximately 61.58% of our shares outstanding (after giving effect to the issuance of shares upon exercise of outstanding Public Warrants, Private Warrants, the exercise or settlement of outstanding warrants, options or restricted stock units of Legacy Rigetti assumed in the Business Combination and exercise of the Ampere Warrant in full). In addition, on August 11, 2022, we entered into a Common Stock Purchase Agreement (the “Purchase Agreement”) and a Registration Rights Agreement (the “Registration Rights Agreement”) with B. Riley Principal Capital II, LLC (“B. Riley”). Pursuant to the Purchase Agreement, subject to the satisfaction of the conditions set forth in the Purchase Agreement, we have the right to sell shares of our common stock in an aggregate amount up to the lesser of (i) $75.0 million and (ii) an amount not to exceed 23,648,889 shares of our common stock, subject to certain limitations and conditions. We filed a registration statement on Form S-1 under the Securities Act to register the resale of shares of common stock sold pursuant to the Purchase Agreement, which became effective on September 14, 2022. Given this substantial number of shares available for resale, the sale of shares by such holders, or the perception in the market that holders of a large number of shares intend to sell shares, could increase the volatility of the market price of our common stock or result in a significant decline in the public trading price of our common stock. Even if our trading price is significantly below $10.00, the offering price for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86"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units offered in Supernova’s IPO, certain holders of our securities may still have an incentive to sell shares of our common stock because they purchased the shares at prices lower than the public investors or the current trading price of our common stock. Further, the purchase price for the shares that we may sell to B. Riley under our committed equity financing will fluctuate based on the price of our common stock. Depending on market liquidity at the time, sales of such shares may cause the trading price of our common stock to fall. If and when we do sell shares to B. Riley, after B. Riley has acquired the shares, B. Riley may resell all, some, or none of those shares at any time or from time to time in its discretion. Therefore, sales to B. Riley by us could result in substantial dilution to the interests of other holders of our common stock. Additionally, the sale of a substantial number of shares of our common stock to B. Riley, or the anticipation of such sales, could make it more difficult for us to sell equity or equity-related securities in the future at a time and at a price that we might otherwise wish to effect sales. The decision to sell any shares of our common stock to sell to B. Riley under the committed equity financing will depend on market conditions, the trading prices of our common stock and other considerations, and we cannot guarantee the extent to which we may utilize the committed equity financing.</w:t>
      </w:r>
    </w:p>
    <w:p>
      <w:pPr>
        <w:spacing w:after="0" w:line="293"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Future issuances of debt securities and equity securities may adversely affect us, including the market price of our Common Stock and may be dilutive to existing stockholders.</w:t>
      </w:r>
    </w:p>
    <w:p>
      <w:pPr>
        <w:spacing w:after="0" w:line="62"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We expect that significant additional capital will be needed in the near future to continue our planned operations. In the future, we may incur debt or issue equity ranking senior to our Common Stock.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Common Stock.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Common Stock and be dilutive to existing stockholders. In addition, our ability to raise additional capital through the sale of equity or convertible debt securities could be significantly impacted by the resale of shares of Common Stock by selling securityholders which could result in a significant decline in the trading price of our Common Stock and potentially hinder our ability to raise capital at terms that are acceptable to us or at all.</w:t>
      </w:r>
    </w:p>
    <w:p>
      <w:pPr>
        <w:spacing w:after="0" w:line="16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In addition, we may issue additional shares of Common Stock from time to time, including under our equity incentive plans or employee stock purchase plan, or preferred stock. Common Stock reserved for future issuance under our equity incentive plans will become eligible for sale in the public market once those shares are issued, subject to provisions relating to various vesting agreements and, in some cases, limitations on volume and manner of sale applicable to affiliates under Rule 144, as applicable. The aggregate number of shares of our Common Stock initially reserved for future issuance under the Rigetti Computing, Inc. 2022 Equity Incentive Plan (the “2022 Plan”) is 18,332,215 shares. We have filed a registration statement on Form S-8 under the Securities Act, which became effective on June 10, 2022, to register the issuance of the 18,332,215 shares reserved under the 2022 Plan, the issuance of Common Stock under the Rigetti Computing, Inc. 2022 Employee Stock Purchase Plan (the “Employee Stock Purchase Plan”), which has an initial reserve of 3,055,370 shares, the resale of up to 18,367,696 shares subject to equity awards issued under the Rigetti &amp; Co, Inc. 2013 Equity Incentive Plan (the “2013 Plan”) and the resale of up to 2,053 shares subject to equity awards issued under QxBranch, Inc. 2018 Equity Compensation Plan (the “QxBranch Plan”). We have also filed post-effective amendments to this registration statement on Form S-8, which became effective on June 15, 2022 and August 19, 2022, to add “control securities” acquired by certain executive officers under, and since the filing of, the original registration statement on Form S-8. In addition, we may file one or more registration statements on Form S-8 under the Securities Act to register additional shares of Common Stock or securities convertible into or exchangeable for shares of Common Stock issued pursuant to our equity incentive plans and employee stock purchase plan, including additional registration statements on Form S-8 to register additional shares of Common Stock pursuant to the “evergreen” provision under the 2022 Plan, which provides for an annual increase under such plan on January 1 of each year for a period of ten years commencing on January 1, 2023 and ending on (and including) January 1, 2032 by an amount equal to (i) 5% of the total number of shares of our capital stock</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86"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outstanding on a fully diluted basis on December 31 of the preceding year or (ii) a lesser amount determined by our board of directors, and the “evergreen” provision under the Employee Stock Purchase Plan, which provides for an annual increase under such plan on January 1 of each year for a period of ten years commencing on January 1, 2023 and ending on (and including) January 1, 2032 by an amount equal to the lesser of (i) 1% of the total number of shares of our capital stock outstanding on a fully diluted basis on December 31st of the preceding calendar year, (ii) 3,055,370 shares of Common Stock or (iii) a lesser amount determined by our board of directors. Any such Form S-8 registration statements will automatically become effective upon filing. Accordingly, shares registered under such registration statements may be immediately available for sale in the open market.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Sales of a substantial number of shares of our Common Stock in the public market could occur at any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such issuances of additional shares of Common Stock or preferred stock:</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Common Stock.</w:t>
      </w:r>
    </w:p>
    <w:p>
      <w:pPr>
        <w:spacing w:after="0" w:line="333"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We are currently an “emerging growth company” and “smaller reporting company” within the meaning of the Securities Act, and to the extent we have taken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23"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June 30, in which case we would no longer be an emerging growth company as of the following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60"/>
          </w:cols>
          <w:pgMar w:left="320" w:top="486" w:right="51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5"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6"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Our Certificate of Incorporation and bylaws of the Company (the “Bylaws”) and the General Corporation Law of the State of Delaware (“DGCL”) contain provisions that could have the effect of rendering more difficult, delaying, or preventing an acquisition deemed undesirable by the board of directors of Rigetti (the “Board”) and therefore depress the trading price of our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the Certificate of Incorporation and Bylaws include provisions regarding:</w:t>
      </w:r>
    </w:p>
    <w:p>
      <w:pPr>
        <w:spacing w:after="0" w:line="67"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30" w:lineRule="exact"/>
        <w:rPr>
          <w:rFonts w:ascii="Arial" w:cs="Arial" w:eastAsia="Arial" w:hAnsi="Arial"/>
          <w:sz w:val="18"/>
          <w:szCs w:val="18"/>
          <w:color w:val="auto"/>
        </w:rPr>
      </w:pPr>
    </w:p>
    <w:p>
      <w:pPr>
        <w:ind w:left="1080" w:right="520" w:hanging="424"/>
        <w:spacing w:after="0" w:line="34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ability of the Board to issue up to 10,000,000 shares of preferred stock, including “blank check” preferred stock, with any rights, preferences and privileges as they may designate, including the right to approve an acquisition or other change of control;</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subject to the rights of the holders of any series of preferred stock, any individual director or directors may be removed only with cause by the affirmative vote of the holders of at least 66 2/3% of the voting power of all of the then-outstanding shares of our capital stock entitled to vote generally in the election of directors, voting together as a single class;</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by the chairperson of the Board, the chief executive officer or by the Board pursuant to a resolution adopted by a majority of the total number of authorized directors;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the Board or management.</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86" w:right="4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b w:val="1"/>
          <w:bCs w:val="1"/>
          <w:i w:val="1"/>
          <w:iCs w:val="1"/>
          <w:color w:val="auto"/>
        </w:rPr>
        <w:t>The Certificate of Incorporation designates the Court of Chancery of the State of Delaware or the United States federal district courts as the sole and exclusive forum for substantially all disputes between us and our stockholders, which could limit our stockholders’ ability to obtain a favorable judicial forum for disputes with us or our directors, officers, stockholders, employees or agents.</w:t>
      </w:r>
    </w:p>
    <w:p>
      <w:pPr>
        <w:spacing w:after="0" w:line="5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Certificate of Incorporation provides that, unless we consent in writing to the selection of an alternative forum, the Court of Chancery of the State of Delaware shall be the sole and exclusive forum for state law claims for (i) any derivative action or proceeding brought on our behalf; (ii) any action asserting a claim of breach of a fiduciary duty owed by any current or former director, officer or other employee, or stockholder of Rigetti to Rigetti or our stockholders, (iii) any action or claim against the Company or any current or former director, officer or other employee or stockholder of the Company, arising out of or pursuant to any provision of the DGCL or the Certificate of Incorporation or the Bylaws, (iv) any action seeking to interpret, apply, enforce or determine the validity of the Certificate of Incorporation or the Bylaws; (v) any action or claim as to which the DGCL confers jurisdiction on the Court of Chancery of the State of Delaware; and (vi) any action against the Company or any current or former director, officer or other employee or stockholder of the Company, governed by the internal-affairs doctrine of the law of the State of Delaware, in all cases to the fullest extent permitted by law. The foregoing provisions will not apply to any claims as to which the Delaware Court of Chancery determines that there is an indispensable party not subject to the jurisdiction of such court, which is rested in the exclusive jurisdiction of a court or forum other than such court (including claims arising under the Exchange Act), or for which such court does not have subject matter jurisdiction, or to any claims arising under the Securities Act and, unless we consent in writing to the selection of an alternative forum, the United States federal district courts will be the sole and exclusive forum for resolving any action asserting a claim arising under the Securities Act.</w:t>
      </w:r>
    </w:p>
    <w:p>
      <w:pPr>
        <w:spacing w:after="0" w:line="186"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or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United States federal district courts shall be the exclusive forum for the resolution of any complaint asserting a cause of action arising under the Securities Act. There is uncertainty as to whether a court would enforce the forum provision with respect to claims under the federal securities laws.</w:t>
      </w:r>
    </w:p>
    <w:p>
      <w:pPr>
        <w:spacing w:after="0" w:line="164"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This choice of forum provision in our Certificate of Incorporation may limit a stockholder’s ability to bring a claim in a judicial forum that it finds favorable for disputes with us or any of our directors, officers, or other employees, which may discourage lawsuits with respect to such claims.</w:t>
      </w:r>
    </w:p>
    <w:p>
      <w:pPr>
        <w:spacing w:after="0" w:line="12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the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Furthermore, investors cannot waive compliance with the federal securities laws and rules and regulations thereunder.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86"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warrants, including our Public Warrants, Private Warrants and other warrants we have issued, are accounted for as liabilities and the changes in value of our Warrants could have a material effect on our financial results.</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assets and liabilities at the date of the financial statements, as well as the reported expenses incurred during the reporting periods. We base our interpretations, estimates and judgments on our historical experience and on various other factors that we believe are reasonable under the circumstances, the results of which form the basis for the preparation of our financial statements. GAAP presentation is subject to interpretation by the SEC, the Financial Accounting Standards Board and various other bodies formed to interpret and create appropriate accounting principles and guidance. If one of these bodies disagrees with our accounting recognition, measurement or disclosure or any of our accounting interpretations, estimates or assumptions, it may have a significant effect on our reported results and may retroactively affect previously reported results.</w:t>
      </w:r>
    </w:p>
    <w:p>
      <w:pPr>
        <w:spacing w:after="0" w:line="165"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w:t>
      </w:r>
    </w:p>
    <w:p>
      <w:pPr>
        <w:spacing w:after="0" w:line="14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Specifically, the SEC Statement focused on certain settlement terms and provisions related to certain tender offers following a business combination, which terms are similar to those contained in the warrant agreement governing our Warrants. As a result of the SEC Statement, Rigetti reevaluated the accounting treatment of the 8,625,000 Public Warrants and 4,450,000 Private Warrants, and determined to classify the Warrants as derivative liabilities measured at fair value, with changes in fair value each period reported in earnings.</w:t>
      </w:r>
    </w:p>
    <w:p>
      <w:pPr>
        <w:spacing w:after="0" w:line="17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As a result, included in Rigetti’s balance sheet as of December 31, 2022 contained in this Annual Report on Form 10-K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statements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 The impact of changes in fair value on earnings may have an adverse effect on the market price of our securities.</w:t>
      </w:r>
    </w:p>
    <w:p>
      <w:pPr>
        <w:spacing w:after="0" w:line="166"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No assurance can be given that additional guidance or new regulations or accounting principles and interpretations will not be released that would require us to reclassify our Warrants as liabilities measured at fair value, with changes in fair value reported each period in earnings and/or require a restatement of our financial statements with respect to treatment of the Warrants.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such restatement of our financial results could, among other potential adverse effects:</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 in us incurring substantial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affect our ability to timely file our periodic reports until the restatement is completed;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divert the attention of our management and employees from managing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 in material changes to our historical and future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 in investors losing confidence in our operating results;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86" w:right="4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us to securities class action litigation;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cause our stock price to decline.</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For example, in connection with the preparation of our Report on Form 10-Q for the quarterly period ended September 30, 2022, the audit committee of our board of directors, based on the recommendation of, and after consultation with, our management, and as discussed with our independent registered public accounting firm, concluded that our previously issued unaudited interim condensed consolidated financial statements for the quarters ended March 31, 2022 and June 30, 2022 could no longer be relied upon and require restatement in order to revise the volatility assumption in the valuation methodology with respect to Sponsor Vesting Shares, revise the fair value for our Private Warrants and correct an immaterial error related to the valuation of the warrant liability with respect to the warrants issued to Trinity Capital Inc., in addition to other matters. As a result, we filed amendments to our Reports Form 10-Q for the quarters ended March 31, 2022 and June 30, 2022 restating our financial statements for such periods and were unable to file our Report on Form 10-Q for the quarter ended September 30, 2022 by the prescribed deadline. See “</w:t>
      </w:r>
      <w:r>
        <w:rPr>
          <w:rFonts w:ascii="Arial" w:cs="Arial" w:eastAsia="Arial" w:hAnsi="Arial"/>
          <w:sz w:val="16"/>
          <w:szCs w:val="16"/>
          <w:i w:val="1"/>
          <w:iCs w:val="1"/>
          <w:color w:val="auto"/>
        </w:rPr>
        <w:t>We have identified material weaknesses in</w:t>
      </w:r>
      <w:r>
        <w:rPr>
          <w:rFonts w:ascii="Arial" w:cs="Arial" w:eastAsia="Arial" w:hAnsi="Arial"/>
          <w:sz w:val="16"/>
          <w:szCs w:val="16"/>
          <w:color w:val="auto"/>
        </w:rPr>
        <w:t xml:space="preserve"> </w:t>
      </w:r>
      <w:r>
        <w:rPr>
          <w:rFonts w:ascii="Arial" w:cs="Arial" w:eastAsia="Arial" w:hAnsi="Arial"/>
          <w:sz w:val="16"/>
          <w:szCs w:val="16"/>
          <w:i w:val="1"/>
          <w:iCs w:val="1"/>
          <w:color w:val="auto"/>
        </w:rPr>
        <w:t>our internal control over financial reporting related to the lack of effective review controls over the accounting for complex financial instruments and to the design and operation of our overall closing and financial reporting processes, and we may identify additional material weaknesses in the future. The material weakness over accounting for complex financial instruments has resulted in errors in financial statements for prior periods. If we fail to remediate such material weaknesses,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r>
        <w:rPr>
          <w:rFonts w:ascii="Arial" w:cs="Arial" w:eastAsia="Arial" w:hAnsi="Arial"/>
          <w:sz w:val="16"/>
          <w:szCs w:val="16"/>
          <w:color w:val="auto"/>
        </w:rPr>
        <w:t>.”</w:t>
      </w:r>
    </w:p>
    <w:p>
      <w:pPr>
        <w:spacing w:after="0" w:line="27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Warrants are exercisable for Common Stock, the exercise of which would increase the number of shares eligible for future resale in the public market and result in dilution to our stockholders.</w:t>
      </w:r>
    </w:p>
    <w:p>
      <w:pPr>
        <w:spacing w:after="0" w:line="6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As a result of the Business Combination being consummated, outstanding Warrants to purchase an aggregate of 13,074,972 shares of Common Stock became exercisable in accordance with the terms of the warrant agreement. These Warrants became exercisable on April 1, 2022. The exercise price of these Warrants is $11.50 per share, or approximately $150.4 million, assuming none of the Warrants are exercised through “cashless” exercise. To the extent such Warrants are exercised, additional shares of Common Stock will be issued, which will result in dilution to the holders of Common Stock and increase the number of shares eligible for resale in the public market. We believe the likelihood that warrant holders will exercise their Warrants, and therefore the amount of cash proceeds that we would receive, is dependent upon the trading price of our Common Stock. If the trading price for our Common Stock is less than $11.50 per share, we believe holders of our Public Warrants and Private Warrants will be unlikely to exercise their Warrants. On March 22, 2023, the last reported sales price of our Common Stock was $0.573 per share.</w:t>
      </w:r>
    </w:p>
    <w:p>
      <w:pPr>
        <w:spacing w:after="0" w:line="178"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Sales of substantial numbers of such shares in the public market or the fact that such Warrants may be exercised could adversely affect the market price of Common Stock. However, there is no guarantee that the Public Warrants will ever be in the money prior to their expiration, and as such, the warrants may expire worthless. See “</w:t>
      </w:r>
      <w:r>
        <w:rPr>
          <w:rFonts w:ascii="Arial" w:cs="Arial" w:eastAsia="Arial" w:hAnsi="Arial"/>
          <w:sz w:val="16"/>
          <w:szCs w:val="16"/>
          <w:i w:val="1"/>
          <w:iCs w:val="1"/>
          <w:color w:val="auto"/>
        </w:rPr>
        <w:t>The warrants may never be in the money, and they may expire worthless and the terms of the Public Warrants may be</w:t>
      </w:r>
      <w:r>
        <w:rPr>
          <w:rFonts w:ascii="Arial" w:cs="Arial" w:eastAsia="Arial" w:hAnsi="Arial"/>
          <w:sz w:val="16"/>
          <w:szCs w:val="16"/>
          <w:color w:val="auto"/>
        </w:rPr>
        <w:t xml:space="preserve"> </w:t>
      </w:r>
      <w:r>
        <w:rPr>
          <w:rFonts w:ascii="Arial" w:cs="Arial" w:eastAsia="Arial" w:hAnsi="Arial"/>
          <w:sz w:val="16"/>
          <w:szCs w:val="16"/>
          <w:i w:val="1"/>
          <w:iCs w:val="1"/>
          <w:color w:val="auto"/>
        </w:rPr>
        <w:t>amended in a manner adverse to a holder if holders of at least 50% of the then outstanding Public Warrants approve of such amendment</w:t>
      </w:r>
      <w:r>
        <w:rPr>
          <w:rFonts w:ascii="Arial" w:cs="Arial" w:eastAsia="Arial" w:hAnsi="Arial"/>
          <w:sz w:val="16"/>
          <w:szCs w:val="16"/>
          <w:color w:val="auto"/>
        </w:rPr>
        <w: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86"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Warrants may never be in the money, and they may expire worthless and the terms of the Public Warrants may be amended in a manner adverse to a holder if holders of at least 50% of the then outstanding Public Warrants approve of such amendment.</w:t>
      </w:r>
    </w:p>
    <w:p>
      <w:pPr>
        <w:spacing w:after="0" w:line="62"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The exercise price for our Warrants is $11.50 per share of Common Stock. We believe the likelihood that warrant holders will exercise their Public Warrants and Private Warrants, and therefore the amount of cash proceeds that we would receive, is dependent upon the trading price of our Common Stock. If the trading price for our Common Stock is less than $11.50 per share, we believe warrant holders will be unlikely to exercise their Warrants. There is no guarantee that the warrants will be in the money following the time they become exercisable and prior to their expiration, and as such, the Warrants may expire worthless. Our Warrants became exercisable on April 1, 2022.</w:t>
      </w:r>
    </w:p>
    <w:p>
      <w:pPr>
        <w:spacing w:after="0" w:line="17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Warrants were issued in registered form under a warrant agreement (the “warrant agreement”) between American Stock Transfer &amp; Trust Company, as warrant agent, and Supernova. The warrant agreement provides that the terms of the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Warrants or any provision of the warrant agreement with respect to the Private Warrants, 50% of the number of the then outstanding Private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spacing w:after="0" w:line="293"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the holder, thereby making such Warrants worthless.</w:t>
      </w:r>
    </w:p>
    <w:p>
      <w:pPr>
        <w:spacing w:after="0" w:line="62" w:lineRule="exact"/>
        <w:rPr>
          <w:sz w:val="20"/>
          <w:szCs w:val="20"/>
          <w:color w:val="auto"/>
        </w:rPr>
      </w:pPr>
    </w:p>
    <w:p>
      <w:pPr>
        <w:ind w:left="120" w:right="140"/>
        <w:spacing w:after="0" w:line="284"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the Common Stock equals or exceeds $18.00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therefore at a time when it may be disadvantageous for you to do so; (ii) sell your Warrants at the then-current market price when you might otherwise wish to hold your Warrants; or</w:t>
      </w:r>
    </w:p>
    <w:p>
      <w:pPr>
        <w:spacing w:after="0" w:line="2" w:lineRule="exact"/>
        <w:rPr>
          <w:sz w:val="20"/>
          <w:szCs w:val="20"/>
          <w:color w:val="auto"/>
        </w:rPr>
      </w:pPr>
    </w:p>
    <w:p>
      <w:pPr>
        <w:ind w:left="120" w:right="80" w:hanging="4"/>
        <w:spacing w:after="0" w:line="260" w:lineRule="auto"/>
        <w:tabs>
          <w:tab w:leader="none" w:pos="4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accept the nominal redemption price which, at the time the outstanding Warrants are called for redemption, is likely to be substantially less than the market value of your Warrants.</w:t>
      </w:r>
    </w:p>
    <w:p>
      <w:pPr>
        <w:spacing w:after="0" w:line="18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 addition, we may redeem your Warrants at any time after they become exercisable and prior to their expiration at a price of $0.10 per warrant upon a minimum of 30 days’ prior written notice of redemption provided that holders will be able to exercise their Warrants prior to redemption for a number of shares of Common Stock determined based on the redemption date and the fair market value of our Common Stock.</w:t>
      </w:r>
    </w:p>
    <w:p>
      <w:pPr>
        <w:spacing w:after="0" w:line="16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shares of Common Stock received is capped at 0.361 per share of Common Stock per warrant (subject to adjustment) irrespective of the remaining life of the warrants. None of the Private Warrants will be redeemable by us, subject to certain circumstances, so long as they are held by Supernova Partners II LLC (“Supernova Sponsor”) or its permitted transferees.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86"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warrants, which could limit the ability of warrant holders to obtain a favorable judicial forum for disputes with us.</w:t>
      </w:r>
    </w:p>
    <w:p>
      <w:pPr>
        <w:spacing w:after="0" w:line="76"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will be the exclusive forum for any such action, proceeding or claim. Under the warrant agreement, we also agree that we will waive any objection to such exclusive jurisdiction and that such courts represent an inconvenient forum.</w:t>
      </w:r>
    </w:p>
    <w:p>
      <w:pPr>
        <w:spacing w:after="0" w:line="188"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the Public Warrants or Private Warrants will be deemed to have notice of and to have consented to the forum provisions in our warrant agreement.</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or Private Warrants, such holder will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9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29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corporate headquarters is located in Berkeley, California, where it leases 15,625 square feet pursuant to a lease that expires October 31, 2025. Our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Fab-1 facility is located in Fremont, California, where the company leases approximately 53,800 square feet pursuant to a lease that expires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2029. We also have offices for our international operations in the United Kingdom and Australia. We believe that our current facilities 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suitable and adequate to meet our current needs. We intend to add new facilities or expand existing facilities as we add employees, and we believe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suitable additional or substitute space will be available as needed to accommodate any such expansion of our operations.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86" w:right="4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From time to time, we may become involved in actions, claims, suits and other legal proceedings arising from the ordinary course of business. Our management believes we are not currently a party to any actions, claims, suits or other legal proceedings, the outcome of which, if determined adversely to the company, would have a material adverse effect on its results of operations, financial condition or cash flows.</w:t>
      </w:r>
    </w:p>
    <w:p>
      <w:pPr>
        <w:spacing w:after="0" w:line="31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86" w:right="49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0" w:right="13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120" w:right="40"/>
        <w:spacing w:after="0" w:line="286" w:lineRule="auto"/>
        <w:rPr>
          <w:sz w:val="20"/>
          <w:szCs w:val="20"/>
          <w:color w:val="auto"/>
        </w:rPr>
      </w:pPr>
      <w:r>
        <w:rPr>
          <w:rFonts w:ascii="Arial" w:cs="Arial" w:eastAsia="Arial" w:hAnsi="Arial"/>
          <w:sz w:val="17"/>
          <w:szCs w:val="17"/>
          <w:color w:val="auto"/>
        </w:rPr>
        <w:t>Prior to the closing of our Business Combination, Supernova’s units, Class A ordinary shares and warrants were listed on the New York Stock Exchange under the symbols “SNII.U,” “SNII” and “SNII WS,” respectively. On March 2, 2022, our common stock and public warrants began trading on The Nasdaq Capital Market under the symbols “RGTI” and “RGTIW,” respectively. We no longer have any outstanding units.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As of March 22, 2023, there were approximately 209 holders of record of our common stock and one holder of record of our public warrants, including Cede &amp; Co., a nominee for The Depository Trust Company (DTC), which holds shares of our common stock and public warrants on behalf of an indeterminate number of beneficial owners. The actual number of stockholders is greater than this number of record holders and includes stockholders who are beneficial owners but whose shares are held in street name by brokers and other nominees.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Sales of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Proceeds from the Initial Public Offering</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March 4, 2021, Supernova consummated its initial public offering of 34,500,000 units at an offering price of $10.00 per unit, generating gross proceeds of $345.0 million, and a private placement with Supernova Sponsor, of 4,450,000 private placement warrants at an offering price of $2.00 per warrant, generating gross proceeds of $8.9 million. Each unit sold in the initial public offering consisted of one Class A ordinary share and one-fourth of one redeemable warrant. Approximately $345.0 million of the net proceeds from the initial public offering and the sale of the private placement warrants to Supernova Sponsor were deposited in a trust account maintained by American Stock Transfer &amp; Trust Company, acting as trustee, established for the benefit of Supernova’s public stockholders. After deducting payments to existing stockholders of $266.8 million in connection with their exercise of redemption rights prior to the closing of the Business Combination and expenses related to the Business Combination, the remainder of the trust account is now held on our balance sheet to fund our operations and continued growth.</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86"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section should be read in conjunction with the consolidated financial statements and notes thereto included elsewhere in this Annual Report on Form 10-K.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and the like, and/or future tense or conditional constructions (“will,” “may,” “could,” “should,” etc.), or similar expressions, identify certain of these forward-looking statements. These forward-looking statements are subject to risks and uncertainties, including those we describe under “Risk Factors” and elsewhere in this Annual Report on Form 10-K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w:t>
      </w:r>
    </w:p>
    <w:p>
      <w:pPr>
        <w:spacing w:after="0" w:line="18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For purposes of this discussion, “Rigetti,” “the Company,” “we,” “us” or “our” refer to Rigetti Computing, Inc. and its subsidiaries unless the context otherwise requires.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On March 2, 2022 (the “Closing Date”), we consummated the transactions contemplated by that certain Agreement and Plan of Merger dated as of October 6, 2021, as amended on December 23, 2021 and January 10, 2022 (as amended, the “Merger Agreement”), by and among Supernova Partners Acquisition Company II, Ltd., a Cayman Islands exempted company (“Supernova”), Supernova Merger Sub, Inc., a Delaware corporation and a direct wholly owned subsidiary of Supernova (the “First Merger Sub”), Supernova Romeo Merger Sub, LLC, a Delaware limited liability company and a direct wholly owned subsidiary of Supernova (the “Second Merger Sub”), and Rigetti Holdings, Inc., a Delaware corporation (“Legacy Rigetti”). As contemplated by the Merger Agreement, on March 1, 2022 Supernova was domesticated as a Delaware corporation and changed its name to “Rigetti Computing, Inc.” (the “Domestication”). On the Closing Date, (i) First Merger Sub merged with and into Legacy Rigetti, the separate corporate existence of First Merger Sub ceased and Legacy Rigetti survived as a wholly owned subsidiary of Rigetti Computing, Inc. (the “Surviving Corporation” and, such merger, the “First Merger”), and (ii) immediately following the First Merger, the Surviving Corporation merged with and into the Second Merger Sub, the separate corporate existence of the Surviving Corporation ceased and Second Merger Sub survived as a wholly owned subsidiary of Rigetti Computing, Inc. and changed its name to “Rigetti Intermediate LLC” (such merger transaction, the “Second Merger” and, together with the First Merger, the “Merger”, and, collectively with the Domestication, the “PIPE Financing” (as defined below) and the other transactions contemplated by the Merger Agreement, the “Business Combination”). The closing of the Business Combination is herein referred to as “the Closing.”</w:t>
      </w:r>
    </w:p>
    <w:p>
      <w:pPr>
        <w:spacing w:after="0" w:line="174"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quantum computing systems made accessible via the cloud in the form of Quantum Computing as a Service (“QCaaS’) products. However, the substantial majority of our revenues are derived from development contracts, and we anticipate this market opportunity will exist for at least the next several years as we work to ramp up our QCaaS business. Additionally, we are working to further develop a revenue stream and forging important customer relationships by entering into technology development contracts with various partners.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86" w:right="4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are a vertically integrated company. We own and operate Fab-1, a dedicated and integrated laboratory and manufacturing facility, through which we own the means of producing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spacing w:after="0" w:line="187"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We have been generating revenue since 2018 through partnerships with government agencies and commercial organizations; however, we have not yet generated profits. We have incurred significant operating losses since inception. Our net losses were $71.5 million and $38.2 million for the year ended December 31, 2022, and 11 months ended December 31, 2021, respectively. We expect to continue to incur additional losses for the foreseeable future as we invest in research development and infrastructure in line with our long-term business strategy. As of December 31, 2022, we had an accumulated deficit of $278.7 million.</w:t>
      </w:r>
    </w:p>
    <w:p>
      <w:pPr>
        <w:spacing w:after="0" w:line="188"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Based on our estimates and current business plan, we expect that we will need to obtain additional capital by late 2024 or early 2025 in order to continue our research and development efforts and achieve our business objectives. There is no assurance that additional financing will be available. If we are unable to raise additional funding when needed, we may be required to delay, limit or substantially reduce our quantum computing development efforts.</w:t>
      </w:r>
    </w:p>
    <w:p>
      <w:pPr>
        <w:spacing w:after="0" w:line="14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February 2023, we announced an updated business strategy, including revisions to our technology roadmap. In connection with this updated strategy, we have implemented a workforce reduction in order to focus the organization and our resources on nearer-term strategic priorities. In March 2023, we further refined our business strategy after internally deploying Ankaa-1, our 84-qubit system delivering denser qubit spacing and tunable couplers, within our company for testing. We plan to concentrate on refining the performance of Ankaa-1. Upon the anticipated external launch of the Ankaa-1 84-qubit system, which is expected to be to select customers, we plan to continue efforts to improve the performance of the system with the goal of reaching at least 98% 2-qubit gate fidelity to support the anticipated Ankaa-2 84-qubit system. We then plan to launch the anticipated Ankaa-2 84 qubit system, continuing to work to improve performance with the goal of reaching at least 99% gate fidelity on Ankaa-2. If these targets are achieved, we plan to shift focus to scaling to develop Lyra, an anticipated 336-qubit system. We believe that this business plan should enable us to concentrate our software application development strategy on what we believe to be the highest likelihood applications for demonstrating nearer term narrow quantum advantage.</w:t>
      </w:r>
    </w:p>
    <w:p>
      <w:pPr>
        <w:spacing w:after="0" w:line="18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reduction in workforce impacted approximately 50 employees or 28% of our workforce. We began implementing activities with respect to the revised business plan and reduction in workforce in February 2023. Affected employees were offered separation benefits, including severance payments and temporary healthcare coverage assistance. We currently expect to incur restructuring charges of approximately $1.4 million for severance payments and temporary healthcare coverage for effected employees. Such restructuring charges are expected to be incurred and recorded in the first quarter of 2023.</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Business Combination and PIPE Financing</w:t>
      </w:r>
    </w:p>
    <w:p>
      <w:pPr>
        <w:spacing w:after="0" w:line="12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On October 6, 2021, SNII entered into the Merger Agreement by and among Supernova, First Merger Sub, Second Merger Sub, and Legacy Rigetti. On March 2, 2022, the Business Combination was consummated. While the legal acquirer in the Merger Agreement was Supernova, for financial accounting and reporting purposes under United States generally accepted accounting principles (“U.S. GAAP”), Rigetti was the accounting acquirer and the Merger was accounted for as a “reverse recapitalization.” A reverse recapitalization does not result in a new basis of accounting, and financial statements of Rigetti represent the continuation of the financial statements of Legacy Rigetti in many respects. Under this method of accounting, Supernova was treated as the “acquired” company for financial reporting purposes. For accounting purposes, Rigetti was deemed to be the accounting acquirer in the transaction and, consequently, the transaction was treated as a recapitalization of Rigetti (i.e., a capital transaction involving the issuance of stock by Supernova for the stock of Rigetti).</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86" w:right="4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As a result of the Business Combination, all of the shares of Legacy Rigetti Common Stock outstanding immediately prior to the Closing (including Legacy Rigetti Common Stock resulting from the Legacy Rigetti preferred stock conversion) were converted into the right to receive an aggregate of 78,959,579 shares of our Common Stock, par value $0.0001 per share (“Common Stock”). Additionally, each issued and outstanding share of Supernova Class A and Class B Common Stock held by Supernova automatically converted to 20,209,462 shares of Common Stock (of which 3,059,273 shares are subject to vesting under certain conditions). Upon consummation of the Business Combination, the most significant change in our reported financial position and results of operations was an increase in cash of $205.0 million (as compared to Rigetti’s balance sheet at December 31, 2021), including $225.6 million of proceeds from the Business Combination and PIPE Financing net of transaction costs incurred by us of $20.6 million.</w:t>
      </w:r>
    </w:p>
    <w:p>
      <w:pPr>
        <w:spacing w:after="0" w:line="16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Additional direct and incremental transaction costs were also incurred by Rigetti in connection with the Business Combination. Generally, costs (e.g., SPAC shares) are recorded as a reduction to additional paid-in capital. Costs allocated to liability-classified instruments that are subsequently measured at fair value through earnings (e.g., certain SPAC warrants) are expensed. Rigetti’s transaction costs totaled $20.6 million, of which $19.7 million was allocated to equity-classified instruments and recorded as a reduction to additional paid-in capital, and the remaining $0.9 million was allocated to liability-classified instruments that are subsequently measured at fair value through earnings and recognized as expense in the consolidated statements of operations during the year ended December 31, 2022.</w:t>
      </w:r>
    </w:p>
    <w:p>
      <w:pPr>
        <w:spacing w:after="0" w:line="192" w:lineRule="exact"/>
        <w:rPr>
          <w:sz w:val="20"/>
          <w:szCs w:val="20"/>
          <w:color w:val="auto"/>
        </w:rPr>
      </w:pPr>
    </w:p>
    <w:p>
      <w:pPr>
        <w:jc w:val="both"/>
        <w:ind w:left="120" w:right="100"/>
        <w:spacing w:after="0" w:line="301" w:lineRule="auto"/>
        <w:rPr>
          <w:sz w:val="20"/>
          <w:szCs w:val="20"/>
          <w:color w:val="auto"/>
        </w:rPr>
      </w:pPr>
      <w:r>
        <w:rPr>
          <w:rFonts w:ascii="Arial" w:cs="Arial" w:eastAsia="Arial" w:hAnsi="Arial"/>
          <w:sz w:val="16"/>
          <w:szCs w:val="16"/>
          <w:color w:val="auto"/>
        </w:rPr>
        <w:t>As a result of the Business Combination, we became subject to the reporting requirements under the Securities Exchange Act of 1934, as amended, and listing standards of the Nasdaq Capital Market, which has and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Our future results of consolidated operations and financial position may not be comparable to historical results as a result of the Business Combination.</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Macroeconomic Considerations</w:t>
      </w:r>
    </w:p>
    <w:p>
      <w:pPr>
        <w:spacing w:after="0" w:line="121"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 xml:space="preserve">Unfavorable conditions in the economy in the United States and abroad may negatively affect the growth of our business and our results of operations. For example, macroeconomic events, including the COVID-19 pandemic, rising inflation, the U.S. Federal Reserve raising interest rates, the Russia-Ukraine war, and recent bank failures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including the risk factor titled </w:t>
      </w:r>
      <w:r>
        <w:rPr>
          <w:rFonts w:ascii="Arial" w:cs="Arial" w:eastAsia="Arial" w:hAnsi="Arial"/>
          <w:sz w:val="16"/>
          <w:szCs w:val="16"/>
          <w:i w:val="1"/>
          <w:iCs w:val="1"/>
          <w:color w:val="auto"/>
        </w:rPr>
        <w:t>“Unstable market and economic conditions have</w:t>
      </w:r>
      <w:r>
        <w:rPr>
          <w:rFonts w:ascii="Arial" w:cs="Arial" w:eastAsia="Arial" w:hAnsi="Arial"/>
          <w:sz w:val="16"/>
          <w:szCs w:val="16"/>
          <w:color w:val="auto"/>
        </w:rPr>
        <w:t xml:space="preserve"> </w:t>
      </w:r>
      <w:r>
        <w:rPr>
          <w:rFonts w:ascii="Arial" w:cs="Arial" w:eastAsia="Arial" w:hAnsi="Arial"/>
          <w:sz w:val="16"/>
          <w:szCs w:val="16"/>
          <w:i w:val="1"/>
          <w:iCs w:val="1"/>
          <w:color w:val="auto"/>
        </w:rPr>
        <w:t>had and may continue to have serious adverse consequences on our business, financial condition and share price.”</w:t>
      </w:r>
    </w:p>
    <w:p>
      <w:pPr>
        <w:spacing w:after="0" w:line="166"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Specifically, the COVID-19 pandemic has limited and could further limit the ability of suppliers and business partners to perform, including third-party suppliers’ ability to provide components, services and materials. We have experienced and may experience further increases in the cost of raw materials.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86"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Furthermore, during the year ended December 31, 2022, we experienced supply chain challenges, which we largely attribute to the COVID-19 pandemic and the general disruptions resulting from the ongoing conflict between Ukraine and Russia and related sanctions, as well as increases in costs of component parts, labor and raw materials, which we largely attribute to rising inflation and high demand as a result of restricted supply. We expect these increased costs to remain high as the COVID-19 pandemic, the Ukraine-Russia conflict and their respective effects persist. As global economic conditions recover from the COVID-19 pandemic, the Ukraine-Russia conflict and the related sanctions, business activity may not recover as quickly as anticipated, and it is not possible at this time to estimate the long-term impact that these and related events could have on our business, as the impact will depend on future developments, which are highly uncertain and cannot be predicted. For instance, product demand may be reduced due to an economic recession, a decrease in corporate capital expenditures, prolonged unemployment, rising inflation and interest rates, labor shortages, reduction in consumer confidence, adverse geopolitical and macroeconomic events, or any similar negative economic condition. In addition, global economic conditions have been worsening, with disruptions to, and volatility and uncertainty in, the credit and financial markets in the U.S. and worldwide resulting from the effects of COVID-19 and increases in inflation, interest rates and recent and potential future disruptions in access to bank deposits or lending commitments due to bank failures. If these conditions persist and deepen, we could experience an inability to access additional capital or our liquidity could otherwise be impacted. If we are unable to raise capital when needed or on attractive terms, we would be forced to delay, reduce or eliminate our research and development programs and other efforts. However, like many other companies, we are taking actions to monitor our operations to account for the increases in cost of capital. Specifically, this includes efforts to enhance our operational efficiency, maximize our R&amp;D spend through strategic collaborations, and being highly selective in hiring top-tier talent.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Fiscal Year</w:t>
      </w:r>
    </w:p>
    <w:p>
      <w:pPr>
        <w:spacing w:after="0" w:line="121"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In October 2021, the board of directors of Legacy Rigetti (the “Legacy Rigetti Board”) approved a change in fiscal year end from January 31 to December 31, effective December 31, 2021. As a result of this change, our fiscal year begins on January 1 and ends on December 31 of each year, starting on January 1, 2022. For fiscal year 2021, this covers a period of 11 months starting from February 1, 2021 and ending on December 31, 2021. See below “Result of Operations” regarding comparability of prior periods relating to the change in fiscal year.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We generate revenue through our development contracts, as well as from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 QCaaS revenue is recognized on a ratable basis over the contract term or on a usage basis, which generally ranges from three months to two years. Revenue related to development contracts and other services is recognized as the related milestones are completed or over time, as the work required to complete milestones deemed probable of being met is completed. Revenue related to the sale of custom quantum computing components is recognized at a point in time upon acceptance by the customer.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Cost of revenue consists primarily of all direct and indirect cost associated with providing QCaaS offerings and development contracts and other services, including employee salaries and related taxes, bonuses, and benefit costs of program management and personnel associated with the delivery of goods and services to customers and sub-contract costs for work performed by third parties. Cost of revenue also includes an allocation of facility costs, depreciation and amortization directly related to providing the QCaaS offerings and development contracts and other services. Cost of revenue is expected to increase with any growth in revenues as we expand our operations, enhance our service offerings and expand our customer base.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86"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operating expenses consist of sales and marketing, general and administrative and research and development expenses.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invest in the enhancement of our product offerings. We do not currently capitalize any research and development expenditures.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Sales and marketing expenses consist primarily of compensation including stock-based compensation, employee benefits, outside consultant’s fees, travel and marketing promotion costs. We expect selling and marketing expenses to increase after we achieve narrow and broad quantum advantage, and subsequently enhance our service offerings, expand our customer base, and implement new marketing strategies.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General and administrative expenses include compensation, employee benefits, stock-based compensation, insurance, facility costs), professional service fees, and other general overhead costs other than those associated with providing QCaaS offerings and development contracts and other services. We expect our general and administrative expenses to increase as we continue to grow our business. We also expect to incur additional expenses as a result of operating as a public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As described above in “—Change in Fiscal Year,” the board of Legacy Rigetti changed the fiscal year from January 1 to December 31, effective December 31, 2021. Accordingly, the fiscal year ended December 31, 2021 covers a period of 11 months from February 1, 2021 to December 31, 2021 (“fiscal year 2021”). Financial statements for the fiscal year ended December 31, 2022 include the 12 months ended December 31, 2022 (“fiscal year 2022”).</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86" w:right="4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The comparability of our results of operations for fiscal year 2022 with fiscal year 2021 is affected by the change in fiscal year since fiscal year 2021 includes an 11-month period versus a 12-month period for fiscal year 2022. For comparability purposes, to supplement the discussion of our historical results of operations for fiscal year 2022 and comparative period in 2021, we have included a discussion of unaudited supplemental recast information for the 12 months ended December 31, 2021. The unaudited supplemental recast information for the 12-month period ended December 31, 2021 includes historical consolidated results of operations for fiscal year 2021 and one month of results of operations for January 2021.</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dollar amounts in tables, except share and per share amounts, are presented in thousands unless otherwise noted.</w:t>
      </w:r>
    </w:p>
    <w:p>
      <w:pPr>
        <w:spacing w:after="0" w:line="33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Year ended December 31, 2022 compared to 11 months ended December 31, 2021 and Supplemental Information – Year ended December 31, 2022 compared to Unaudited 12 months ended December 31, 2021</w:t>
      </w:r>
    </w:p>
    <w:p>
      <w:pPr>
        <w:spacing w:after="0" w:line="6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tables set forth our results of operations for fiscal year 2022 compared to fiscal year 2021 and supplemental information comparing fiscal year 2022 to the unaudited 12 month period ended December 31, 2021:</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Fiscal Year</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Supplemental Information</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2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tcPr>
          <w:p>
            <w:pPr>
              <w:jc w:val="center"/>
              <w:ind w:right="8"/>
              <w:spacing w:after="0" w:line="129" w:lineRule="exact"/>
              <w:rPr>
                <w:sz w:val="20"/>
                <w:szCs w:val="20"/>
                <w:color w:val="auto"/>
              </w:rPr>
            </w:pPr>
            <w:r>
              <w:rPr>
                <w:rFonts w:ascii="Arial" w:cs="Arial" w:eastAsia="Arial" w:hAnsi="Arial"/>
                <w:sz w:val="13"/>
                <w:szCs w:val="13"/>
                <w:b w:val="1"/>
                <w:bCs w:val="1"/>
                <w:color w:val="auto"/>
                <w:w w:val="95"/>
              </w:rPr>
              <w:t>Year Ended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tcPr>
          <w:p>
            <w:pPr>
              <w:jc w:val="center"/>
              <w:ind w:right="88"/>
              <w:spacing w:after="0" w:line="129" w:lineRule="exact"/>
              <w:rPr>
                <w:sz w:val="20"/>
                <w:szCs w:val="20"/>
                <w:color w:val="auto"/>
              </w:rPr>
            </w:pPr>
            <w:r>
              <w:rPr>
                <w:rFonts w:ascii="Arial" w:cs="Arial" w:eastAsia="Arial" w:hAnsi="Arial"/>
                <w:sz w:val="13"/>
                <w:szCs w:val="13"/>
                <w:b w:val="1"/>
                <w:bCs w:val="1"/>
                <w:color w:val="auto"/>
                <w:w w:val="95"/>
              </w:rPr>
              <w:t>Year Ended</w:t>
            </w:r>
          </w:p>
        </w:tc>
        <w:tc>
          <w:tcPr>
            <w:tcW w:w="180" w:type="dxa"/>
            <w:vAlign w:val="bottom"/>
          </w:tcPr>
          <w:p>
            <w:pPr>
              <w:spacing w:after="0"/>
              <w:rPr>
                <w:sz w:val="11"/>
                <w:szCs w:val="11"/>
                <w:color w:val="auto"/>
              </w:rPr>
            </w:pPr>
          </w:p>
        </w:tc>
      </w:tr>
      <w:tr>
        <w:trPr>
          <w:trHeight w:val="149"/>
        </w:trPr>
        <w:tc>
          <w:tcPr>
            <w:tcW w:w="2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2"/>
              </w:rPr>
              <w:t>December 31, 2022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3"/>
              </w:rPr>
              <w:t>December 31, 2022</w:t>
            </w:r>
          </w:p>
        </w:tc>
      </w:tr>
      <w:tr>
        <w:trPr>
          <w:trHeight w:val="148"/>
        </w:trPr>
        <w:tc>
          <w:tcPr>
            <w:tcW w:w="2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11 Months</w:t>
            </w:r>
          </w:p>
        </w:tc>
        <w:tc>
          <w:tcPr>
            <w:tcW w:w="100" w:type="dxa"/>
            <w:vAlign w:val="bottom"/>
          </w:tcPr>
          <w:p>
            <w:pPr>
              <w:spacing w:after="0"/>
              <w:rPr>
                <w:sz w:val="12"/>
                <w:szCs w:val="12"/>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5"/>
              </w:rPr>
              <w:t>versus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12 Months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0"/>
              </w:rPr>
              <w:t>versus</w:t>
            </w:r>
          </w:p>
        </w:tc>
      </w:tr>
      <w:tr>
        <w:trPr>
          <w:trHeight w:val="148"/>
        </w:trPr>
        <w:tc>
          <w:tcPr>
            <w:tcW w:w="2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5"/>
              </w:rPr>
              <w:t>Year Ended</w:t>
            </w:r>
          </w:p>
        </w:tc>
        <w:tc>
          <w:tcPr>
            <w:tcW w:w="10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Ended</w:t>
            </w:r>
          </w:p>
        </w:tc>
        <w:tc>
          <w:tcPr>
            <w:tcW w:w="100" w:type="dxa"/>
            <w:vAlign w:val="bottom"/>
          </w:tcPr>
          <w:p>
            <w:pPr>
              <w:spacing w:after="0"/>
              <w:rPr>
                <w:sz w:val="12"/>
                <w:szCs w:val="12"/>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2"/>
              </w:rPr>
              <w:t>11 Months Ended</w:t>
            </w:r>
          </w:p>
        </w:tc>
        <w:tc>
          <w:tcPr>
            <w:tcW w:w="100" w:type="dxa"/>
            <w:vAlign w:val="bottom"/>
          </w:tcPr>
          <w:p>
            <w:pPr>
              <w:spacing w:after="0"/>
              <w:rPr>
                <w:sz w:val="12"/>
                <w:szCs w:val="12"/>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4"/>
              </w:rPr>
              <w:t>12 Months Ended</w:t>
            </w:r>
          </w:p>
        </w:tc>
      </w:tr>
      <w:tr>
        <w:trPr>
          <w:trHeight w:val="161"/>
        </w:trPr>
        <w:tc>
          <w:tcPr>
            <w:tcW w:w="2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December 31,</w:t>
            </w: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4"/>
                <w:szCs w:val="14"/>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2"/>
              </w:rPr>
              <w:t>December 31, 2021</w:t>
            </w:r>
          </w:p>
        </w:tc>
        <w:tc>
          <w:tcPr>
            <w:tcW w:w="10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3"/>
              </w:rPr>
              <w:t>December 31, 2021</w:t>
            </w:r>
          </w:p>
        </w:tc>
      </w:tr>
      <w:tr>
        <w:trPr>
          <w:trHeight w:val="142"/>
        </w:trPr>
        <w:tc>
          <w:tcPr>
            <w:tcW w:w="2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88"/>
              <w:spacing w:after="0" w:line="142" w:lineRule="exact"/>
              <w:rPr>
                <w:sz w:val="20"/>
                <w:szCs w:val="20"/>
                <w:color w:val="auto"/>
              </w:rPr>
            </w:pPr>
            <w:r>
              <w:rPr>
                <w:rFonts w:ascii="Arial" w:cs="Arial" w:eastAsia="Arial" w:hAnsi="Arial"/>
                <w:sz w:val="13"/>
                <w:szCs w:val="13"/>
                <w:b w:val="1"/>
                <w:bCs w:val="1"/>
                <w:color w:val="auto"/>
                <w:w w:val="89"/>
              </w:rPr>
              <w:t>2022</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9"/>
              <w:spacing w:after="0" w:line="142" w:lineRule="exact"/>
              <w:rPr>
                <w:sz w:val="20"/>
                <w:szCs w:val="20"/>
                <w:color w:val="auto"/>
              </w:rPr>
            </w:pPr>
            <w:r>
              <w:rPr>
                <w:rFonts w:ascii="Arial" w:cs="Arial" w:eastAsia="Arial" w:hAnsi="Arial"/>
                <w:sz w:val="13"/>
                <w:szCs w:val="13"/>
                <w:b w:val="1"/>
                <w:bCs w:val="1"/>
                <w:color w:val="auto"/>
                <w:w w:val="89"/>
              </w:rPr>
              <w:t>2021</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w w:val="92"/>
              </w:rPr>
              <w:t>Change</w:t>
            </w:r>
          </w:p>
        </w:tc>
        <w:tc>
          <w:tcPr>
            <w:tcW w:w="6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w w:val="92"/>
              </w:rPr>
              <w:t>% Change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88"/>
              <w:spacing w:after="0" w:line="142" w:lineRule="exact"/>
              <w:rPr>
                <w:sz w:val="20"/>
                <w:szCs w:val="20"/>
                <w:color w:val="auto"/>
              </w:rPr>
            </w:pPr>
            <w:r>
              <w:rPr>
                <w:rFonts w:ascii="Arial" w:cs="Arial" w:eastAsia="Arial" w:hAnsi="Arial"/>
                <w:sz w:val="13"/>
                <w:szCs w:val="13"/>
                <w:b w:val="1"/>
                <w:bCs w:val="1"/>
                <w:color w:val="auto"/>
                <w:w w:val="96"/>
              </w:rPr>
              <w:t>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9"/>
              <w:spacing w:after="0" w:line="142"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3"/>
                <w:szCs w:val="13"/>
                <w:b w:val="1"/>
                <w:bCs w:val="1"/>
                <w:color w:val="auto"/>
              </w:rPr>
              <w:t>$ Change</w:t>
            </w: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180" w:type="dxa"/>
            <w:vAlign w:val="bottom"/>
          </w:tcPr>
          <w:p>
            <w:pPr>
              <w:spacing w:after="0"/>
              <w:rPr>
                <w:sz w:val="12"/>
                <w:szCs w:val="12"/>
                <w:color w:val="auto"/>
              </w:rPr>
            </w:pPr>
          </w:p>
        </w:tc>
      </w:tr>
      <w:tr>
        <w:trPr>
          <w:trHeight w:val="142"/>
        </w:trPr>
        <w:tc>
          <w:tcPr>
            <w:tcW w:w="2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3"/>
              </w:rPr>
              <w:t>(unaudited)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0"/>
              </w:rPr>
              <w:t>(unaudited)</w:t>
            </w:r>
          </w:p>
        </w:tc>
        <w:tc>
          <w:tcPr>
            <w:tcW w:w="180" w:type="dxa"/>
            <w:vAlign w:val="bottom"/>
          </w:tcPr>
          <w:p>
            <w:pPr>
              <w:spacing w:after="0"/>
              <w:rPr>
                <w:sz w:val="12"/>
                <w:szCs w:val="12"/>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92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13,102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8,196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4,906</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26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13,102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8,633</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4,469</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w:t>
            </w:r>
          </w:p>
        </w:tc>
      </w:tr>
      <w:tr>
        <w:trPr>
          <w:trHeight w:val="148"/>
        </w:trPr>
        <w:tc>
          <w:tcPr>
            <w:tcW w:w="2580" w:type="dxa"/>
            <w:vAlign w:val="bottom"/>
          </w:tcPr>
          <w:p>
            <w:pPr>
              <w:spacing w:after="0" w:line="149" w:lineRule="exact"/>
              <w:rPr>
                <w:sz w:val="20"/>
                <w:szCs w:val="20"/>
                <w:color w:val="auto"/>
              </w:rPr>
            </w:pPr>
            <w:r>
              <w:rPr>
                <w:rFonts w:ascii="Arial" w:cs="Arial" w:eastAsia="Arial" w:hAnsi="Arial"/>
                <w:sz w:val="14"/>
                <w:szCs w:val="14"/>
                <w:color w:val="auto"/>
              </w:rPr>
              <w:t>Cost of revenue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2,873</w:t>
            </w: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1,623</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1,250</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1,770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1,103</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w:t>
            </w:r>
          </w:p>
        </w:tc>
      </w:tr>
      <w:tr>
        <w:trPr>
          <w:trHeight w:val="27"/>
        </w:trPr>
        <w:tc>
          <w:tcPr>
            <w:tcW w:w="2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49"/>
        </w:trPr>
        <w:tc>
          <w:tcPr>
            <w:tcW w:w="2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gross profit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10,229</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6,573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3,656</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3,366</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w:t>
            </w:r>
          </w:p>
        </w:tc>
      </w:tr>
      <w:tr>
        <w:trPr>
          <w:trHeight w:val="256"/>
        </w:trPr>
        <w:tc>
          <w:tcPr>
            <w:tcW w:w="2580" w:type="dxa"/>
            <w:vAlign w:val="bottom"/>
          </w:tcPr>
          <w:p>
            <w:pPr>
              <w:spacing w:after="0"/>
              <w:rPr>
                <w:sz w:val="20"/>
                <w:szCs w:val="20"/>
                <w:color w:val="auto"/>
              </w:rPr>
            </w:pPr>
            <w:r>
              <w:rPr>
                <w:rFonts w:ascii="Arial" w:cs="Arial" w:eastAsia="Arial" w:hAnsi="Arial"/>
                <w:sz w:val="14"/>
                <w:szCs w:val="14"/>
                <w:color w:val="auto"/>
              </w:rPr>
              <w:t>Operating expenses:</w:t>
            </w: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49"/>
        </w:trPr>
        <w:tc>
          <w:tcPr>
            <w:tcW w:w="2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Research and development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59,952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26,928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33,024</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59,952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28,798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31,154</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w:t>
            </w:r>
          </w:p>
        </w:tc>
      </w:tr>
      <w:tr>
        <w:trPr>
          <w:trHeight w:val="148"/>
        </w:trPr>
        <w:tc>
          <w:tcPr>
            <w:tcW w:w="258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6,348</w:t>
            </w: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2,475</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3,873</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2,557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3,791</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148%</w:t>
            </w: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47,632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11,299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36,333</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47,632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34,538</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264%</w:t>
            </w:r>
          </w:p>
        </w:tc>
      </w:tr>
      <w:tr>
        <w:trPr>
          <w:trHeight w:val="148"/>
        </w:trPr>
        <w:tc>
          <w:tcPr>
            <w:tcW w:w="2580" w:type="dxa"/>
            <w:vAlign w:val="bottom"/>
          </w:tcPr>
          <w:p>
            <w:pPr>
              <w:ind w:left="280"/>
              <w:spacing w:after="0" w:line="149" w:lineRule="exact"/>
              <w:rPr>
                <w:sz w:val="20"/>
                <w:szCs w:val="20"/>
                <w:color w:val="auto"/>
              </w:rPr>
            </w:pPr>
            <w:r>
              <w:rPr>
                <w:rFonts w:ascii="Arial" w:cs="Arial" w:eastAsia="Arial" w:hAnsi="Arial"/>
                <w:sz w:val="14"/>
                <w:szCs w:val="14"/>
                <w:color w:val="auto"/>
              </w:rPr>
              <w:t>Goodwill impairment</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5,377</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5,377</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nm*</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5,377</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nm*</w:t>
            </w:r>
          </w:p>
        </w:tc>
      </w:tr>
      <w:tr>
        <w:trPr>
          <w:trHeight w:val="27"/>
        </w:trPr>
        <w:tc>
          <w:tcPr>
            <w:tcW w:w="2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operating expenses</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119,309</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40,702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78,607</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119,309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44,449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74,860</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w:t>
            </w:r>
          </w:p>
        </w:tc>
      </w:tr>
      <w:tr>
        <w:trPr>
          <w:trHeight w:val="155"/>
        </w:trPr>
        <w:tc>
          <w:tcPr>
            <w:tcW w:w="2580" w:type="dxa"/>
            <w:vAlign w:val="bottom"/>
          </w:tcPr>
          <w:p>
            <w:pPr>
              <w:spacing w:after="0" w:line="155" w:lineRule="exact"/>
              <w:rPr>
                <w:sz w:val="20"/>
                <w:szCs w:val="20"/>
                <w:color w:val="auto"/>
              </w:rPr>
            </w:pPr>
            <w:r>
              <w:rPr>
                <w:rFonts w:ascii="Arial" w:cs="Arial" w:eastAsia="Arial" w:hAnsi="Arial"/>
                <w:sz w:val="14"/>
                <w:szCs w:val="14"/>
                <w:color w:val="auto"/>
              </w:rPr>
              <w:t>Loss from operations</w:t>
            </w:r>
          </w:p>
        </w:tc>
        <w:tc>
          <w:tcPr>
            <w:tcW w:w="7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(109,080)</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(34,129)</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(74,951)</w:t>
            </w:r>
          </w:p>
        </w:tc>
        <w:tc>
          <w:tcPr>
            <w:tcW w:w="24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220%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(109,080)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(37,586)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(71,494)</w:t>
            </w:r>
          </w:p>
        </w:tc>
        <w:tc>
          <w:tcPr>
            <w:tcW w:w="260" w:type="dxa"/>
            <w:vAlign w:val="bottom"/>
          </w:tcPr>
          <w:p>
            <w:pPr>
              <w:spacing w:after="0"/>
              <w:rPr>
                <w:sz w:val="13"/>
                <w:szCs w:val="13"/>
                <w:color w:val="auto"/>
              </w:rPr>
            </w:pPr>
          </w:p>
        </w:tc>
        <w:tc>
          <w:tcPr>
            <w:tcW w:w="8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190%</w:t>
            </w: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86" w:right="4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Fiscal Year</w:t>
            </w: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3"/>
                <w:szCs w:val="13"/>
                <w:b w:val="1"/>
                <w:bCs w:val="1"/>
                <w:color w:val="auto"/>
                <w:w w:val="97"/>
              </w:rPr>
              <w:t>Supplemental Information</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jc w:val="center"/>
              <w:spacing w:after="0" w:line="129" w:lineRule="exact"/>
              <w:rPr>
                <w:sz w:val="20"/>
                <w:szCs w:val="20"/>
                <w:color w:val="auto"/>
              </w:rPr>
            </w:pPr>
            <w:r>
              <w:rPr>
                <w:rFonts w:ascii="Arial" w:cs="Arial" w:eastAsia="Arial" w:hAnsi="Arial"/>
                <w:sz w:val="13"/>
                <w:szCs w:val="13"/>
                <w:b w:val="1"/>
                <w:bCs w:val="1"/>
                <w:color w:val="auto"/>
                <w:w w:val="95"/>
              </w:rPr>
              <w:t>Year Ended</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3"/>
          </w:tcPr>
          <w:p>
            <w:pPr>
              <w:jc w:val="center"/>
              <w:spacing w:after="0" w:line="129" w:lineRule="exact"/>
              <w:rPr>
                <w:sz w:val="20"/>
                <w:szCs w:val="20"/>
                <w:color w:val="auto"/>
              </w:rPr>
            </w:pPr>
            <w:r>
              <w:rPr>
                <w:rFonts w:ascii="Arial" w:cs="Arial" w:eastAsia="Arial" w:hAnsi="Arial"/>
                <w:sz w:val="13"/>
                <w:szCs w:val="13"/>
                <w:b w:val="1"/>
                <w:bCs w:val="1"/>
                <w:color w:val="auto"/>
                <w:w w:val="95"/>
              </w:rPr>
              <w:t>Year Ended</w:t>
            </w:r>
          </w:p>
        </w:tc>
        <w:tc>
          <w:tcPr>
            <w:tcW w:w="220" w:type="dxa"/>
            <w:vAlign w:val="bottom"/>
          </w:tcPr>
          <w:p>
            <w:pPr>
              <w:spacing w:after="0"/>
              <w:rPr>
                <w:sz w:val="11"/>
                <w:szCs w:val="11"/>
                <w:color w:val="auto"/>
              </w:rPr>
            </w:pPr>
          </w:p>
        </w:tc>
      </w:tr>
      <w:tr>
        <w:trPr>
          <w:trHeight w:val="148"/>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92"/>
              </w:rPr>
              <w:t>December 31, 2022</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3"/>
              </w:rPr>
              <w:t>December 31, 2022</w:t>
            </w:r>
          </w:p>
        </w:tc>
      </w:tr>
      <w:tr>
        <w:trPr>
          <w:trHeight w:val="148"/>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11 Months</w:t>
            </w:r>
          </w:p>
        </w:tc>
        <w:tc>
          <w:tcPr>
            <w:tcW w:w="100" w:type="dxa"/>
            <w:vAlign w:val="bottom"/>
          </w:tcPr>
          <w:p>
            <w:pPr>
              <w:spacing w:after="0"/>
              <w:rPr>
                <w:sz w:val="12"/>
                <w:szCs w:val="12"/>
                <w:color w:val="auto"/>
              </w:rPr>
            </w:pPr>
          </w:p>
        </w:tc>
        <w:tc>
          <w:tcPr>
            <w:tcW w:w="180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85"/>
              </w:rPr>
              <w:t>versus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12 Months</w:t>
            </w:r>
          </w:p>
        </w:tc>
        <w:tc>
          <w:tcPr>
            <w:tcW w:w="18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0"/>
              </w:rPr>
              <w:t>versus</w:t>
            </w:r>
          </w:p>
        </w:tc>
      </w:tr>
      <w:tr>
        <w:trPr>
          <w:trHeight w:val="148"/>
        </w:trPr>
        <w:tc>
          <w:tcPr>
            <w:tcW w:w="3100" w:type="dxa"/>
            <w:vAlign w:val="bottom"/>
          </w:tcPr>
          <w:p>
            <w:pPr>
              <w:spacing w:after="0"/>
              <w:rPr>
                <w:sz w:val="12"/>
                <w:szCs w:val="12"/>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Year Ended</w:t>
            </w:r>
          </w:p>
        </w:tc>
        <w:tc>
          <w:tcPr>
            <w:tcW w:w="80" w:type="dxa"/>
            <w:vAlign w:val="bottom"/>
          </w:tcPr>
          <w:p>
            <w:pPr>
              <w:spacing w:after="0"/>
              <w:rPr>
                <w:sz w:val="12"/>
                <w:szCs w:val="12"/>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180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92"/>
              </w:rPr>
              <w:t>11 Months Ended</w:t>
            </w:r>
          </w:p>
        </w:tc>
        <w:tc>
          <w:tcPr>
            <w:tcW w:w="104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2"/>
                <w:szCs w:val="12"/>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Ended</w:t>
            </w:r>
          </w:p>
        </w:tc>
        <w:tc>
          <w:tcPr>
            <w:tcW w:w="18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4"/>
              </w:rPr>
              <w:t>12 Months Ended</w:t>
            </w:r>
          </w:p>
        </w:tc>
      </w:tr>
      <w:tr>
        <w:trPr>
          <w:trHeight w:val="161"/>
        </w:trPr>
        <w:tc>
          <w:tcPr>
            <w:tcW w:w="31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4"/>
                <w:szCs w:val="14"/>
                <w:color w:val="auto"/>
              </w:rPr>
            </w:pPr>
          </w:p>
        </w:tc>
        <w:tc>
          <w:tcPr>
            <w:tcW w:w="180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92"/>
              </w:rPr>
              <w:t>December 31, 2021</w:t>
            </w: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10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December 31,</w:t>
            </w:r>
          </w:p>
        </w:tc>
        <w:tc>
          <w:tcPr>
            <w:tcW w:w="18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3"/>
              </w:rPr>
              <w:t>December 31, 2021</w:t>
            </w:r>
          </w:p>
        </w:tc>
      </w:tr>
      <w:tr>
        <w:trPr>
          <w:trHeight w:val="142"/>
        </w:trPr>
        <w:tc>
          <w:tcPr>
            <w:tcW w:w="3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3"/>
                <w:szCs w:val="13"/>
                <w:b w:val="1"/>
                <w:bCs w:val="1"/>
                <w:color w:val="auto"/>
                <w:w w:val="99"/>
              </w:rPr>
              <w:t>$ Change</w:t>
            </w:r>
          </w:p>
        </w:tc>
        <w:tc>
          <w:tcPr>
            <w:tcW w:w="620" w:type="dxa"/>
            <w:vAlign w:val="bottom"/>
            <w:tcBorders>
              <w:top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95"/>
              </w:rPr>
              <w:t>% Change</w:t>
            </w: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2021</w:t>
            </w:r>
          </w:p>
        </w:tc>
        <w:tc>
          <w:tcPr>
            <w:tcW w:w="26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 Change</w:t>
            </w: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20" w:type="dxa"/>
            <w:vAlign w:val="bottom"/>
          </w:tcPr>
          <w:p>
            <w:pPr>
              <w:spacing w:after="0"/>
              <w:rPr>
                <w:sz w:val="12"/>
                <w:szCs w:val="12"/>
                <w:color w:val="auto"/>
              </w:rPr>
            </w:pPr>
          </w:p>
        </w:tc>
      </w:tr>
      <w:tr>
        <w:trPr>
          <w:trHeight w:val="142"/>
        </w:trPr>
        <w:tc>
          <w:tcPr>
            <w:tcW w:w="3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3"/>
              </w:rPr>
              <w:t>(unaudited)</w:t>
            </w:r>
          </w:p>
        </w:tc>
        <w:tc>
          <w:tcPr>
            <w:tcW w:w="26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(unaudited)</w:t>
            </w: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0"/>
              </w:rPr>
              <w:t>(unaudited)</w:t>
            </w:r>
          </w:p>
        </w:tc>
        <w:tc>
          <w:tcPr>
            <w:tcW w:w="220" w:type="dxa"/>
            <w:vAlign w:val="bottom"/>
          </w:tcPr>
          <w:p>
            <w:pPr>
              <w:spacing w:after="0"/>
              <w:rPr>
                <w:sz w:val="12"/>
                <w:szCs w:val="12"/>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(5,286)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(2,821)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(5,286)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(2,465)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  (2,821)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r>
      <w:tr>
        <w:trPr>
          <w:trHeight w:val="202"/>
        </w:trPr>
        <w:tc>
          <w:tcPr>
            <w:tcW w:w="3100" w:type="dxa"/>
            <w:vAlign w:val="bottom"/>
          </w:tcPr>
          <w:p>
            <w:pPr>
              <w:ind w:left="360"/>
              <w:spacing w:after="0" w:line="201" w:lineRule="exact"/>
              <w:rPr>
                <w:sz w:val="20"/>
                <w:szCs w:val="20"/>
                <w:color w:val="auto"/>
              </w:rPr>
            </w:pPr>
            <w:r>
              <w:rPr>
                <w:rFonts w:ascii="Arial" w:cs="Arial" w:eastAsia="Arial" w:hAnsi="Arial"/>
                <w:sz w:val="18"/>
                <w:szCs w:val="18"/>
                <w:color w:val="auto"/>
              </w:rPr>
              <w:t>Change in fair value of derivative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warrant liabilities</w:t>
            </w: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22,132</w:t>
            </w:r>
          </w:p>
        </w:tc>
        <w:tc>
          <w:tcPr>
            <w:tcW w:w="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23,796</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22,132</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(1,664)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23,796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r>
      <w:tr>
        <w:trPr>
          <w:trHeight w:val="202"/>
        </w:trPr>
        <w:tc>
          <w:tcPr>
            <w:tcW w:w="3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Change in fair value of earn-out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liability</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19,207</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19,207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19,207</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19,207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Transaction cost</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(927)</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(927)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9"/>
        </w:trPr>
        <w:tc>
          <w:tcPr>
            <w:tcW w:w="3100" w:type="dxa"/>
            <w:vAlign w:val="bottom"/>
          </w:tcPr>
          <w:p>
            <w:pPr>
              <w:ind w:left="720"/>
              <w:spacing w:after="0"/>
              <w:rPr>
                <w:sz w:val="20"/>
                <w:szCs w:val="20"/>
                <w:color w:val="auto"/>
              </w:rPr>
            </w:pPr>
            <w:r>
              <w:rPr>
                <w:rFonts w:ascii="Arial" w:cs="Arial" w:eastAsia="Arial" w:hAnsi="Arial"/>
                <w:sz w:val="18"/>
                <w:szCs w:val="18"/>
                <w:color w:val="auto"/>
                <w:w w:val="98"/>
              </w:rPr>
              <w:t>Total other income (expense),</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3100" w:type="dxa"/>
            <w:vAlign w:val="bottom"/>
          </w:tcPr>
          <w:p>
            <w:pPr>
              <w:ind w:left="90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37,559</w:t>
            </w:r>
          </w:p>
        </w:tc>
        <w:tc>
          <w:tcPr>
            <w:tcW w:w="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41,671</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37,559</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(4,141)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41,700</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before provision for income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(71,521)</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(38,241)</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(33,280)</w:t>
            </w: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(71,521)</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(41,727)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(29,794)</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23"/>
        </w:trPr>
        <w:tc>
          <w:tcPr>
            <w:tcW w:w="310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(71,521)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(33,280)</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(71,521)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(41,727)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(29,794)</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*nm – not meaningful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Year ended December 31, 2022 vs. 11 months ended December 31, 2021</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Revenue increased $4.9 million, or 60%, to $13.1 million for the year ended December 31, 2022, up from $8.2 million for the 11 months ended December 31, 2021. The period over period increase was attributable to a $5.3 million increase in revenue from extension of three government contracts into year-two and year-three phases, a $0.7 million increase from a non-governmental QCaaS customer, and other increases in revenue from existing projects totaling $0.4 million. These increases were offset in part by a $0.9 million decrease in revenue from a U.S. government contract that is nearing completion and a $0.6 million decrease in revenue from other customers.</w:t>
      </w:r>
    </w:p>
    <w:p>
      <w:pPr>
        <w:spacing w:after="0" w:line="188"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Our development contracts are fixed price milestone or cost share-based contracts and the timing and amounts of revenue recognized in each quarter vary based on the delivery of the associated milestones and/or work performed. We expect to continue to generate the majority of our revenue from development contracts over at least the next several years and that revenue will vary in timing and size as we work to ramp up our QCaaS business for the longer term. There may be some near-term reduction in revenue as we align to our new strategy announced in February 2023.</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86" w:right="4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Supplemental Information - Year ended December 31, 2022 vs. Unaudited 12 months ended December 31, 2021</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Revenue increased $4.5 million, or 52%, to $13.1 million for the year ended December 31, 2022, up from $8.6 million for the unaudited 12 months ended December 31, 2021. The period over period increase was primarily attributable to the reasons discussed in the section above, offset in part by one more month of activity in the 2021 comparison period. We earned $0.4 million of revenue in January 2021 which was included in the unaudited 12 months ended December 31,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Year ended December 31, 2022 vs. 11 months ended December 31, 2021</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Cost of revenue increased by $1.3 million, or 77%, to $2.9 million for the year ended December 31, 2022, as compared to $1.6 million for the 11 months ended December 31, 2021. The increase was mainly attributable to an increase in employee-related costs of $0.4 million and subcontractor costs of $0.9 million associated with specific projects and collaborative development contract services work with government agencies.</w:t>
      </w:r>
    </w:p>
    <w:p>
      <w:pPr>
        <w:spacing w:after="0" w:line="149"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We expect subcontractor costs to increase and employee-related costs to decline in the near term as a result of the reorganization efforts, including the reduction in workforce, that we announced in February 2023. In addition, we have incurred and may continue to incur increased costs associated with equipment, system components and labor due to current global economic conditions, including inflation, labor shortages and supply conditions.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Supplemental Information - Year ended December 31, 2022 vs. Unaudited 12 months ended December 31, 2021</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Cost of revenue increased by $1.1 million, or 62%, to $2.9 million for the year ended December 31, 2022, as compared to $1.8 million for the unaudited 12 months ended December 31, 2021. The increase was mainly attributable to the reasons described in the section above and one more month in the 2021 comparison period. We incurred $0.2 million of employee-related costs in January 2021 which was included in the unaudited 12 month periods ended December 31,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Year ended December 31, 2022 vs. 11 months ended December 31, 2021</w:t>
      </w:r>
    </w:p>
    <w:p>
      <w:pPr>
        <w:spacing w:after="0" w:line="11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Research and development expenses increased by $33.0 million, or 123%, to $60.0 million for the year ended December 31, 2022, from $26.9 million for the 11 months ended December 31, 2021. The period over period increase was primarily attributable to the following factors and one less month of activity in the 2021 comparison period:</w:t>
      </w:r>
    </w:p>
    <w:p>
      <w:pPr>
        <w:spacing w:after="0" w:line="89" w:lineRule="exact"/>
        <w:rPr>
          <w:sz w:val="20"/>
          <w:szCs w:val="20"/>
          <w:color w:val="auto"/>
        </w:rPr>
      </w:pPr>
    </w:p>
    <w:p>
      <w:pPr>
        <w:ind w:left="1080" w:right="240" w:hanging="424"/>
        <w:spacing w:after="0" w:line="275"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$22.6 million increase in employee-related costs for the year ended December 31, 2022 due to an increase in headcount and resulting wage increase of $9.5 million, a $13.1 million increase in stock-based compensation expense, which includes annual refresh grants of restricted stock to employees in the year ended December 31, 2022 and a one-time cumulative recognition of previously deferred stock-based compensation expense of $1.6 million related to the satisfaction of the liquidity condition with respect to outstanding stock units recognized as a result of the close of the Business Combination in March 2022.</w:t>
      </w:r>
    </w:p>
    <w:p>
      <w:pPr>
        <w:spacing w:after="0" w:line="81" w:lineRule="exact"/>
        <w:rPr>
          <w:rFonts w:ascii="Arial" w:cs="Arial" w:eastAsia="Arial" w:hAnsi="Arial"/>
          <w:sz w:val="17"/>
          <w:szCs w:val="17"/>
          <w:color w:val="auto"/>
        </w:rPr>
      </w:pPr>
    </w:p>
    <w:p>
      <w:pPr>
        <w:ind w:left="1080" w:right="40" w:hanging="424"/>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$7.4 million increase associated with the ongoing and expanded investment in research and development efforts, including a $3.5 million increase in software subscription costs, a $2.0 million increase in depreciation, a $0.9 million increase in equipment spares and materials costs, a $0.3 million increase in other costs, a $0.4 million increase in other expenses relates to travel and meal costs, and a $0.3 million increase in consultant fees.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86"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$3.0 million increase in facility costs, including a $1.3 million one-time catch up for electricity usage at our Berkeley facility from February 2019 to December 31, 2021, which was an out-of-period adjustment; additional electricity usage of $0.7 million, and an increase in operating lease expense of $1.0 million due to an expansion of office space.</w:t>
      </w:r>
    </w:p>
    <w:p>
      <w:pPr>
        <w:spacing w:after="0" w:line="184"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We expect research and development expenses to remain consistent during the next two years as a result of anticipated increase in expenses as we shift our focus to further developing the Ankaa-1 84-qubit system and improving performance with the anticipated Ankaa-2 84-qubit system, offset by our reorganization efforts announced in February 2023. Thereafter our plan is to shift to development of the anticipated Lyra 336-qubit system, working towards the goal of achieving narrow quantum advantage. We expect research and development expenses to increase as and if we near the point of achieving narrow quantum advantage. Our ability to limit research and development costs in the nearer term will be impacted by increasing costs for labor, including stock-based compensation expenses in order to attract and retain qualified personnel, equipment and component costs impacted by the current macroeconomic environment, including supply chain constraints, and labor shortages.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Supplemental Information - Year ended December 31, 2022 vs. Unaudited 12 months ended December 31, 2021</w:t>
      </w:r>
    </w:p>
    <w:p>
      <w:pPr>
        <w:spacing w:after="0" w:line="117"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Research and development expenses increased by $31.2 million, or 108%, to $60.0 million for the year ended December 31, 2022, from $28.8 million for the unaudited 12 months ended December 31, 2021. The increase was primarily attributable to the reasons discussed in the section above and one more month of expenses included in the 2021 comparison period specifically related to the following:</w:t>
      </w:r>
    </w:p>
    <w:p>
      <w:pPr>
        <w:spacing w:after="0" w:line="71"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$1.6 million of employee-related costs, including $1.4 million for wages and $0.2 million for stock-based compensation expense.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$0.2 million of depreciation expense.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Year ended December 31, 2022 vs. 11 months ended December 31, 2021</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Sales and marketing increased $3.9 million, or 156%, to $6.3 million for the year ended December 31, 2022, from $2.5 million for the 11 months ended December 31, 2021. The period over period increase was primarily attributable to a $0.8 million increase in employee related costs, a $2.0 million increase in stock-based compensation of which $0.4 million was related to the satisfaction of the liquidity condition with respect to outstanding stock units recognized as a result of the close of the Business Combination in March 2022, a $1.1 million increase for consultants and other spending for sales development activities.</w:t>
      </w:r>
    </w:p>
    <w:p>
      <w:pPr>
        <w:spacing w:after="0" w:line="188"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We expect selling and marketing expenses to marginally decrease or stay consistent during the next few years due to the reduction in workforce we implemented in February 2023 and other cost control efforts. We expect sales and marketing expenses to increase if and when we near the point of narrow quantum advantage.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Supplemental Information Year ended December 31, 2022 vs. Unaudited 12 months ended December 31, 2021</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Sales and marketing increased $3.8 million, or 148%, to $6.3 million for the year ended December 31, 2022, from $2.6 million for the unaudited 12 months ended December 31, 2021. The increase was primarily driven by the reasons discussed in the section above and one more month of activity in the 2021 comparison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Year ended December 31, 2022 vs. 11 months ended December 31, 2021</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General and administrative expenses increased by $36.3 million, or 322%, to $47.6 million for the year ended December 31, 2022, from $11.3 million for the 11 months ended December 31, 2021.</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86" w:right="49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was attributable to the following factors:</w:t>
      </w:r>
    </w:p>
    <w:p>
      <w:pPr>
        <w:spacing w:after="0" w:line="131" w:lineRule="exact"/>
        <w:rPr>
          <w:sz w:val="20"/>
          <w:szCs w:val="20"/>
          <w:color w:val="auto"/>
        </w:rPr>
      </w:pPr>
    </w:p>
    <w:p>
      <w:pPr>
        <w:ind w:left="1080" w:right="6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$27.9 million increase in stock-based compensation expense, including a one-time cumulative recognition of previously deferred stock-based compensation expense of $6.9 million related to the satisfaction of the liquidity condition with respect to outstanding stock units recognized as a result of the closing of the Business Combination.</w:t>
      </w:r>
    </w:p>
    <w:p>
      <w:pPr>
        <w:spacing w:after="0" w:line="89" w:lineRule="exact"/>
        <w:rPr>
          <w:rFonts w:ascii="Arial" w:cs="Arial" w:eastAsia="Arial" w:hAnsi="Arial"/>
          <w:sz w:val="18"/>
          <w:szCs w:val="18"/>
          <w:color w:val="auto"/>
        </w:rPr>
      </w:pPr>
    </w:p>
    <w:p>
      <w:pPr>
        <w:ind w:left="1080" w:right="580" w:hanging="424"/>
        <w:spacing w:after="0" w:line="34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$7.8 million increase in other expenses, including $4.6 million in legal and accounting costs related to public company reporting requirements, investor relation costs, other software acquisition costs, and a $3.2 million increase in consultant costs.</w:t>
      </w:r>
    </w:p>
    <w:p>
      <w:pPr>
        <w:spacing w:after="0" w:line="29"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$2.7 million increase for directors’ and officers’ insurance and other office expenses attributable to a return to in-person office work related to the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$1.8 million increase for transaction bonuses awarded to employees in recognition of the closing of the Business Combination,</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$1.8 million increase in employee related costs as a result of operating as a public company and the build out of our information security team, including higher executive salaries and increased headcount.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$0.5 million increase in depreciation expense.</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These costs were partially offset by the gain in change in fair value of our Forward Warrant Agreement of $5.8 million which was entered into with Ampere in October 2021 as part of our strategic collaboration agreement.</w:t>
      </w:r>
    </w:p>
    <w:p>
      <w:pPr>
        <w:spacing w:after="0" w:line="170"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We expect general and administrative expenses to decrease or stay consistent during the next few years due to the reduction in workforce we implemented in February 2023 and other efforts to control costs.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Supplemental Information - Year ended December 31, 2022 vs. Unaudited 12 months ended December 31, 2021</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General and administrative expenses increased by $34.5 million, or 264%, to $47.6 million for the year ended December 31, 2022, from $13.1 million for the unaudited 12 months ended December 31, 2021. The increase was attributable to the reasons described in the section above and one more month of activity in the 2021 comparison period.</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Company incurred the following costs totaling $1.8 million in January 2021 which were included in the unaudited 12 months ended December 31, 2021:</w:t>
      </w:r>
    </w:p>
    <w:p>
      <w:pPr>
        <w:spacing w:after="0" w:line="76" w:lineRule="exact"/>
        <w:rPr>
          <w:sz w:val="20"/>
          <w:szCs w:val="20"/>
          <w:color w:val="auto"/>
        </w:rPr>
      </w:pPr>
    </w:p>
    <w:p>
      <w:pPr>
        <w:ind w:left="1080" w:right="3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$0.5 million in other expenses including legal and accounting costs related to private company financing initiatives, audit, third party consulting services, preparing the company to go public and other software acquisition costs;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$0.5 million in employee related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$0.3 million in other costs attributable to return to office work;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$0.2 million in depreciation;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$0.1 million in stock-based compensation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$0.2 million in other costs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40"/>
          </w:cols>
          <w:pgMar w:left="320" w:top="486" w:right="5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Year ended December 31, 2022 vs. 11 months ended December 31, 2021</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Goodwill impairment increased by $5.4 million for the year ended December 31, 2022, when compared to the 11 months ended December 31, 2021. We test for goodwill impairment on the first of November each year and at interim dates when indicators of impairment exist. When assessing goodwill for possible impairment, we first consider qualitative factors, including but not limited to macroeconomic conditions, industry and market considerations, our overall performance and events directly affecting us. It was noted during our annual goodwill impairment assessment on November 1, 2022 that the Company had experienced a sustained decline in stock price, however, we determined at that time that our goodwill was not impaired. Subsequently, our stock price continued to decline, resulting in a triggering event that required us to evaluate goodwill for possible impairment as of December 31, 2022. After adjusting the Company’s stock market capitalization for a control premium based on market comparable transactions, we determined that the fair value of the Company was less than its carrying value or stockholder’s equity, resulting in a non-cash goodwill impairment charge of $5.4 million for the year ended December 31, 2022.</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Supplemental Information - Year ended December 31, 2022 vs. Unaudited 12 months ended December 31, 2021</w:t>
      </w:r>
    </w:p>
    <w:p>
      <w:pPr>
        <w:spacing w:after="0" w:line="117"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As the goodwill impairment occurred during the year ended December 31, 2022, the increase in impairment during the year ended December 31, 2022 as compared to the unaudited 12 months ended December 31, 2021 is related to the matter described in the above section.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Year ended December 31, 2022 vs. 11 months ended December 31, 2021</w:t>
      </w:r>
    </w:p>
    <w:p>
      <w:pPr>
        <w:spacing w:after="0" w:line="117"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Interest expense was $5.3 million and $2.5 million for the year ended December 31, 2022 and the 11 months ended December 31, 2021, respectively. The increase in expense was a result of the Loan Agreement we entered into with Trinity Capital Inc. (“Trinity”) in March 2021 (as amended from time to time, the “Loan Agreement”). The period over period increase was a combination of the Federal Reserve increasing interest rates in response to inflation and a longer interest period during the year ended December 31, 2022. For the year ended December 31, 2022, interest expense was based on the overall borrowings under the Loan Agreement of $32.0 million with higher interest rates. For the 11 months ended December 31, 2021 interest expense reflected lower borrowings and interest rates, with borrowings ranging from $12.0 to $27.0 million.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Supplemental Information - Year ended December 31, 2022 vs. Unaudited 12 months ended December 31, 2021</w:t>
      </w:r>
    </w:p>
    <w:p>
      <w:pPr>
        <w:spacing w:after="0" w:line="117" w:lineRule="exact"/>
        <w:rPr>
          <w:sz w:val="20"/>
          <w:szCs w:val="20"/>
          <w:color w:val="auto"/>
        </w:rPr>
      </w:pPr>
    </w:p>
    <w:p>
      <w:pPr>
        <w:ind w:left="120" w:right="80"/>
        <w:spacing w:after="0" w:line="381" w:lineRule="auto"/>
        <w:rPr>
          <w:sz w:val="20"/>
          <w:szCs w:val="20"/>
          <w:color w:val="auto"/>
        </w:rPr>
      </w:pPr>
      <w:r>
        <w:rPr>
          <w:rFonts w:ascii="Arial" w:cs="Arial" w:eastAsia="Arial" w:hAnsi="Arial"/>
          <w:sz w:val="15"/>
          <w:szCs w:val="15"/>
          <w:color w:val="auto"/>
        </w:rPr>
        <w:t>The increase in interest expense during the year ended December 31, 2022 as compared to the unaudited 12 months ended December 31, 2021 is related to the matter described in the above section. As the Loan Agreement was entered into in March 2021, no interest costs were incurred in January 2021.</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Year ended December 31, 2022 vs. 11 months ended December 31,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income was $2.4 million and virtually nil for the year ended December 31, 2022, and the 11 months ended December 31, 2021,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increase in interest income was a result of the available-for-sales investments we hold and the increase in interest rates on deposits due to Federal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Reserve rate increases. As of December 31, 2022, investment securities in our Trust Account consisted of $36.3 million in money market funds,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$58.2 million in United States Treasury securities, $3.6 million in corporate bonds and $23.1 million in commercial paper. We earned interest on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investments. We did not hold available-for-sales investments and did not earn interest on such investments during the 11 months ended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86"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Supplemental Information - Year ended December 31, 2022 vs. Unaudited 12 months ended December 31, 2021</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period over period increase was attributable to the reasons explained in the section above and one more month of interest income recognized in the unaudited 12 months ended December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117"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A discussion of change in fair value of warranty liabilities is included in Note 13 to our consolidated financial statements for the year ended December 31, 2022, included elsewhere in this Annual Report on Form 10-K.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Earn-out Liability</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 discussion of change in fair value of earn-out liability is included in Note 2, Sponsor Earn-Out Liability, to our consolidated financial statements for the year ended December 31, 2022, included elsewhere in this Annual Report on Form 10-K.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Year ended December 31, 2022 vs. 11 months ended December 31, 2021</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 portion of transaction costs arising from the Business Combination were allocated to liability-classified instruments that are subsequently measured at fair value through earnings. Transaction costs allocated to these instruments must be expensed as incurred. We incurred and expensed total transaction costs of $0.9 million allocated to liability-classified instruments for the year ended December 31, 2022. We did not incur any transaction costs for the 11 months ended December 31, 2021.</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Supplemental Information - Year ended December 31, 2022 vs. Unaudited 12 months ended December 31, 2021</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no transaction costs were incurred during the unaudited 12 months ended December 31, 2021, the increase in transaction costs during the year ended December 31, 2022 is related to the matter described in the section above.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86" w:right="49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have incurred net losses since inception, and experienced negative cash flows from operations. Prior to the Business Combination, we financed our operations primarily through the issuance of preferred stock, warrants, convertible notes, venture backed debt and revenues. During the year ended December 31, 2022, we incurred a net loss of $71.5 million. As of December 31, 2022, we had an accumulated deficit of $278.7 million, and we expect to incur additional losses for the foreseeable future. In connection with the closing of the Business Combination on March 2, 2022, we received net proceeds of $225.6 million. We believe that our existing balances of cash, cash equivalents and marketable securities should be sufficient to meet our anticipated operating cash needs for at least the next 12 months, based on our current business plan, and expectations and assumptions considering current macroeconomic conditions. Based on our estimates and current business plan, we expect that we will need to obtain additional capital by late 2024 or early 2025 in order to continue our research and development efforts and achieve our business objectives. We cannot be sure that additional financing will be available. If we are unable to raise additional funding when needed, we may be required to delay, limit or substantially reduce our quantum computing development efforts.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this Annual Report on Form 10-K. Global economic conditions have been worsening, with disruptions to, and volatility in, the credit and financial markets in the U.S. and worldwide resulting from the continuing effects of COVID-19 pandemic, disruptions in banking systems, international conflicts and otherwise. If these conditions persist and deepen, we could experience an inability to access additional capital or our liquidity could otherwise be impacted. If we are unable to raise capital when needed or on attractive terms, we would be forced to delay, reduce or eliminate our research and development programs and/or other efforts. A recession or additional market corrections resulting from the impact of the continuing effects of the COVID-19 pandemic and macroeconomic conditions could materially affect our business and the value of our securities.</w:t>
      </w:r>
    </w:p>
    <w:p>
      <w:pPr>
        <w:spacing w:after="0" w:line="19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Our short-term cash requirements include capital expenditures for materials and components for research and development and quantum computing fridges; working capital requirements; and strategic collaborative arrangements and investments.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long-term requirements include expenditures for the planned expansion of our quantum chip fabrication facility; planned development of multiple generations of quantum processors; and anticipated additional investments to scale our QCaaS offering.</w:t>
      </w:r>
    </w:p>
    <w:p>
      <w:pPr>
        <w:spacing w:after="0" w:line="170" w:lineRule="exact"/>
        <w:rPr>
          <w:sz w:val="20"/>
          <w:szCs w:val="20"/>
          <w:color w:val="auto"/>
        </w:rPr>
      </w:pPr>
    </w:p>
    <w:p>
      <w:pPr>
        <w:jc w:val="both"/>
        <w:ind w:left="120" w:right="280"/>
        <w:spacing w:after="0" w:line="287" w:lineRule="auto"/>
        <w:rPr>
          <w:sz w:val="20"/>
          <w:szCs w:val="20"/>
          <w:color w:val="auto"/>
        </w:rPr>
      </w:pPr>
      <w:r>
        <w:rPr>
          <w:rFonts w:ascii="Arial" w:cs="Arial" w:eastAsia="Arial" w:hAnsi="Arial"/>
          <w:sz w:val="16"/>
          <w:szCs w:val="16"/>
          <w:color w:val="auto"/>
        </w:rPr>
        <w:t>We will require a significant amount of cash for expenditures as we invest in ongoing research and development and business operations. Until such time as we can generate significant revenue from sales of our development contracts and other services, including our QCaaS offering, we expect to finance our cash needs primarily through our Loan Agreement with Trinity, our arrangements with Ampere, our committed equity financing with B.</w:t>
      </w:r>
    </w:p>
    <w:p>
      <w:pPr>
        <w:spacing w:after="0" w:line="2"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Riley, and other potential securities financings or other capital sources, including development contract revenue with government agencies and strategic partnerships. To the extent that we raise additional capital through the sale of equity or convertible debt securities, including through the use of our committed equity financing with B. Riley,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or substantially reduce our quantum computing development efforts. Our future capital requirements and the adequacy of available funds will depend on many factors, including those set forth in the section titled “Risk Factors” included in this Annual Report on Form 10-K.</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addition, actual sales, if any, of shares of our Common Stock to B. Riley pursuant to the committed equity financing will depend on a variety of factors to be determined by us from time to time, including, among other things, market conditions, the trading price of our Common Stock and determinations by us as to appropriate sources of funding for our business and operations. We cannot guarantee the extent to which we may utilize the committed equity financing.</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60"/>
          </w:cols>
          <w:pgMar w:left="320" w:top="486" w:right="5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March 10, 2021, we entered into the Loan Agreement with Trinity for term loans with a principal amount of $12.0 million, bearing an interest rate at the greater of 7.5% plus the prime rate published by the Wall Street Journal or 11.0%. In addition, we are required to pay a final payment fee equal to 2.75% of the aggregate amount of all term loan advances. The term loans under the Loan Agreement are secured by all of our assets. The Loan Agreement contains customary representations, warranties and covenants, but does not include any financial covenants. The negative covenants include restrictions on the ability to incur indebtedness, pay dividends, execute fundamental change transactions, and other specified actions. In connection with entry into the Loan Agreement, we issued a warrant to purchase shares of our Common Stock to Trinity. The Guarantor of the loan is Rigetti Holdings, Inc. and the loan is secured by substantially all of our assets.</w:t>
      </w:r>
    </w:p>
    <w:p>
      <w:pPr>
        <w:spacing w:after="0" w:line="17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On May 18, 2021, we entered into a first amendment to the Loan Agreement, which modified certain financial covenants, including an additional good faith deposit of $20,000 and adding a tranche B to the Loan Agreement in an aggregate amount of $15.0 million, consisting of two advances of</w:t>
      </w:r>
    </w:p>
    <w:p>
      <w:pPr>
        <w:ind w:left="120" w:right="40"/>
        <w:spacing w:after="0" w:line="255" w:lineRule="auto"/>
        <w:rPr>
          <w:sz w:val="20"/>
          <w:szCs w:val="20"/>
          <w:color w:val="auto"/>
        </w:rPr>
      </w:pPr>
      <w:r>
        <w:rPr>
          <w:rFonts w:ascii="Arial" w:cs="Arial" w:eastAsia="Arial" w:hAnsi="Arial"/>
          <w:sz w:val="18"/>
          <w:szCs w:val="18"/>
          <w:color w:val="auto"/>
        </w:rPr>
        <w:t>$8.0 million and $7.0 million each. In connection with such amendment, the maturity date was modified to be the date equal to 48 months from the first payment date of each specific cash advance. In connection with such amendment, we cancelled the initial warrants and issued a warrant to purchase 995,099 shares of our Common Stock.</w:t>
      </w:r>
    </w:p>
    <w:p>
      <w:pPr>
        <w:spacing w:after="0" w:line="190"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On October 21, 2021, we entered into a second amendment to the Loan Agreement, which modified the date requiring us to deliver evidence of completion of the PIPE transaction and execution of a definitive merger agreement with a special purpose acquisition company to October 31, 2021.</w:t>
      </w:r>
    </w:p>
    <w:p>
      <w:pPr>
        <w:spacing w:after="0" w:line="124"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Pursuant to the second amendment, the maturity date was modified to be the date equal to 48 months from the first payment date of each specific cash advance. Subject to an interest only period of 18 months following each specific cash advance date, the term loan incurs interest at the greater of a variable interest rate based on prime rate or 11% per annum, payable monthly. Interest-only payments are due monthly immediately following an advance for a period of 18 months and, beginning on the 19th month, principal and interest payments are due monthly.</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January 2022, we entered into the third amendment to the Loan Agreement to increase the debt commitment by $5.0 million to $32.0 million. The amendment allows us to draw an additional $5.0 million immediately with an additional $8.0 million to be drawn at the sole discretion of the lender. We drew the additional $5.0 million upon signing the amendment. Other modifications per the amendment included an extension of the requirement to raise an additional $75.0 million of equity and a defined exit fee for the additional $5.0 million to be at 20% of the advanced funds under the amendment. In conjunction with the amendment, we also guaranteed payment of all monetary amounts owed and performance of all covenants, obligations and liabilities. As of December 31, 2022, the total principal amount outstanding under the Loan Agreement was approximately $30.7 million. We use borrowings under the Loan Agreement for working capital purposes.</w:t>
      </w:r>
    </w:p>
    <w:p>
      <w:pPr>
        <w:spacing w:after="0" w:line="17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Loan Agreement is secured by a first-priority security interest in substantially all of our assets. As of the date of this Annual Report on Form 10-K, we are in compliance with all covenants under the Loan Agreement.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cash commitments as of December 31, 2022 were primarily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0" w:type="dxa"/>
            <w:vAlign w:val="bottom"/>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3"/>
          </w:tcPr>
          <w:p>
            <w:pPr>
              <w:ind w:left="600"/>
              <w:spacing w:after="0"/>
              <w:rPr>
                <w:sz w:val="20"/>
                <w:szCs w:val="20"/>
                <w:color w:val="auto"/>
              </w:rPr>
            </w:pPr>
            <w:r>
              <w:rPr>
                <w:rFonts w:ascii="Arial" w:cs="Arial" w:eastAsia="Arial" w:hAnsi="Arial"/>
                <w:sz w:val="14"/>
                <w:szCs w:val="14"/>
                <w:b w:val="1"/>
                <w:bCs w:val="1"/>
                <w:color w:val="auto"/>
                <w:w w:val="92"/>
              </w:rPr>
              <w:t>Short-Term</w:t>
            </w:r>
          </w:p>
        </w:tc>
        <w:tc>
          <w:tcPr>
            <w:tcW w:w="1360" w:type="dxa"/>
            <w:vAlign w:val="bottom"/>
            <w:gridSpan w:val="4"/>
          </w:tcPr>
          <w:p>
            <w:pPr>
              <w:ind w:left="600"/>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obligations</w:t>
            </w:r>
          </w:p>
        </w:tc>
        <w:tc>
          <w:tcPr>
            <w:tcW w:w="19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$30,709</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Estimated cash interest on financing obligations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4,683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12,839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9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48,231</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13,360</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34,871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80" w:type="dxa"/>
            <w:vAlign w:val="bottom"/>
            <w:vMerge w:val="restart"/>
          </w:tcPr>
          <w:p>
            <w:pPr>
              <w:jc w:val="right"/>
              <w:ind w:right="1170"/>
              <w:spacing w:after="0"/>
              <w:rPr>
                <w:sz w:val="20"/>
                <w:szCs w:val="20"/>
                <w:color w:val="auto"/>
              </w:rPr>
            </w:pPr>
            <w:r>
              <w:rPr>
                <w:rFonts w:ascii="Arial" w:cs="Arial" w:eastAsia="Arial" w:hAnsi="Arial"/>
                <w:sz w:val="18"/>
                <w:szCs w:val="18"/>
                <w:color w:val="auto"/>
              </w:rPr>
              <w:t>91</w:t>
            </w: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Financing obligations consist of cash principal payments related to the Loan and Security Agreement and are presented gross. These balances on the consolidated balance sheet are presented net of issuance costs. Estimated cash interest on financing obligations are based on the interest rate on the Loan and Security Agreement as of February 2023 of 15.25%. Operating lease obligations consist of obligations under non-cancelable operating leases for our offices and facilities. The cash requirements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Historical 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w w:val="94"/>
              </w:rPr>
              <w:t>Supplemental Information</w:t>
            </w: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21"/>
              <w:spacing w:after="0" w:line="119" w:lineRule="exact"/>
              <w:rPr>
                <w:sz w:val="20"/>
                <w:szCs w:val="20"/>
                <w:color w:val="auto"/>
              </w:rPr>
            </w:pPr>
            <w:r>
              <w:rPr>
                <w:rFonts w:ascii="Arial" w:cs="Arial" w:eastAsia="Arial" w:hAnsi="Arial"/>
                <w:sz w:val="13"/>
                <w:szCs w:val="13"/>
                <w:b w:val="1"/>
                <w:bCs w:val="1"/>
                <w:color w:val="auto"/>
              </w:rPr>
              <w:t>Year Ended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22"/>
              <w:spacing w:after="0" w:line="119" w:lineRule="exact"/>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11 Months</w:t>
            </w: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12 Months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2022 versus</w:t>
            </w:r>
          </w:p>
        </w:tc>
        <w:tc>
          <w:tcPr>
            <w:tcW w:w="18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2022 versus</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11 Months Ended</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12 Months Ended</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2021</w:t>
            </w:r>
          </w:p>
        </w:tc>
        <w:tc>
          <w:tcPr>
            <w:tcW w:w="1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2021</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1"/>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42"/>
              <w:spacing w:after="0" w:line="142" w:lineRule="exact"/>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color w:val="auto"/>
                <w:w w:val="92"/>
              </w:rPr>
              <w:t>(Unaudited)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2"/>
              <w:spacing w:after="0" w:line="142" w:lineRule="exact"/>
              <w:rPr>
                <w:sz w:val="20"/>
                <w:szCs w:val="20"/>
                <w:color w:val="auto"/>
              </w:rPr>
            </w:pPr>
            <w:r>
              <w:rPr>
                <w:rFonts w:ascii="Arial" w:cs="Arial" w:eastAsia="Arial" w:hAnsi="Arial"/>
                <w:sz w:val="14"/>
                <w:szCs w:val="14"/>
                <w:color w:val="auto"/>
                <w:w w:val="95"/>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(62,689)</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(29,044)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(33,645)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(62,689)</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(30,642)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(32,047)</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(107,024)</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(7,008)</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(100,016)</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(107,024)</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(7,354)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(99,670)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215,454</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25,583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189,871</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215,454</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25,601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189,853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Our cash flows from operating activities are significantly affected by our ability to achieve significant growth to offset expenditures related to research and development, sales and marketing, and general and administrative activities. Our operating cash flows are also affected by our working capital needs to support growth in personnel-related expenditures and fluctuations in accounts payable and other current assets and liabilities.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Year ended December 31, 2022 vs. 11 months ended December 31,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cash used in operating activities increased by $33.6 million, or 116%, when comparing the year ended December 31, 2022 to the 11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 The increase in spending was primarily due to:</w:t>
      </w:r>
    </w:p>
    <w:p>
      <w:pPr>
        <w:spacing w:after="0" w:line="116" w:lineRule="exact"/>
        <w:rPr>
          <w:sz w:val="20"/>
          <w:szCs w:val="20"/>
          <w:color w:val="auto"/>
        </w:rPr>
      </w:pPr>
    </w:p>
    <w:p>
      <w:pPr>
        <w:ind w:left="1080" w:right="4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headcount and payroll related costs of $20.8 million as a result of investments in research and development efforts combined with upgrading internal and external resources to operate as a public company including a one-time bonus related to the business combination of $2.1 million;</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$6.3 million increase in legal and accounting costs related to enhanced public reporting requirements, investor relation costs, and other software acquisition costs;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$3.3 million prepayment of insurance premiums for directors and officers liability insurance;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$2.8 million in additional interest costs related to increased borrowing amounts associated with the Loan Agreement;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transaction costs of $1.0 million incurred in connection with the closing of the Business Combination.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86"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Net cash used in operating activities during the year ended December 31, 2022 was $62.7 million, resulting primarily from a net loss of $71.5 million, adjusted for non-cash charges of $11.2 million. These non-cash charges were partially offset by changes in operating assets and liabilities during the period. Changes in operating assets and liabilities accounted for $2.3 million of cash used in operations. The changes primarily consisted of an increase in accounts receivable of $4.7 million; an increase in prepaid and current assets of $1.1 million; a decrease in accounts payable of $0.7 million, and a decrease in other liabilities of $0.3 million; offset by an increase in accrued expenses and other current liabilities of $4.5 million.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cash used in operating activities during the 11 months ended December 31, 2021 was $29.0 million, resulting primarily from a net loss of</w:t>
      </w:r>
    </w:p>
    <w:p>
      <w:pPr>
        <w:spacing w:after="0" w:line="35" w:lineRule="exact"/>
        <w:rPr>
          <w:sz w:val="20"/>
          <w:szCs w:val="20"/>
          <w:color w:val="auto"/>
        </w:rPr>
      </w:pPr>
    </w:p>
    <w:p>
      <w:pPr>
        <w:ind w:left="120" w:right="160"/>
        <w:spacing w:after="0" w:line="302" w:lineRule="auto"/>
        <w:rPr>
          <w:sz w:val="20"/>
          <w:szCs w:val="20"/>
          <w:color w:val="auto"/>
        </w:rPr>
      </w:pPr>
      <w:r>
        <w:rPr>
          <w:rFonts w:ascii="Arial" w:cs="Arial" w:eastAsia="Arial" w:hAnsi="Arial"/>
          <w:sz w:val="16"/>
          <w:szCs w:val="16"/>
          <w:color w:val="auto"/>
        </w:rPr>
        <w:t>$38.2 million, adjusted for non-cash charges of $9.0 million. Changes in operating assets and liabilities accounted for $0.2 million of cash provided by operations, which primarily consisted of an increase in prepaid and current assets of $0.3 million; an increase in deferred revenue of $0.5 million, an increase in accounts receivable of $1.1 million, offset by an increase in accounts payable, accrued expenses and other liabilities of $1.1 million.</w:t>
      </w:r>
    </w:p>
    <w:p>
      <w:pPr>
        <w:spacing w:after="0" w:line="15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connection with the reorganization efforts announced in February 2023, we transitioned to a newly appointed CFO and CTO and are implementing a workforce reduction in order to focus the organization and its resources on nearer-term strategic priorities. As a result of the reorganization, we expect to incur costs related to management transition, and reduce operating expenses in activities outside of focus areas in the nearer term and prioritize cash resources.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Supplemental Information - Year ended December 31, 2022 vs. Unaudited 12 months ended December 31, 2021</w:t>
      </w:r>
    </w:p>
    <w:p>
      <w:pPr>
        <w:spacing w:after="0" w:line="117"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Net cash used in operating activities increased by $32.0 million, or 105%, when comparing the year ended December 31, 2022 to the unaudited 12 months ended December 31, 2021. The increase in spending was primarily due to reasons explained in the section above.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Net cash used in investing activities during the year ended December 31, 2022 was $107.0 million, resulting from the addition of $22.7 million in property and equipment and the addition of $84.3 million in available-for-sale securities. Investments in property and equipment during this period relate primarily to process computing equipment, quantum computing fridges, and development tools for our chip fabrication facility. Investments in available-for-sale securities consist of U.S Treasury securities, commercial paper, and corporate bonds that have a maturity of one year or less.</w:t>
      </w:r>
    </w:p>
    <w:p>
      <w:pPr>
        <w:spacing w:after="0" w:line="15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Net cash used in investing activities during the 11 months ended December 31, 2021, and unaudited 12 months ended December 31, 2021 was $7.0 million and $7.4 million, respectively, and is attributable to additions to property and equipment.</w:t>
      </w:r>
    </w:p>
    <w:p>
      <w:pPr>
        <w:spacing w:after="0" w:line="170"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Net cash used in investing activities during the year ended December 31, 2022, increased by $100.0 million and $99.6 million compared to the 11 months and unaudited 12 months ended December 31, 2021, respectively, largely as a result of increased investment in available-for-sale securities and research and development infrastructure, including additional investments for electricity upgrades. Investments in our Fab 1 facility and quantum computing fridges will continue to be made to the extent necessary to support our new strategic direction referred to above.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86"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Net cash provided by financing activities during the year ended December 31, 2022 was $215.5 million, reflecting proceeds of $225.6 million from the Business Combination and PIPE Investment net of transaction costs, additional proceeds from the issuance of debt and warrants of $5.0 million associated with the Loan Agreement, less principal payments of $1.3 million, debt issuance costs and exit fees totaling $1.1 million; and proceeds from issuance of Common Stock upon exercise of stock options and warrants of $6.1 million.</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Net cash provided by financing activities was the same for the 11 months ended December 31, 2021 and unaudited 12 months ended December 31 2021 for a total of $25.6 million, mainly reflecting proceeds from the issuance of debt totaling $27.0 million less cash payments for debt issuance costs of $0.3 million, proceeds from issuance of Common Stock upon exercise of stock options and warrants for a total $0.3 million, and payment of deferred offering costs of $1.5 million.</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Net cash provided by financing activities during the year ended December 31, 2022 increased by $189.9 million as compared to both the 11 months and unaudited 12 months ended December 31, 2021, largely from the close of the Business Combination and PIPE Investment net of transaction costs, and additional proceeds from the issuance of debt and warrants during the year ended December 31, 2022. We expect to continue finance our cash needs primarily through our arrangements with Ampere, our committed equity financing with B. Riley, and other potential securities financings or capital sources.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is based on our consolidated financial statements included in this Annual Report on Form 10-K, which have been prepared in accordance with U.S. GAAP. Preparation of these financial statements requires us to make estimates and assumptions that affect the reported amounts of assets and liabilities and the disclosure of contingent assets and liabilities. We also make estimates and assumptions that affect revenue and expenses during the reporting periods. Our estimates are based on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spacing w:after="0" w:line="195"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While our significant accounting policies are described in the Notes to our consolidated financial statements for the year ended December 31, 2022, included elsewhere in this Annual Report on Form 10-K, we believe the following critical accounting policies and estimates are most important to understanding and evaluating our reported financial results.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and Private Warrants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Prior to the Business Combination, Supernova issued 4,450,000 private placement warrants (“Private Warrants”) and 8,625,000 public warrants (“Public Warrants” and collectively, “Warrants”). Each whole warrant entitles the holder to purchase one share of our Common Stock at a price of $11.50 per share, subject to adjustments and will expire five years after the Merger or earlier upon redemption or liquidation.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86" w:right="4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our stock and should be classified as a liability. Since the Private Warrants meet the definition of a derivative, we recorded the Private Warrants as liabilities in the consolidated balance sheet at fair value upon the closing of the Business Combination, with subsequent changes in the fair value recognized in the consolidated statements of operations at each reporting date. The fair value of the Private Warrants was measured using the Black-Scholes option-pricing model at each measurement date. The Public Warrants also fail to meet the indexation guidance in ASC 815 and are accounted for as liabilities as the Public Warrants include a provision whereby in a scenario in which there is not an effective registration statement, the warrant holders have a cap, 0.361 shares of Common Stock per warrant (subject to adjustment), on the issuable number of shares in a cashless exercise.</w:t>
      </w:r>
    </w:p>
    <w:p>
      <w:pPr>
        <w:spacing w:after="0" w:line="181"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Subsequent to the separate listing and trading of the Public Warrants, the fair value of the Public Warrants has been measured based on the observable listed prices for such warrants and the fair value of the Private Warrants are measured using a Monte Carlo Pricing Model.</w:t>
      </w:r>
    </w:p>
    <w:p>
      <w:pPr>
        <w:spacing w:after="0" w:line="146"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On the consummation of the Business Combination, we recorded a liability related to the Private Warrants of $9.6 million, with an offsetting entry to additional paid-in capital. As of December 31, 2022, the fair value of the Private Warrants decreased to $1.1 million, with the gain on the change in fair value of derivative warrant liabilities recorded in the consolidated statements of operations for the year ended December 31, 2022.</w:t>
      </w:r>
    </w:p>
    <w:p>
      <w:pPr>
        <w:spacing w:after="0" w:line="165"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Similarly, on the consummation of the Business Combination, we recorded a liability related to the Public Warrants of $16.3 million, with an offsetting entry to additional paid-in capital. As of December 31, 2022, the fair value of the Public Warrants decreased to $0.7 million with the gain on the change in fair value of derivative warrant liabilities recorded in the consolidated statements of operations for the year ended December 31, 2022.</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Derivative Warrant Liabilities</w:t>
      </w:r>
    </w:p>
    <w:p>
      <w:pPr>
        <w:spacing w:after="0" w:line="117"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color w:val="auto"/>
        </w:rPr>
        <w:t>We currently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815, “Derivatives and Hedging” (“ASC 815”) at the initial recognition date.</w:t>
      </w:r>
    </w:p>
    <w:p>
      <w:pPr>
        <w:spacing w:after="0" w:line="16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Other than the Public and Private Warrants noted above, we also issued a total of 783,129 Common Stock warrants in conjunction with the Loan Agreement in 2021. Such derivative warrant liabilities are classified as non-current as their liquidation is not reasonably expected to require the use of current assets or require the creation of current liabilities. We utilized the Black-Scholes model to determine the inception date fair value of the warrants of approximately $2.7 million which was recorded as part of Debt Issuance Cost. The outstanding Common Stock warrants were subsequently remeasured at each reporting period using the Black-Scholes model with the change in fair value recorded as a component of other income in the Company’s consolidated statements of operations.</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June 2, 2022, the 783,129 Common Stock warrants that were issued in connection with the Loan Agreement were exercised and the $6.4 million warrant liability was reclassified to equity. We recorded a loss of $2.0 million from the change in the fair value of the warrant liability for the year ended December 31,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Earn-Out Liability</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At Business Combination Closing, Supernova Sponsor subjected certain shares (“Sponsor Vesting Shares”) of Common Stock held by Supernova Sponsor and its permitted transferees (the “Sponsor Holders”) to forfeiture and vesting as of the Closing if thresholds related to the weighted average price of Common Stock are not met for the duration of various specified consecutive day trading periods during the five-year period following the Closing (the “Earn-out Triggering Events”). Any such shares held by the Sponsor Holders that remain unvested after the fifth anniversary of the Closing will be forfeited.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86"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Sponsor Vesting Shares are accounted for as liability classified instruments because the Earn-Out Triggering Events that determine the number of Sponsor Vesting Shares to be earned back by the Sponsor Holders include outcomes that are not solely indexed to our Common Stock. The aggregate fair value of the Sponsor Vesting Shares at the time of the Business Combination Closing was estimated using a Monte Carlo simulation model and was determined to be $20.4 million.</w:t>
      </w:r>
    </w:p>
    <w:p>
      <w:pPr>
        <w:spacing w:after="0" w:line="18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As of December 31, 2022, the Earn-Out Triggering Events were not achieved for any of the tranches, and as such, the Company adjusted the carrying amount of the liability to its estimated fair value of $1.2 million. The change in the fair value of $19.2 million is included in change in fair value of earn-out liability in the consolidated statements of operations for the year ended December 31,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Warrant Agreement</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connection with the execution of the Merger Agreement in October 2021, we entered into the Forward Warrant Agreement with Ampere for the purchase of a warrant for an aggregate purchase price (including amounts from exercise) of $10.0 million. The Forward Warrant Agreement provides for the issuance of a warrant for the purchase of an aggregate of 1,000,000 shares of Common Stock at an exercise price of $0.0001. The purchase of the warrant was conditioned upon, among other things, the consummation of the Business Combination and the entry into a collaboration agreement between Ampere and us. The collaboration agreement was entered into in January 2022. Ampere was required to pay $5.0 million to us no later than the later of (i) the Closing and (ii) June 30, 2022.</w:t>
      </w:r>
    </w:p>
    <w:p>
      <w:pPr>
        <w:spacing w:after="0" w:line="192"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On June 30, 2022, pursuant to the Warrant Subscription Agreement, we issued the warrant to Ampere upon receipt of an aggregate of $5.0 million (including the exercise price), and upon such payment and issuance, 500,000 shares of our Common Stock vested under the warrant and were immediately exercised by Ampere pursuant to the terms of the warrant. Ampere is required to pay an additional $5.0 million to us no later than the closing date of the listing of Ampere’s capital stock, provided that if the listing has not occurred by the second anniversary of the warrant subscription agreement, Ampere is not obligated to make the additional payment and we are not obligated to issue the warrants. The warrant subscription agreement further provides that we will use commercially reasonable efforts to file a registration statement to register the resale of the shares issued or issuable pursuant to the warrant and upon such payment the warrant will vest and be exercisable by Ampere with respect to 500,000 shares of Common Stock pursuant to the terms of the warrant. We filed such registration statement and it became effective in the year ended December 31, 2022.</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evaluated the Forward Warrant Agreement as a derivative in accordance with the guidance of ASC 480, “Distinguishing Liabilities from Equity”.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calculated fair value of the Forward Warrant Agreement by using the Forward Contract Pricing methodology at inception and at the end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2022. The fair value of the Forward Warrant Agreement was estimated based on the following key inputs and assumptions 1) Assumed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holding period 2) Related risk-free rate and 3) Likelihood of the outcome of the various contingencies specified in the agreement. Based on these inputs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assumption, we calculated the fair value of the Forward Warrant Agreement to be a $2.2 million derivative asset at December 31, 2022 and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$0.2 million derivative liability at December 31, 2021. We have included the derivative asset separately as a forward contract asset and the derivative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liability as a forward contract liability in the accompanying consolidated balance sheets as of December 31, 2022 and December 31, 2021, respectively.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in fair value is recorded as part of general and administrative expense in our consolidated statements of operations.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86"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Revenue consists primarily of our contracts that provide access to Rigetti quantum computing systems, collaborative research services, professional services, and the sale of custom quantum computing components. Access to Rigetti quantum computing systems can be purchased as a quantum computing subscription, or on a usage basis for a specified quantity of hours. Revenue related to subscription-based access to Rigetti quantum computing systems (i.e., quantum computing subscriptions) is recognized on a ratable basis over the subscription term, which can range from three months to two years. Revenue related to usage-based access to Rigetti quantum computing systems is recognized over time as the systems are accessed using an output method based on compute credit hours expended. Revenue related to collaborative research services and professional services is recognized over time based on completed milestones or hours or costs incurred as appropriate. Revenue for partially completed milestones deemed probable of being met is recognized using an input measure based on actual labor hours incurred to date relative to total estimated labor hours needed to complete the milestone. Revenue related to cost share contracts is recognized as the reimbursable costs are incurred. For Fixed price Milestone based contracts, revenue is recognized based on the input measure explained above as control is expected to transfer over the time period a milestone is completed. Revenue related to the sale of custom quantum computing components is recognized at a point in time upon acceptance by the customer.</w:t>
      </w:r>
    </w:p>
    <w:p>
      <w:pPr>
        <w:spacing w:after="0" w:line="17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Our fixed fee development contracts vary in term from one to five years, with the majority of such contracts having a term of 18 months to two years. When establishing the pricing for our fixed fee arrangements, we determine the pricing based on estimated costs to complete and expected margins taking into account the scope of work outlined within the contract being evaluated and our historical experience with similar services and contracts. Actual costs incurred over the period in which these contracts are fulfilled could vary from these estimates and therefore, these estimates are subject to uncertainty. On a quarterly basis, management reviews the progress with respect to each contract and its related milestones and evaluates whether any changes in estimates exists. As a result of the quarterly reviews, revisions in the estimated effort to complete the contract are reflected in the period in which the change is identified. These revisions may impact the overall progress related to transfer of control and therefore, result in either increases or decreases in revenues as well as increase or decreases in fulfillment costs and contract margins. In accordance, with ASC No. 250, Accounting Changes and Error Corrections, any changes in estimates are reflected in our consolidated statements of operations in the period in which the circumstances that give rise to the revision become known to management. To date, we have not experienced any changes in estimates that have had a material impact on our results from operations or financial position.</w:t>
      </w:r>
    </w:p>
    <w:p>
      <w:pPr>
        <w:spacing w:after="0" w:line="18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When our contracts with customers contain multiple performance obligations, the transaction price is allocated on a relative standalone selling price basis to each performance obligation. We typically determine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we will reallocate the total transaction price to each performance obligation based on the relative standalone selling price of each.</w:t>
      </w:r>
    </w:p>
    <w:p>
      <w:pPr>
        <w:spacing w:after="0" w:line="195"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transaction price is the amount of consideration to which we expect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86" w:right="4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Our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our assessment of standalone selling prices, we determined that there were no significant material rights provided to our customers requiring separate recognition.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Impairment Review</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December 2022, we tested our goodwill for impairment. See Note 5 – Goodwill of our consolidated financial statements for the year ended December 31, 2022 included elsewhere in this Annual Report on Form 10-K for additional information on how the impairment was measured. We have determined that the Company is a single reporting unit. As such, management estimated the fair value of the Company based on its market capitalization as of December 31, 2022, as adjusted for a control premium based on recent market comparable transactions.</w:t>
      </w:r>
    </w:p>
    <w:p>
      <w:pPr>
        <w:spacing w:after="0" w:line="17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Based on our analysis, we determined that the carrying value of the Company (stockholder’s equity) exceeded its fair value. As a result, we recorded a non-tax-deductible goodwill impairment charge of $5.4 million for the year ended December 31,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disclosed in Note 2 of our consolidated financial statements for the year ended December 31, 2022 included elsewhere in this Annual Report on Form 10-K.</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spacing w:after="0" w:line="177"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We will remain an emerging growth company under the JOBS Act until the earliest of (a) December 31, 2026, the last day of our first fiscal year following the fifth anniversary of the completion of SNII’s initial public offering, (b) the last date of our fiscal year in which we have total annual gross revenue of at least $1.24 billion, (c) the date on which we are deemed to be a “large accelerated filer” under the rules of the SEC with at least</w:t>
      </w:r>
    </w:p>
    <w:p>
      <w:pPr>
        <w:spacing w:after="0" w:line="2"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$700.0 million of outstanding securities held by non-affiliates or (d) the date on which we have issued more than $1.0 billion in non-convertible debt securities during the previous three years.</w:t>
      </w:r>
    </w:p>
    <w:p>
      <w:pPr>
        <w:spacing w:after="0" w:line="18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86" w:right="4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We are a smaller reporting company as defined by Rule12b- of the Exchange Act and are not required to provide the information required under this item.</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financial statements required by this item are set forth beginning on page F-1 of this Annual Report on Form 10-K.</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Securities Exchange Act) as of December 31, 2022. Based on the evaluation of our disclosure controls and procedures, our management concluded that, as of December 31, 2022, our disclosure controls and procedures were not effective due to the material weaknesses described below.</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We are adding additional controls over the review of complex financial instrument valuations and the year-end close process, which are still being implemented, as well as technical accounting resources. The material weaknesses will not be considered remediated until such time as management designs and implements effective controls that operate for a sufficient period of time and has concluded, through testing, that these controls are effective.</w:t>
      </w:r>
    </w:p>
    <w:p>
      <w:pPr>
        <w:spacing w:after="0" w:line="14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After giving full consideration to the material weaknesses and the additional procedures that we performed, management has concluded that the audited consolidated financial statements contained in this Annual Report on Form 10-K fairly present, in all material respects, our financial condition, results of operations and cash flows for the periods presented in conformity with U.S. GAAP; however, the material weaknesses could have resulted in a misstatement of account balances or disclosures that would be considered material to the annual or interim consolidated financial statements, and certain of the material weaknesses did result in errors in the financial statements and related disclosures as described below for the quarters ended March 31, 2022 and June 30, 2022, which we restated in 2022.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This Annual Report on Form 10-K does not include a report of management’s assessment regarding internal control over financial reporting as allowed by the SEC for reverse acquisitions between an issuer and a private operating company when it is not possible to conduct an assessment of the private operating company’s internal control over financial reporting in the period between the consummation date of the reverse acquisition and the date of management’s assessment of internal control over financial reporting (see Section 215.02 of the SEC Division of Corporation Finance’s Regulation S-K Compliance &amp; Disclosure Interpretations). As discussed elsewhere in this Annual Report on Form 10-K, we completed the Business Combination on March 2, 2022, pursuant to which Supernova acquired Legacy Rigetti. Prior to the Business Combination, Supernova was 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86"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special purpose acquisition company formed for the purpose of effecting a merger, capital stock exchange, asset acquisition, stock purchase, recapitalization, reorganization or similar business combination with one or more businesses. As a result, previously existing internal controls are no longer applicable or comprehensive enough as of the assessment date, as the operations prior to the business combination were insignificant compared to those of the consolidated entity post-Business Combination. As a result, management was unable, without incurring unreasonable effort or expense, to complete an assessment of our internal control over financial reporting as of December 31, 2022.</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Weaknesses</w:t>
      </w:r>
    </w:p>
    <w:p>
      <w:pPr>
        <w:spacing w:after="0" w:line="12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As previously disclosed, in connection with our unaudited condensed consolidated financial statements for the nine months ended October 31, 2021, we identified a material weakness in our internal control over financial reporting related to the lack of effective review controls over the accounting for complex financial instruments. Specifically, the controls failed to identify an error in the accounting for complex warrant instruments. The error related to the Company not properly accounting for the liability associated with the warrants to purchase common stock issued to Trinity Capital Inc. that was subsequently cancelled and reissued for a new warrant in connection with an amendment to the Loan Agreement.</w:t>
      </w:r>
    </w:p>
    <w:p>
      <w:pPr>
        <w:spacing w:after="0" w:line="16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addition, in connection with the preparation of the financial statements for the second quarter of 2022, we also identified and corrected an immaterial error related to the revaluation of the liability associated with the same warrants issued to Trinity Capital.</w:t>
      </w:r>
    </w:p>
    <w:p>
      <w:pPr>
        <w:spacing w:after="0" w:line="170"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In connection with the preparation of the financial statements for the third quarter of 2022, we discovered that the previously identified material weakness led to additional material errors related to the valuation of the Earn-out liability and the Private Warrant liability that affected the previously issued unaudited condensed consolidated financial statements as of and for the periods ended March 31, 2022 and June 30, 2022. These errors were corrected in the unaudited condensed consolidated financial statements as of and for the periods ended March 31, 2022 and June 30, 2022 through a restatement of previously filed financial statements for such periods.</w:t>
      </w:r>
    </w:p>
    <w:p>
      <w:pPr>
        <w:spacing w:after="0" w:line="18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management concluded that the previously identified material weakness in our internal control over financial reporting related to complex financial instruments was due to the fact that at the time we initially identified the material weakness, we did not have sufficient accounting resources and did not have the necessary business processes and related internal controls formally designed and implemented to address the accounting and financial reporting requirements related to complex financial instruments. This material weakness continued to exist as of December 31, 2022 due to the reasons described above and due to the shorter period of time that has elapsed since the identification of the additional errors in prior periods related to the material weakness discussed above.</w:t>
      </w:r>
    </w:p>
    <w:p>
      <w:pPr>
        <w:spacing w:after="0" w:line="19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Additionally, in connection with the preparation of the financial statements for the year ended December 31, 2022 appearing elsewhere in this Annual Report on Form 10-K, we identified a material weakness in our internal control over financial reporting related to the design and operation of our overall closing and financial reporting processes, including the timely preparation of account reconciliations, effective segregation of duties, and a lack of timely review over the financial statement close process. We have concluded that this material weakness is due to the fact that, between the date the Company went public pursuant to the business combination and December 31, 2022, the Company had limited resources and did not have the necessary business processes and related internal controls formally designed and implemented coupled with the appropriate resources with the appropriate level of experience and technical expertise to oversee our closing and financial reporting processes.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86" w:right="4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Remediation Plan</w:t>
      </w:r>
    </w:p>
    <w:p>
      <w:pPr>
        <w:spacing w:after="0" w:line="121" w:lineRule="exact"/>
        <w:rPr>
          <w:sz w:val="20"/>
          <w:szCs w:val="20"/>
          <w:color w:val="auto"/>
        </w:rPr>
      </w:pPr>
    </w:p>
    <w:p>
      <w:pPr>
        <w:ind w:left="120" w:right="3160"/>
        <w:spacing w:after="0" w:line="277" w:lineRule="auto"/>
        <w:rPr>
          <w:sz w:val="20"/>
          <w:szCs w:val="20"/>
          <w:color w:val="auto"/>
        </w:rPr>
      </w:pPr>
      <w:r>
        <w:rPr>
          <w:rFonts w:ascii="Arial" w:cs="Arial" w:eastAsia="Arial" w:hAnsi="Arial"/>
          <w:sz w:val="18"/>
          <w:szCs w:val="18"/>
          <w:color w:val="auto"/>
        </w:rPr>
        <w:t>Our remediation plan related to the material weakness over the accounting for complex financial instruments includes:</w:t>
      </w:r>
    </w:p>
    <w:p>
      <w:pPr>
        <w:spacing w:after="0" w:line="76" w:lineRule="exact"/>
        <w:rPr>
          <w:sz w:val="20"/>
          <w:szCs w:val="20"/>
          <w:color w:val="auto"/>
        </w:rPr>
      </w:pPr>
    </w:p>
    <w:p>
      <w:pPr>
        <w:ind w:left="1080" w:right="54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incorporating additional controls and procedures over the review of complex financial instrument valuations as well as technical accounting resources to identify the inventory of complex accounting and financial instruments that require accounting analysis and evaluation;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enhancing the precision of review controls over complex financial instruments;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augmenting the review process relating to the valuation analyses performed by the third-party valuation experts and accounting firms that are utilized by the Company.</w:t>
      </w:r>
    </w:p>
    <w:p>
      <w:pPr>
        <w:spacing w:after="0" w:line="170" w:lineRule="exact"/>
        <w:rPr>
          <w:sz w:val="20"/>
          <w:szCs w:val="20"/>
          <w:color w:val="auto"/>
        </w:rPr>
      </w:pPr>
    </w:p>
    <w:p>
      <w:pPr>
        <w:ind w:left="120" w:right="2940"/>
        <w:spacing w:after="0" w:line="277" w:lineRule="auto"/>
        <w:rPr>
          <w:sz w:val="20"/>
          <w:szCs w:val="20"/>
          <w:color w:val="auto"/>
        </w:rPr>
      </w:pPr>
      <w:r>
        <w:rPr>
          <w:rFonts w:ascii="Arial" w:cs="Arial" w:eastAsia="Arial" w:hAnsi="Arial"/>
          <w:sz w:val="18"/>
          <w:szCs w:val="18"/>
          <w:color w:val="auto"/>
        </w:rPr>
        <w:t>Our remediation plan related to the material weakness over our overall closing and financial reporting processes includes:</w:t>
      </w:r>
    </w:p>
    <w:p>
      <w:pPr>
        <w:spacing w:after="0" w:line="76" w:lineRule="exact"/>
        <w:rPr>
          <w:sz w:val="20"/>
          <w:szCs w:val="20"/>
          <w:color w:val="auto"/>
        </w:rPr>
      </w:pPr>
    </w:p>
    <w:p>
      <w:pPr>
        <w:ind w:left="10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hiring sufficient personnel with technical accounting and financial reporting experience to augment our current staff, to achieve appropriate segregation of duties and to improve the effectiveness of our closing and financial reporting processes;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implementing improved accounting and financial reporting procedures and systems to improve the completeness, timeliness and accuracy of our financial reporting and disclosures, including the assessment of more judgmental areas of accounting.</w:t>
      </w:r>
    </w:p>
    <w:p>
      <w:pPr>
        <w:spacing w:after="0" w:line="170"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elements of our remediation plan can only be accomplished over time, and we can offer no assurance that these initiatives will ultimately have the intended effects. As management continues to evaluate and work to improve our internal control over financial reporting, management may determine it is necessary to take additional measures to address the material weaknesses. These material weaknesses will not be considered remediated unless and until such time as management designs and implements effective controls that operate for a sufficient period of time and concludes, through testing, that these controls are effective. Until the controls have been operating for a sufficient period of time and management has concluded, through testing, that these controls are operating effectively, the material weaknesses described above will continue to exist. Management will monitor the progress of the remediation plan and report regularly to the audit committee of the board of directors on the progress and results of the remediation plan, including the identification, status and resolution of internal control deficiencies. We can provide no assurance that the measures we have taken and plan to take in the future will remediate the material weaknesses identified or that any additional material weakness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these controls and procedures may not be adequate to prevent or identify irregularities or errors or to facilitate the fair presentation of our financial statements.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For the three months ended December 31, 2022 other than the material weaknesses and remediation efforts described above, there have been no other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for “emerging growth companies.”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86"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139"/>
          </w:cols>
          <w:pgMar w:left="320" w:top="486" w:right="1440"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ABOUT OUR DIRECTORS AND EXECUTIVE OFFICERS</w:t>
      </w:r>
    </w:p>
    <w:p>
      <w:pPr>
        <w:spacing w:after="0" w:line="22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brief biographies below include information, as of March 27, 2023, regarding the specific and particular experience, qualifications, attributes and skills for each member of our board of directors.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1620" w:type="dxa"/>
            <w:vAlign w:val="bottom"/>
            <w:vMerge w:val="restart"/>
          </w:tcPr>
          <w:p>
            <w:pPr>
              <w:spacing w:after="0"/>
              <w:rPr>
                <w:sz w:val="20"/>
                <w:szCs w:val="20"/>
                <w:color w:val="auto"/>
              </w:rPr>
            </w:pPr>
            <w:r>
              <w:rPr>
                <w:rFonts w:ascii="Arial" w:cs="Arial" w:eastAsia="Arial" w:hAnsi="Arial"/>
                <w:sz w:val="18"/>
                <w:szCs w:val="18"/>
                <w:color w:val="auto"/>
              </w:rPr>
              <w:t>Executive Officers</w:t>
            </w:r>
          </w:p>
        </w:tc>
        <w:tc>
          <w:tcPr>
            <w:tcW w:w="360" w:type="dxa"/>
            <w:vAlign w:val="bottom"/>
          </w:tcPr>
          <w:p>
            <w:pPr>
              <w:ind w:left="20"/>
              <w:spacing w:after="0"/>
              <w:rPr>
                <w:sz w:val="20"/>
                <w:szCs w:val="20"/>
                <w:color w:val="auto"/>
              </w:rPr>
            </w:pPr>
            <w:r>
              <w:rPr>
                <w:rFonts w:ascii="Arial" w:cs="Arial" w:eastAsia="Arial" w:hAnsi="Arial"/>
                <w:sz w:val="14"/>
                <w:szCs w:val="14"/>
                <w:color w:val="auto"/>
                <w:w w:val="85"/>
              </w:rPr>
              <w:t>Name</w:t>
            </w:r>
          </w:p>
        </w:tc>
        <w:tc>
          <w:tcPr>
            <w:tcW w:w="1740" w:type="dxa"/>
            <w:vAlign w:val="bottom"/>
          </w:tcPr>
          <w:p>
            <w:pPr>
              <w:spacing w:after="0"/>
              <w:rPr>
                <w:sz w:val="15"/>
                <w:szCs w:val="15"/>
                <w:color w:val="auto"/>
              </w:rPr>
            </w:pP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Age</w:t>
            </w:r>
          </w:p>
        </w:tc>
        <w:tc>
          <w:tcPr>
            <w:tcW w:w="3820" w:type="dxa"/>
            <w:vAlign w:val="bottom"/>
            <w:gridSpan w:val="2"/>
          </w:tcPr>
          <w:p>
            <w:pPr>
              <w:ind w:left="3340"/>
              <w:spacing w:after="0"/>
              <w:rPr>
                <w:sz w:val="20"/>
                <w:szCs w:val="20"/>
                <w:color w:val="auto"/>
              </w:rPr>
            </w:pPr>
            <w:r>
              <w:rPr>
                <w:rFonts w:ascii="Arial" w:cs="Arial" w:eastAsia="Arial" w:hAnsi="Arial"/>
                <w:sz w:val="14"/>
                <w:szCs w:val="14"/>
                <w:color w:val="auto"/>
                <w:w w:val="92"/>
              </w:rPr>
              <w:t>Position</w:t>
            </w:r>
          </w:p>
        </w:tc>
        <w:tc>
          <w:tcPr>
            <w:tcW w:w="0" w:type="dxa"/>
            <w:vAlign w:val="bottom"/>
          </w:tcPr>
          <w:p>
            <w:pPr>
              <w:spacing w:after="0"/>
              <w:rPr>
                <w:sz w:val="1"/>
                <w:szCs w:val="1"/>
                <w:color w:val="auto"/>
              </w:rPr>
            </w:pPr>
          </w:p>
        </w:tc>
      </w:tr>
      <w:tr>
        <w:trPr>
          <w:trHeight w:val="182"/>
        </w:trPr>
        <w:tc>
          <w:tcPr>
            <w:tcW w:w="1620" w:type="dxa"/>
            <w:vAlign w:val="bottom"/>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3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Subodh Kulkarni</w:t>
            </w:r>
          </w:p>
        </w:tc>
        <w:tc>
          <w:tcPr>
            <w:tcW w:w="1980" w:type="dxa"/>
            <w:vAlign w:val="bottom"/>
            <w:gridSpan w:val="2"/>
          </w:tcPr>
          <w:p>
            <w:pPr>
              <w:jc w:val="center"/>
              <w:ind w:left="1670"/>
              <w:spacing w:after="0"/>
              <w:rPr>
                <w:sz w:val="20"/>
                <w:szCs w:val="20"/>
                <w:color w:val="auto"/>
              </w:rPr>
            </w:pPr>
            <w:r>
              <w:rPr>
                <w:rFonts w:ascii="Arial" w:cs="Arial" w:eastAsia="Arial" w:hAnsi="Arial"/>
                <w:sz w:val="18"/>
                <w:szCs w:val="18"/>
                <w:color w:val="auto"/>
                <w:w w:val="89"/>
              </w:rPr>
              <w:t>58</w:t>
            </w: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w w:val="98"/>
              </w:rPr>
              <w:t>President, Chief Executive Officer and Director</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Jeff Bertelsen</w:t>
            </w:r>
          </w:p>
        </w:tc>
        <w:tc>
          <w:tcPr>
            <w:tcW w:w="1980" w:type="dxa"/>
            <w:vAlign w:val="bottom"/>
            <w:gridSpan w:val="2"/>
          </w:tcPr>
          <w:p>
            <w:pPr>
              <w:jc w:val="center"/>
              <w:ind w:left="1670"/>
              <w:spacing w:after="0"/>
              <w:rPr>
                <w:sz w:val="20"/>
                <w:szCs w:val="20"/>
                <w:color w:val="auto"/>
              </w:rPr>
            </w:pPr>
            <w:r>
              <w:rPr>
                <w:rFonts w:ascii="Arial" w:cs="Arial" w:eastAsia="Arial" w:hAnsi="Arial"/>
                <w:sz w:val="18"/>
                <w:szCs w:val="18"/>
                <w:color w:val="auto"/>
                <w:w w:val="89"/>
              </w:rPr>
              <w:t>60</w:t>
            </w: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Rick Danis</w:t>
            </w:r>
          </w:p>
        </w:tc>
        <w:tc>
          <w:tcPr>
            <w:tcW w:w="1980" w:type="dxa"/>
            <w:vAlign w:val="bottom"/>
            <w:gridSpan w:val="2"/>
          </w:tcPr>
          <w:p>
            <w:pPr>
              <w:jc w:val="center"/>
              <w:ind w:left="1670"/>
              <w:spacing w:after="0"/>
              <w:rPr>
                <w:sz w:val="20"/>
                <w:szCs w:val="20"/>
                <w:color w:val="auto"/>
              </w:rPr>
            </w:pPr>
            <w:r>
              <w:rPr>
                <w:rFonts w:ascii="Arial" w:cs="Arial" w:eastAsia="Arial" w:hAnsi="Arial"/>
                <w:sz w:val="18"/>
                <w:szCs w:val="18"/>
                <w:color w:val="auto"/>
                <w:w w:val="89"/>
              </w:rPr>
              <w:t>53</w:t>
            </w: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General Counsel and Corporate Secretary</w:t>
            </w: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David Rivas</w:t>
            </w:r>
          </w:p>
        </w:tc>
        <w:tc>
          <w:tcPr>
            <w:tcW w:w="1980" w:type="dxa"/>
            <w:vAlign w:val="bottom"/>
            <w:gridSpan w:val="2"/>
          </w:tcPr>
          <w:p>
            <w:pPr>
              <w:jc w:val="center"/>
              <w:ind w:left="1670"/>
              <w:spacing w:after="0"/>
              <w:rPr>
                <w:sz w:val="20"/>
                <w:szCs w:val="20"/>
                <w:color w:val="auto"/>
              </w:rPr>
            </w:pPr>
            <w:r>
              <w:rPr>
                <w:rFonts w:ascii="Arial" w:cs="Arial" w:eastAsia="Arial" w:hAnsi="Arial"/>
                <w:sz w:val="18"/>
                <w:szCs w:val="18"/>
                <w:color w:val="auto"/>
                <w:w w:val="89"/>
              </w:rPr>
              <w:t>62</w:t>
            </w: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310"/>
        </w:trPr>
        <w:tc>
          <w:tcPr>
            <w:tcW w:w="1980" w:type="dxa"/>
            <w:vAlign w:val="bottom"/>
            <w:gridSpan w:val="2"/>
          </w:tcPr>
          <w:p>
            <w:pPr>
              <w:spacing w:after="0"/>
              <w:rPr>
                <w:sz w:val="20"/>
                <w:szCs w:val="20"/>
                <w:color w:val="auto"/>
              </w:rPr>
            </w:pPr>
            <w:r>
              <w:rPr>
                <w:rFonts w:ascii="Arial" w:cs="Arial" w:eastAsia="Arial" w:hAnsi="Arial"/>
                <w:sz w:val="18"/>
                <w:szCs w:val="18"/>
                <w:color w:val="auto"/>
                <w:w w:val="99"/>
              </w:rPr>
              <w:t>Non-Employee Directors</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Alissa Fitzgerald</w:t>
            </w:r>
          </w:p>
        </w:tc>
        <w:tc>
          <w:tcPr>
            <w:tcW w:w="1980" w:type="dxa"/>
            <w:vAlign w:val="bottom"/>
            <w:gridSpan w:val="2"/>
          </w:tcPr>
          <w:p>
            <w:pPr>
              <w:jc w:val="center"/>
              <w:ind w:left="1670"/>
              <w:spacing w:after="0"/>
              <w:rPr>
                <w:sz w:val="20"/>
                <w:szCs w:val="20"/>
                <w:color w:val="auto"/>
              </w:rPr>
            </w:pPr>
            <w:r>
              <w:rPr>
                <w:rFonts w:ascii="Arial" w:cs="Arial" w:eastAsia="Arial" w:hAnsi="Arial"/>
                <w:sz w:val="18"/>
                <w:szCs w:val="18"/>
                <w:color w:val="auto"/>
                <w:w w:val="89"/>
              </w:rPr>
              <w:t>53</w:t>
            </w: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Ray Johnson</w:t>
            </w:r>
          </w:p>
        </w:tc>
        <w:tc>
          <w:tcPr>
            <w:tcW w:w="1980" w:type="dxa"/>
            <w:vAlign w:val="bottom"/>
            <w:gridSpan w:val="2"/>
          </w:tcPr>
          <w:p>
            <w:pPr>
              <w:jc w:val="center"/>
              <w:ind w:left="1670"/>
              <w:spacing w:after="0"/>
              <w:rPr>
                <w:sz w:val="20"/>
                <w:szCs w:val="20"/>
                <w:color w:val="auto"/>
              </w:rPr>
            </w:pPr>
            <w:r>
              <w:rPr>
                <w:rFonts w:ascii="Arial" w:cs="Arial" w:eastAsia="Arial" w:hAnsi="Arial"/>
                <w:sz w:val="18"/>
                <w:szCs w:val="18"/>
                <w:color w:val="auto"/>
                <w:w w:val="89"/>
              </w:rPr>
              <w:t>67</w:t>
            </w: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David Cowan</w:t>
            </w:r>
          </w:p>
        </w:tc>
        <w:tc>
          <w:tcPr>
            <w:tcW w:w="1980" w:type="dxa"/>
            <w:vAlign w:val="bottom"/>
            <w:gridSpan w:val="2"/>
          </w:tcPr>
          <w:p>
            <w:pPr>
              <w:jc w:val="center"/>
              <w:ind w:left="1670"/>
              <w:spacing w:after="0"/>
              <w:rPr>
                <w:sz w:val="20"/>
                <w:szCs w:val="20"/>
                <w:color w:val="auto"/>
              </w:rPr>
            </w:pPr>
            <w:r>
              <w:rPr>
                <w:rFonts w:ascii="Arial" w:cs="Arial" w:eastAsia="Arial" w:hAnsi="Arial"/>
                <w:sz w:val="18"/>
                <w:szCs w:val="18"/>
                <w:color w:val="auto"/>
                <w:w w:val="89"/>
              </w:rPr>
              <w:t>57</w:t>
            </w: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Cathy McCarthy</w:t>
            </w:r>
          </w:p>
        </w:tc>
        <w:tc>
          <w:tcPr>
            <w:tcW w:w="1980" w:type="dxa"/>
            <w:vAlign w:val="bottom"/>
            <w:gridSpan w:val="2"/>
          </w:tcPr>
          <w:p>
            <w:pPr>
              <w:jc w:val="center"/>
              <w:ind w:left="1670"/>
              <w:spacing w:after="0"/>
              <w:rPr>
                <w:sz w:val="20"/>
                <w:szCs w:val="20"/>
                <w:color w:val="auto"/>
              </w:rPr>
            </w:pPr>
            <w:r>
              <w:rPr>
                <w:rFonts w:ascii="Arial" w:cs="Arial" w:eastAsia="Arial" w:hAnsi="Arial"/>
                <w:sz w:val="18"/>
                <w:szCs w:val="18"/>
                <w:color w:val="auto"/>
                <w:w w:val="89"/>
              </w:rPr>
              <w:t>75</w:t>
            </w: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Michael Clifton</w:t>
            </w:r>
          </w:p>
        </w:tc>
        <w:tc>
          <w:tcPr>
            <w:tcW w:w="1980" w:type="dxa"/>
            <w:vAlign w:val="bottom"/>
            <w:gridSpan w:val="2"/>
          </w:tcPr>
          <w:p>
            <w:pPr>
              <w:jc w:val="center"/>
              <w:ind w:left="1670"/>
              <w:spacing w:after="0"/>
              <w:rPr>
                <w:sz w:val="20"/>
                <w:szCs w:val="20"/>
                <w:color w:val="auto"/>
              </w:rPr>
            </w:pPr>
            <w:r>
              <w:rPr>
                <w:rFonts w:ascii="Arial" w:cs="Arial" w:eastAsia="Arial" w:hAnsi="Arial"/>
                <w:sz w:val="18"/>
                <w:szCs w:val="18"/>
                <w:color w:val="auto"/>
                <w:w w:val="89"/>
              </w:rPr>
              <w:t>43</w:t>
            </w: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H. Gail Sandford</w:t>
            </w:r>
          </w:p>
        </w:tc>
        <w:tc>
          <w:tcPr>
            <w:tcW w:w="1980" w:type="dxa"/>
            <w:vAlign w:val="bottom"/>
            <w:gridSpan w:val="2"/>
          </w:tcPr>
          <w:p>
            <w:pPr>
              <w:jc w:val="center"/>
              <w:ind w:left="1670"/>
              <w:spacing w:after="0"/>
              <w:rPr>
                <w:sz w:val="20"/>
                <w:szCs w:val="20"/>
                <w:color w:val="auto"/>
              </w:rPr>
            </w:pPr>
            <w:r>
              <w:rPr>
                <w:rFonts w:ascii="Arial" w:cs="Arial" w:eastAsia="Arial" w:hAnsi="Arial"/>
                <w:sz w:val="18"/>
                <w:szCs w:val="18"/>
                <w:color w:val="auto"/>
                <w:w w:val="89"/>
              </w:rPr>
              <w:t>59</w:t>
            </w: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i w:val="1"/>
          <w:iCs w:val="1"/>
          <w:color w:val="auto"/>
        </w:rPr>
        <w:t xml:space="preserve">Subodh Kulkarni. </w:t>
      </w:r>
      <w:r>
        <w:rPr>
          <w:rFonts w:ascii="Arial" w:cs="Arial" w:eastAsia="Arial" w:hAnsi="Arial"/>
          <w:sz w:val="17"/>
          <w:szCs w:val="17"/>
          <w:color w:val="auto"/>
        </w:rPr>
        <w:t>Dr. Subodh Kulkarni has served as President, Chief Executive Officer and director of Rigetti since December 2022. Dr. Kulkarni</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president, chief executive officer, and member of the board of directors of CyberOptics Corporation (“CyperOptics”), a developer and manufacturer of high precision sensors and inspection systems for the semiconductor and electronics industry. He held these roles from 2014 until CyberOptics was acquired by Nordson Corporation in November 2022. Prior to CyberOptics, Dr. Kulkarni was chief executive officer of Prism Computational Sciences, a developer of software tools for scientific and commercial applications in the semiconductor industry. Earlier in his career, he held additional leadership positions, including chief technology officer and senior vice president of OEM/Emerging business, global commercial business, R&amp;D and manufacturing at Imation, a global scalable storage and data security company. Dr. Kulkarni began his career in research and management positions with 3M Corporation and IBM. He received his B.S. in chemical engineering from the Indian Institute of Technology, Mumbai, and later obtained a M.S. and Ph.D. in chemical engineering from MIT. Dr. Kulkarni currently serves on the board of directors of KeyTronic Corporation (Nasdaq: KTCC), an electronics manufacturing services company, as well as chairman of the board of directors of Prism Computational Sciences. We believe Dr. Kulkarni is well qualified to serve on our Board because of his prior leadership and officer positions at technology and software companies.</w:t>
      </w:r>
    </w:p>
    <w:p>
      <w:pPr>
        <w:spacing w:after="0" w:line="17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 xml:space="preserve">Jeff Bertelsen. </w:t>
      </w:r>
      <w:r>
        <w:rPr>
          <w:rFonts w:ascii="Arial" w:cs="Arial" w:eastAsia="Arial" w:hAnsi="Arial"/>
          <w:sz w:val="17"/>
          <w:szCs w:val="17"/>
          <w:color w:val="auto"/>
        </w:rPr>
        <w:t>Mr. Bertelsen was most recently Chief Financial Officer and Chief Operating Officer of CyberOptics Corporation, a developer and</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of high precision sensors and inspection systems for the semiconductor and electronics industry. Mr. Bertelsen joined CyberOptics as Vice President—Finance and Chief Financial Officer in 2005. In February 2014, Mr. Bertelsen was appointed Chief Operating Officer of CyberOptics, and also retained his positions as Vice President—Finance and Chief Financial Officer. Mr. Bertelsen was also appointed Secretary of CyberOptics in February 2016. Before joining CyberOptics, Mr. Bertelsen held various positions with Computer Network Technology Corporation, a provider of storage networking equipment and solutions (“CNT”), as Vice President, Finance, Corporate Controller and Treasurer and Assistant Secretary. Prior to joining CNT, Mr. Bertelsen was a Certified Public Accountant with KPMG LLP.</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86" w:right="4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i w:val="1"/>
          <w:iCs w:val="1"/>
          <w:color w:val="auto"/>
        </w:rPr>
        <w:t xml:space="preserve">Rick Danis. </w:t>
      </w:r>
      <w:r>
        <w:rPr>
          <w:rFonts w:ascii="Arial" w:cs="Arial" w:eastAsia="Arial" w:hAnsi="Arial"/>
          <w:sz w:val="16"/>
          <w:szCs w:val="16"/>
          <w:color w:val="auto"/>
        </w:rPr>
        <w:t>Mr. Danis has served as General Counsel and Corporate Secretary of Rigetti since immediately following the consummation of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and served as Legacy Rigetti’s General Counsel and Corporate Secretary from July 2019 until the consummation of the Business Combination. Prior to joining Legacy Rigetti, Mr. Danis served as Chief Legal Officer and corporate secretary at Kymeta Corporation from May 2018 to July 2019. Mr. Danis also served as Senior Vice President and Assistant General Counsel at Funko from December 2017 to May 2018 and as General Counsel and Corporate Secretary at publicly traded Rightside Group, Ltd. from August 2014 until August 2017. In addition, Mr. Danis has served as a director on the board of F3 Nation, Inc. since January 2020. In all, Mr. Danis has over 25 years of experience practicing law, almost exclusively in-house at technology companies. Mr. Danis received a B.B.A. in accounting from Ohio University and a J.D. from DePaul University College of Law.</w:t>
      </w:r>
    </w:p>
    <w:p>
      <w:pPr>
        <w:spacing w:after="0" w:line="166"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color w:val="auto"/>
        </w:rPr>
        <w:t>David Rivas</w:t>
      </w:r>
      <w:r>
        <w:rPr>
          <w:rFonts w:ascii="Arial" w:cs="Arial" w:eastAsia="Arial" w:hAnsi="Arial"/>
          <w:sz w:val="17"/>
          <w:szCs w:val="17"/>
          <w:color w:val="auto"/>
        </w:rPr>
        <w:t>. Mr. Rivas has served as Chief Technology Officer since February 2023 and previously was Senior Vice President, Systems and Services at</w:t>
      </w:r>
      <w:r>
        <w:rPr>
          <w:rFonts w:ascii="Arial" w:cs="Arial" w:eastAsia="Arial" w:hAnsi="Arial"/>
          <w:sz w:val="17"/>
          <w:szCs w:val="17"/>
          <w:i w:val="1"/>
          <w:iCs w:val="1"/>
          <w:color w:val="auto"/>
        </w:rPr>
        <w:t xml:space="preserve"> </w:t>
      </w:r>
      <w:r>
        <w:rPr>
          <w:rFonts w:ascii="Arial" w:cs="Arial" w:eastAsia="Arial" w:hAnsi="Arial"/>
          <w:sz w:val="17"/>
          <w:szCs w:val="17"/>
          <w:color w:val="auto"/>
        </w:rPr>
        <w:t>Rigetti since March 2019, where he oversaw the engineering and operations of Rigetti’s Quantum Cloud Services platform. Mr. Rivas served as Vice President Engineering at Bolt Threads from March 2017- February 2018. He served as President and COO and later as CEO of Stage 3 Systems from 2013-2015. He held several roles at Nokia from 2007-2012 including Vice President, Emerging Products and Vice President, Product &amp; Technology Management. From October 2003- February 2006 he served as Chief Technology Officer - Client Systems Group at Sun Microsystems. He holds a B.S. and M.S. in electrical and computer engineering, both from the University of California, San Diego.</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 xml:space="preserve">Alissa M. Fitzgerald. </w:t>
      </w:r>
      <w:r>
        <w:rPr>
          <w:rFonts w:ascii="Arial" w:cs="Arial" w:eastAsia="Arial" w:hAnsi="Arial"/>
          <w:sz w:val="16"/>
          <w:szCs w:val="16"/>
          <w:color w:val="auto"/>
        </w:rPr>
        <w:t>Dr. Fitzgerald has served as a member of the Board since March 2022 and previously served as a member of the Legacy Rigetti</w:t>
      </w:r>
      <w:r>
        <w:rPr>
          <w:rFonts w:ascii="Arial" w:cs="Arial" w:eastAsia="Arial" w:hAnsi="Arial"/>
          <w:sz w:val="16"/>
          <w:szCs w:val="16"/>
          <w:i w:val="1"/>
          <w:iCs w:val="1"/>
          <w:color w:val="auto"/>
        </w:rPr>
        <w:t xml:space="preserve"> </w:t>
      </w:r>
      <w:r>
        <w:rPr>
          <w:rFonts w:ascii="Arial" w:cs="Arial" w:eastAsia="Arial" w:hAnsi="Arial"/>
          <w:sz w:val="16"/>
          <w:szCs w:val="16"/>
          <w:color w:val="auto"/>
        </w:rPr>
        <w:t>Board from April 2018 until the consummation of the Business Combination. She has also served as the Chief Executive Officer and Managing Member of A.M. Fitzgerald &amp; Associates, LLC, a consulting services firm for micro electromechanical systems (MEMS) product development and technology since 2003. She had previously worked in engineering or management positions at several technology companies. She currently serves as a member of the board of directors of Transducer Research Foundation since 2016 and served as a board director for the MEMS Industry Group (MIG) from 2008 to 2014. Dr. Fitzgerald received a PhD. in aeronautics and astronautics from Stanford University and an M.S. and B.S. in aeronautics and astronautics from the Massachusetts Institute of Technology. We believe Dr. Fitzgerald is qualified to serve as a member of the Board because of her extensive experience as a senior executive and substantial knowledge in semiconductor and electronics technology.</w:t>
      </w:r>
    </w:p>
    <w:p>
      <w:pPr>
        <w:spacing w:after="0" w:line="165"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i w:val="1"/>
          <w:iCs w:val="1"/>
          <w:color w:val="auto"/>
        </w:rPr>
        <w:t xml:space="preserve">Dr. Ray O. Johnson. </w:t>
      </w:r>
      <w:r>
        <w:rPr>
          <w:rFonts w:ascii="Arial" w:cs="Arial" w:eastAsia="Arial" w:hAnsi="Arial"/>
          <w:sz w:val="17"/>
          <w:szCs w:val="17"/>
          <w:color w:val="auto"/>
        </w:rPr>
        <w:t>Dr. Johnson has served as a member of the Board since March 2022 and previously served as a member of the Legacy Rigetti</w:t>
      </w:r>
      <w:r>
        <w:rPr>
          <w:rFonts w:ascii="Arial" w:cs="Arial" w:eastAsia="Arial" w:hAnsi="Arial"/>
          <w:sz w:val="17"/>
          <w:szCs w:val="17"/>
          <w:i w:val="1"/>
          <w:iCs w:val="1"/>
          <w:color w:val="auto"/>
        </w:rPr>
        <w:t xml:space="preserve"> </w:t>
      </w:r>
      <w:r>
        <w:rPr>
          <w:rFonts w:ascii="Arial" w:cs="Arial" w:eastAsia="Arial" w:hAnsi="Arial"/>
          <w:sz w:val="17"/>
          <w:szCs w:val="17"/>
          <w:color w:val="auto"/>
        </w:rPr>
        <w:t>Board from August 2019 until the consummation of the Business Combination. He has served as Chief Executive Officer of the Technology Innovation Institute since August 2021, and also has served as Operating Partner at Bessemer Venture Partners since July 2020, after joining Bessemer Venture Partners as an Executive In Residence in June 2015. Prior to that, Dr. Johnson served as Senior Vice President and Chief Technology Officer of the Lockheed Martin Corporation from July 2006 to February 2015. He also served as Senior Vice President and Chief Operating Officer of Modern Technology Solutions, Inc. from June 2005 to July 2006 and as Senior Vice President and Business Unit General Manager at SAIC from January 1996 to June 2005. Dr. Johnson is also a member of the board of directors of Xanadu Quantum Technologies. Dr. Johnson received a B.S. in electrical engineering from Oklahoma State University and a PhD. and M.S. in electrical engineering from the U.S. Air Force Institute of Technology. We believe Dr. Johnson is qualified to serve as a member of the Board because of his integral involvement in the technology industry, generally, and management roles at global venture capital firms.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86" w:right="4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i w:val="1"/>
          <w:iCs w:val="1"/>
          <w:color w:val="auto"/>
        </w:rPr>
        <w:t xml:space="preserve">David Cowan. </w:t>
      </w:r>
      <w:r>
        <w:rPr>
          <w:rFonts w:ascii="Arial" w:cs="Arial" w:eastAsia="Arial" w:hAnsi="Arial"/>
          <w:sz w:val="16"/>
          <w:szCs w:val="16"/>
          <w:color w:val="auto"/>
        </w:rPr>
        <w:t>Mr. Cowan has served as a member of the Board since March 2022 and previously served as a member of the Legacy Rigetti Board from</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2021 until the consummation of the Business Combination. Mr. Cowan is a partner at Bessemer Venture Partners, a venture capital investment firm. Mr. Cowan is or has been a member of the board of directors of a number of portfolio companies of Bessemer Venture Partners, including Xanadu Quantum Technologies. Mr. Cowan is also a member of the board of directors of Rocket Lab USA, Inc. Mr. Cowan holds an A.B. in Computer Science and Mathematics from Harvard University and an MBA from Harvard Business School. We believe Mr. Cowan is qualified to serve as a member of the Board because of his integral involvement in the technology industry, generally, and his experience in the venture capital industry.</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 xml:space="preserve">Cathy McCarthy. </w:t>
      </w:r>
      <w:r>
        <w:rPr>
          <w:rFonts w:ascii="Arial" w:cs="Arial" w:eastAsia="Arial" w:hAnsi="Arial"/>
          <w:sz w:val="16"/>
          <w:szCs w:val="16"/>
          <w:color w:val="auto"/>
        </w:rPr>
        <w:t>Ms. McCarthy has served as a member of the Board since March 2022 and, has served as Chair of the Board since July 15, 2022.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Ms. McCarthy previously served as a member of Legacy Rigetti Board from July 2021 until the consummation of the Business Combination.</w:t>
      </w:r>
    </w:p>
    <w:p>
      <w:pPr>
        <w:spacing w:after="0" w:line="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Ms. McCarthy is currently President and CEO of Cross Tack Consulting, a strategy consulting firm. Ms. McCarthy previously served as Chief Executive Officer and as Chief Financial Officer of SM&amp;A, a publicly traded company specializing in business capture and program services support services to government contractors. Ms. McCarthy served on the board of directors, compensation committee and audit committee of Solta Medical, Inc., prior to its merger with Valeant Pharmaceuticals International, Inc. She currently serves as a board member and audit committee chair of the Middleby Corporation, a publicly-traded leader in the foodservice equipment industry. Ms. McCarthy began her career at Mellon Bank, N.A., where she was Vice President of several lending departments and was responsible for oversight of highly leveraged and distress assets. We believe Ms. McCarthy is qualified to serve as a member of the Board because of her extensive experience and prior public board and audit committee experience.</w:t>
      </w:r>
    </w:p>
    <w:p>
      <w:pPr>
        <w:spacing w:after="0" w:line="16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i w:val="1"/>
          <w:iCs w:val="1"/>
          <w:color w:val="auto"/>
        </w:rPr>
        <w:t>Michael Clifton</w:t>
      </w:r>
      <w:r>
        <w:rPr>
          <w:rFonts w:ascii="Arial" w:cs="Arial" w:eastAsia="Arial" w:hAnsi="Arial"/>
          <w:sz w:val="17"/>
          <w:szCs w:val="17"/>
          <w:color w:val="auto"/>
        </w:rPr>
        <w:t>. Mr. Clifton has served as a member of the Board since March 2022 and previously served as the Chief Financial Officer and a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 Supernova since its inception. Mr. Clifton currently serves as a Partner at Falfurrias Management where he helps lead Falfurrias Growth Partners. Prior to that, he was Chief Financial Officer and/or a director of Supernova Partners Acquisition Company I Inc. and Supernova Partners Acquisition Company III Ltd. Prior to that he was a senior investment professional at The Carlyle Group from 2010 to 2020 as a member of its flagship U.S. Buyout team where he helped lead Carlyle’s investing activities in the technology and business services sectors. During his tenure he worked on transactions involving companies in multiple sectors, including enterprise software, financial technology, semiconductors, and IT services. He has served on four private boards and has been a board observer of a public company. Over his career, Mr. Clifton has been involved in several leveraged buyouts, growth investments, and carve-outs. Mr. Clifton has substantial public market experience and has helped lead the public offerings of three companies. Prior to joining Carlyle, Mr. Clifton worked at two middle market private equity firms, as well as in the M&amp;A group of Bank of America Securities. He earned a Bachelor of Arts, cum laude, in classics from Davidson College, and an MBA with High Distinction from the Harvard Business School where he was a Baker Scholar. We believe Mr. Clifton is qualified to serve on the Board due to his corporate finance experience and experience investing in technology companies, including semiconductor businesses.</w:t>
      </w:r>
    </w:p>
    <w:p>
      <w:pPr>
        <w:spacing w:after="0" w:line="17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i w:val="1"/>
          <w:iCs w:val="1"/>
          <w:color w:val="auto"/>
        </w:rPr>
        <w:t xml:space="preserve">H. Gail Sandford. </w:t>
      </w:r>
      <w:r>
        <w:rPr>
          <w:rFonts w:ascii="Arial" w:cs="Arial" w:eastAsia="Arial" w:hAnsi="Arial"/>
          <w:sz w:val="17"/>
          <w:szCs w:val="17"/>
          <w:color w:val="auto"/>
        </w:rPr>
        <w:t>Ms. Sandford has served as a member of the Board since March 2022. Currently Ms. Sandford holds the position as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Business Transformation Office at The Aerospace Corporation. Prior to joining The Aerospace Corporation, Ms. Sandford served as Chief Operations Officer of Recros Medica, an aesthetic medical device startup from 2017 to 2022, and as Chief Operations Officer of PFMG Solar, a leading solar developer in the municipal and school market from 2011 to 2017. Previously, Ms. Sandford served as Vice President at SM&amp;A, a publicly traded consulting firm specializing in business capture and program support services for clients in aerospace, defense, homeland security, and information services, and as Director of Proprietary Programs at Boeing, where she led a program to deliver a novel classified space system. Ms. Sandford holds a B.S. in physics from North Georgia College, an M.S. in engineering from The George Washington University, and an MBA from the University of Southern California. We believe Ms. Sandford is qualified to serve on the Board due to her experience in managing large, complex technical programs and her significant government contract experience.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86" w:right="4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business and affairs are organized under the direction of the Board. The Board will meet on a regular basis and additionally as required.</w:t>
      </w:r>
    </w:p>
    <w:p>
      <w:pPr>
        <w:spacing w:after="0" w:line="23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In accordance with the terms of the Bylaws, the Board may establish the authorized number of directors from time to time by resolution. The Board consists of seven members. In accordance with the Certificate of Incorporation, the Board is divided into three classes with staggered three-year terms. At each annual meeting of stockholders, the successors to directors whose terms then expire will be elected to serve from the time of election and qualification until the third annual meeting following election. The Board is divided among the three classes as follows:</w:t>
      </w:r>
    </w:p>
    <w:p>
      <w:pPr>
        <w:spacing w:after="0" w:line="77" w:lineRule="exact"/>
        <w:rPr>
          <w:sz w:val="20"/>
          <w:szCs w:val="20"/>
          <w:color w:val="auto"/>
        </w:rPr>
      </w:pPr>
    </w:p>
    <w:p>
      <w:pPr>
        <w:ind w:left="1080" w:right="6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Class I directors are Subodh Kulkarni, Ray Johnson and H. Gail Sandford, and their terms will expire at the annual meeting of stockholders to be held in 2023;</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Class II directors are Alissa Fitzgerald and David Cowan, and their terms will expire at the annual meeting of stockholders to be held in 2024;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Class III directors are Cathy McCarthy and Michael Clifton and their terms will expire at the annual meeting of stockholders to be held in 2025.</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nearly as possible, each class will continue to consist of one-third of the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division of the Board into three classes with staggered three-year terms may delay or prevent a change of our management or a change in control.</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Under the Nasdaq Stock Market (“Nasdaq”) listing standards, a majority of the members of a listed company’s Board must qualify as “independent,” as affirmatively determined by the Board. The Board consults with the Company’s counsel to ensure that the Board’s determinations with respect to independence are consistent with relevant securities and other laws and regulations regarding the definition of “independent,” including those set forth in pertinent listing standards of Nasdaq, as in effect from time to time.</w:t>
      </w:r>
    </w:p>
    <w:p>
      <w:pPr>
        <w:spacing w:after="0" w:line="187"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Based on information provided by each director concerning his or her background, employment and affiliations, the Board determined that none of our directors, other than Mr. Kulkarni, has any relationships that would interfere with the exercise of independent judgment in carrying out the responsibilities of a director, and that each of our directors, other than Mr. Kulkarni, is “independent” as that term is defined under the Nasdaq listing standards. In addition, our Board previously determined that Peter Pace, who served as a director and chair of the Board during 2022, including as a member of the audit committee and the compensation committee, and resigned effective July 2022, was “independent” as that term is defined under the Nasdaq listing standards. In making these determinations, the Board considered the current and prior relationships that each non-employee director has with Rigetti and all other facts and circumstances our Board deemed relevant in determining their independence, including the beneficial ownership of securities of Rigetti by each non-employee director and the transactions described in the section titled “</w:t>
      </w:r>
      <w:r>
        <w:rPr>
          <w:rFonts w:ascii="Arial" w:cs="Arial" w:eastAsia="Arial" w:hAnsi="Arial"/>
          <w:sz w:val="16"/>
          <w:szCs w:val="16"/>
          <w:i w:val="1"/>
          <w:iCs w:val="1"/>
          <w:color w:val="auto"/>
        </w:rPr>
        <w:t>Certain Relationships and Related Person</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The Board also determined that each member of our Audit, Compensation and Nominating and Corporate Governance Committees</w:t>
      </w:r>
      <w:r>
        <w:rPr>
          <w:rFonts w:ascii="Arial" w:cs="Arial" w:eastAsia="Arial" w:hAnsi="Arial"/>
          <w:sz w:val="16"/>
          <w:szCs w:val="16"/>
          <w:i w:val="1"/>
          <w:iCs w:val="1"/>
          <w:color w:val="auto"/>
        </w:rPr>
        <w:t xml:space="preserve"> </w:t>
      </w:r>
      <w:r>
        <w:rPr>
          <w:rFonts w:ascii="Arial" w:cs="Arial" w:eastAsia="Arial" w:hAnsi="Arial"/>
          <w:sz w:val="16"/>
          <w:szCs w:val="16"/>
          <w:color w:val="auto"/>
        </w:rPr>
        <w:t>satisfies the independence standards for such committees established by the SEC and the Nasdaq listing standards, as applicable.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86"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Oversight/Risk Committee</w:t>
      </w:r>
    </w:p>
    <w:p>
      <w:pPr>
        <w:spacing w:after="0" w:line="121"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One of the key functions of the Board is the informed oversight of our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Board’s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Board’s audit committee also monitors compliance with legal and regulatory requirements and assesses cybersecurity risks, including through its standing subcommittee focused on cybersecurity. The Board’s compensation committee also assesses and monitor whether our compensation plans, policies and programs comply with applicable legal and regulatory requirements.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Board adopted a charter for each of its committees, which comply with the applicable requirements of current SEC and Nasdaq rules. We intend to comply with future requirements to the extent applicable. Copies of the charters for each committee are available on the investor relations portion of our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audit committee consists of Cathy McCarthy, H. Gail Sandford, Alissa Fitzgerald and Michael Clifton, each of whom the Board has determined satisfies the independence requirements under Nasdaq listing standards and Rule 10A-3(b)(1) of the Exchange Act. The chair of the audit committee is Ms. McCarthy. The Board has determined that Ms. McCarthy is an “audit committee financial expert” within the meaning of SEC regulations. Each member of the audit committee can read and understand fundamental financial statements in accordance with applicable requirements. In arriving at these determinations, the Board examined each audit committee member’s scope of experience and the nature of their employment.</w:t>
      </w:r>
    </w:p>
    <w:p>
      <w:pPr>
        <w:spacing w:after="0" w:line="161"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the Board with respect to the corporate accounting and financial reporting processes, systems of internal control and financial statement audits, and to oversee the independent registered public accounting firm. Specific responsibilities of the audit committee include:</w:t>
      </w:r>
    </w:p>
    <w:p>
      <w:pPr>
        <w:spacing w:after="0" w:line="89" w:lineRule="exact"/>
        <w:rPr>
          <w:sz w:val="20"/>
          <w:szCs w:val="20"/>
          <w:color w:val="auto"/>
        </w:rPr>
      </w:pPr>
    </w:p>
    <w:p>
      <w:pPr>
        <w:ind w:left="1080" w:right="26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 our accounting and financial reporting processes, systems of internal control, financial statement audits and the integrity of our financial statements;</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 the selection, engagement terms, fees, qualifications, independence, and performance of the registered public accounting firms engaged as our independent outside auditors for the purpose of preparing or issuing an audit report or performing audit services (the “Auditors”);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maintain and foster an open avenue of communication with our management, internal audit group (if any) and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any reports or disclosures required by applicable law and stock exchange listing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 the design, implementation, organization and performance of our internal audit function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help our Board oversee our legal and regulatory compliance, including risk assessment;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 our technology security and data privacy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prepare the audit committee report required by the SEC to be included in our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regular reports and information to the Board.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86" w:right="49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compensation committee consists of Ray Johnson and Michael Clifton. The chair of the compensation committee is Mr. Clifton. The Board has determined that each member of the compensation committee is independent under the Nasdaq listing standards and a “non-employee director” as defined in Rule 16b-3 promulgated under the Exchange Act.</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primary purpose of the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compensation committee include:</w:t>
      </w:r>
    </w:p>
    <w:p>
      <w:pPr>
        <w:spacing w:after="0" w:line="89" w:lineRule="exact"/>
        <w:rPr>
          <w:sz w:val="20"/>
          <w:szCs w:val="20"/>
          <w:color w:val="auto"/>
        </w:rPr>
      </w:pPr>
    </w:p>
    <w:p>
      <w:pPr>
        <w:ind w:left="1080" w:right="3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help the Board oversee our compensation policies, plans and programs with a goal to attract, incentivize, retain and reward top quality executive management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and determine the compensation to be paid to our executive officers and directors;</w:t>
      </w:r>
    </w:p>
    <w:p>
      <w:pPr>
        <w:spacing w:after="0" w:line="130"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when required, review and discuss with management our compensation disclosures in the “Compensation Discussion and Analysis” section of our annual reports, registration statements, proxy statements or information statements filed with the SEC;</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when required, prepare and review the Committee report on executive compensation included in our annual proxy statement;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review and ensure our talent management strategies are aligned to best practices and ensure we attract, retain and develop top talent.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nominating and corporate governance committee consists of Alissa Fitzgerald, H. Gail Sandford, and David Cowan. The chair of the nominating and corporate governance committee is Ms. Sandford. The Board has determined that each member of the nominating and corporate governance committee is independent under the Nasdaq listing standards.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responsibilities of the nominating and corporate governance committee include:</w:t>
      </w:r>
    </w:p>
    <w:p>
      <w:pPr>
        <w:spacing w:after="0" w:line="131" w:lineRule="exact"/>
        <w:rPr>
          <w:sz w:val="20"/>
          <w:szCs w:val="20"/>
          <w:color w:val="auto"/>
        </w:rPr>
      </w:pPr>
    </w:p>
    <w:p>
      <w:pPr>
        <w:ind w:left="1080" w:right="2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help the Board oversee our corporate governance functions and develop, update as necessary and recommend to the Board the governance principles applicable to Rigetti;</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 evaluate and recommend and communicate with candidates qualified to become Board members or nominees for directors of the Board consistent with criteria approved by the Board;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other recommendations to the Board relating to the directors of Rigetti.</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None of the members of our compensation committee has ever been an executive officer or employee of Rigetti. None of our executive officers currently serve, or has served during the last completed fiscal year, on the compensation committee or board of directors of any other entity that has one or more executive officers that serve as a member of the Board or compensation committee.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60"/>
          </w:cols>
          <w:pgMar w:left="320" w:top="486" w:right="5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Board adopted a Code of Business Conduct and Ethics (the “Code of Conduct”) applicable to all of our employees, executive officers and directors. The Code of Conduct is available at the investors section of our website at https://www.rigetti.com/investor-information. Information contained on or accessible through the website is not a part of this prospectus, and the inclusion of the website address in this prospectus is an inactive textual reference only. Any amendments to the Code of Conduct, or any waivers of its requirements, are expected to be disclosed on our website at the above location to the extent required by applicable rules and exchange requirements, including in order to satisfy Item 5.05 of Form 8-K. The reference to our website address does not constitute incorporation by reference of the information contained at or available through our website, and you should not consider it to be a part of this prospectus.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Board has adopted the Rigetti Computing, Inc. Corporate Governance Guidelines for the conduct and operation of the Board in order to give directors a flexible framework for effectively pursuing our objectives for the benefit of our stockholders. The Corporate Governance Guidelines set forth the practices the Board intends to follow with respect to board composition and selection, board meetings and involvement of senior management, Chief Executive Officer performance evaluation and management succession planning and board committees and compensation. The Corporate Governance Guidelines are available in the investors section of our website at https://www.rigetti.com/investor-information.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Section 16(a) of the Exchange Act requires our directors, certain officers and persons who beneficially own more than 10% of the outstanding shares of our common stock to report to the SEC their initial ownership of our common stock and any subsequent changes in that ownership.</w:t>
      </w:r>
    </w:p>
    <w:p>
      <w:pPr>
        <w:spacing w:after="0" w:line="14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Based solely on our review of such reports filed electronically with the SEC and written representations from reporting persons that no other reports were required during the fiscal year ended December 31, 2022, we believe that all Section 16(a) filing requirements applicable to such persons were met in a timely manner, except that Ms. McCarthy, one of our directors, failed to timely file a Form 4 with respect to one transaction in shares of our common stock during the reporting period.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21"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The Certificate of Incorporation limits a directors’ liability to the fullest extent permitted under the DGCL. The DGCL provides that directors of a corporation will not be personally liable for monetary damages for breach of their fiduciary duties as directors, except for liability:</w:t>
      </w:r>
    </w:p>
    <w:p>
      <w:pPr>
        <w:spacing w:after="0" w:line="52"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our stockholders.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the directors will be eliminated or limited to the fullest extent permitted by the DGCL, as so amended.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86" w:right="4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Delaware law and the Bylaws provide that the Company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In addition, the Company entered into separate indemnification agreements with our directors and officers. These agreements, among other things, require the Company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8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the Charter and Bylaws and these indemnification agreements are necessary to attract and retain qualified persons as directors and officers.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86" w:right="4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i w:val="1"/>
          <w:iCs w:val="1"/>
          <w:color w:val="auto"/>
        </w:rPr>
        <w:t>Unless the context otherwise requires, any reference in this section of this prospectus to “Rigetti,” “we,” “us,” “our” or “the Company” refers to Legacy Rigetti and its consolidated subsidiaries prior to the consummation of the Business Combination and to Rigetti and its consolidated subsidiaries following the Business Combination.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fiscal year ended December 31, 2022 (“fiscal year 2022”), our named executive officers were:</w:t>
      </w:r>
    </w:p>
    <w:p>
      <w:pPr>
        <w:spacing w:after="0" w:line="131"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Subodh Kulkarni, Current President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Rick Danis, Rigetti’s Former Interim President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Chad Rigetti, Former President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Brian Sereda, Former Chief Financial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Michael Harburn, Former Chief Technology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Taryn Naidu, Former Chief Operating Officer</w:t>
      </w:r>
    </w:p>
    <w:p>
      <w:pPr>
        <w:spacing w:after="0" w:line="225"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Mr. Kulkarni joined Rigetti as President and Chief Executive Officer in December 2022 and was not a named executive officer for fiscal year 2021. On November 12, 2022, the board accepted the resignation of Dr. Rigetti as the Company’s President and Chief Executive Officer and appointed Rick Danis as the Interim President and Chief Executive Officer. Dr. Rigetti continued as a director and non-executive employee of Rigetti until December 15,</w:t>
      </w:r>
    </w:p>
    <w:p>
      <w:pPr>
        <w:spacing w:after="0" w:line="2" w:lineRule="exact"/>
        <w:rPr>
          <w:sz w:val="20"/>
          <w:szCs w:val="20"/>
          <w:color w:val="auto"/>
        </w:rPr>
      </w:pPr>
    </w:p>
    <w:p>
      <w:pPr>
        <w:jc w:val="both"/>
        <w:ind w:left="120" w:right="440"/>
        <w:spacing w:after="0" w:line="255" w:lineRule="auto"/>
        <w:rPr>
          <w:sz w:val="20"/>
          <w:szCs w:val="20"/>
          <w:color w:val="auto"/>
        </w:rPr>
      </w:pPr>
      <w:r>
        <w:rPr>
          <w:rFonts w:ascii="Arial" w:cs="Arial" w:eastAsia="Arial" w:hAnsi="Arial"/>
          <w:sz w:val="18"/>
          <w:szCs w:val="18"/>
          <w:color w:val="auto"/>
        </w:rPr>
        <w:t>2022. On February 9, 2023, Mr. Harburn’s employment with Rigetti ended and Mr. Sereda ceased serving as Chief Financial Officer of Rigetti. On April 18, 2022, Mr. Naidu’s employment with Rigetti terminated. Dr. Rigetti, Mr. Sereda and Mr. Naidu were also named executive officers for the 11-months ended December 31, 2021 (“fiscal year 2021”).</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our named executive officers for the fiscal years ended December 31, 2021 and December 31, 2022:</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8"/>
              </w:rPr>
              <w:t>Non-Equity</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8"/>
        </w:trPr>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Incentive Plan</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rPr>
              <w:t>All Other</w:t>
            </w:r>
          </w:p>
        </w:tc>
        <w:tc>
          <w:tcPr>
            <w:tcW w:w="1000" w:type="dxa"/>
            <w:vAlign w:val="bottom"/>
          </w:tcPr>
          <w:p>
            <w:pPr>
              <w:spacing w:after="0"/>
              <w:rPr>
                <w:sz w:val="12"/>
                <w:szCs w:val="12"/>
                <w:color w:val="auto"/>
              </w:rPr>
            </w:pPr>
          </w:p>
        </w:tc>
      </w:tr>
      <w:tr>
        <w:trPr>
          <w:trHeight w:val="148"/>
        </w:trPr>
        <w:tc>
          <w:tcPr>
            <w:tcW w:w="3520" w:type="dxa"/>
            <w:vAlign w:val="bottom"/>
          </w:tcPr>
          <w:p>
            <w:pPr>
              <w:spacing w:after="0"/>
              <w:rPr>
                <w:sz w:val="12"/>
                <w:szCs w:val="12"/>
                <w:color w:val="auto"/>
              </w:rPr>
            </w:pP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Fiscal</w:t>
            </w:r>
          </w:p>
        </w:tc>
        <w:tc>
          <w:tcPr>
            <w:tcW w:w="8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Salary</w:t>
            </w:r>
            <w:r>
              <w:rPr>
                <w:rFonts w:ascii="Arial" w:cs="Arial" w:eastAsia="Arial" w:hAnsi="Arial"/>
                <w:sz w:val="10"/>
                <w:szCs w:val="10"/>
                <w:color w:val="auto"/>
              </w:rPr>
              <w:t>(1)</w:t>
            </w:r>
          </w:p>
        </w:tc>
        <w:tc>
          <w:tcPr>
            <w:tcW w:w="8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Bonus</w:t>
            </w:r>
            <w:r>
              <w:rPr>
                <w:rFonts w:ascii="Arial" w:cs="Arial" w:eastAsia="Arial" w:hAnsi="Arial"/>
                <w:sz w:val="10"/>
                <w:szCs w:val="10"/>
                <w:color w:val="auto"/>
              </w:rPr>
              <w:t>(2)</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Awards</w:t>
            </w:r>
            <w:r>
              <w:rPr>
                <w:rFonts w:ascii="Arial" w:cs="Arial" w:eastAsia="Arial" w:hAnsi="Arial"/>
                <w:sz w:val="10"/>
                <w:szCs w:val="10"/>
                <w:color w:val="auto"/>
                <w:w w:val="94"/>
              </w:rPr>
              <w:t>(3)</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Awards</w:t>
            </w:r>
            <w:r>
              <w:rPr>
                <w:rFonts w:ascii="Arial" w:cs="Arial" w:eastAsia="Arial" w:hAnsi="Arial"/>
                <w:sz w:val="10"/>
                <w:szCs w:val="10"/>
                <w:color w:val="auto"/>
                <w:w w:val="94"/>
              </w:rPr>
              <w:t>(4)</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Compensation</w:t>
            </w:r>
            <w:r>
              <w:rPr>
                <w:rFonts w:ascii="Arial" w:cs="Arial" w:eastAsia="Arial" w:hAnsi="Arial"/>
                <w:sz w:val="10"/>
                <w:szCs w:val="10"/>
                <w:color w:val="auto"/>
                <w:w w:val="93"/>
              </w:rPr>
              <w:t>(5)</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3"/>
              </w:rPr>
              <w:t>Compensation</w:t>
            </w:r>
            <w:r>
              <w:rPr>
                <w:rFonts w:ascii="Arial" w:cs="Arial" w:eastAsia="Arial" w:hAnsi="Arial"/>
                <w:sz w:val="10"/>
                <w:szCs w:val="10"/>
                <w:color w:val="auto"/>
                <w:w w:val="93"/>
              </w:rPr>
              <w:t>(6)</w:t>
            </w:r>
          </w:p>
        </w:tc>
        <w:tc>
          <w:tcPr>
            <w:tcW w:w="10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Total</w:t>
            </w:r>
          </w:p>
        </w:tc>
      </w:tr>
      <w:tr>
        <w:trPr>
          <w:trHeight w:val="167"/>
        </w:trPr>
        <w:tc>
          <w:tcPr>
            <w:tcW w:w="3520" w:type="dxa"/>
            <w:vAlign w:val="bottom"/>
          </w:tcPr>
          <w:p>
            <w:pPr>
              <w:spacing w:after="0"/>
              <w:rPr>
                <w:sz w:val="20"/>
                <w:szCs w:val="20"/>
                <w:color w:val="auto"/>
              </w:rPr>
            </w:pPr>
            <w:r>
              <w:rPr>
                <w:rFonts w:ascii="Arial" w:cs="Arial" w:eastAsia="Arial" w:hAnsi="Arial"/>
                <w:sz w:val="14"/>
                <w:szCs w:val="14"/>
                <w:color w:val="auto"/>
              </w:rPr>
              <w:t>Name, Principal Position</w:t>
            </w:r>
          </w:p>
        </w:tc>
        <w:tc>
          <w:tcPr>
            <w:tcW w:w="640" w:type="dxa"/>
            <w:vAlign w:val="bottom"/>
          </w:tcPr>
          <w:p>
            <w:pPr>
              <w:ind w:left="180"/>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253"/>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000" w:type="dxa"/>
            <w:vAlign w:val="bottom"/>
          </w:tcPr>
          <w:p>
            <w:pPr>
              <w:jc w:val="right"/>
              <w:ind w:right="353"/>
              <w:spacing w:after="0"/>
              <w:rPr>
                <w:sz w:val="20"/>
                <w:szCs w:val="20"/>
                <w:color w:val="auto"/>
              </w:rPr>
            </w:pPr>
            <w:r>
              <w:rPr>
                <w:rFonts w:ascii="Arial" w:cs="Arial" w:eastAsia="Arial" w:hAnsi="Arial"/>
                <w:sz w:val="14"/>
                <w:szCs w:val="14"/>
                <w:color w:val="auto"/>
              </w:rPr>
              <w:t>($)</w:t>
            </w:r>
          </w:p>
        </w:tc>
      </w:tr>
      <w:tr>
        <w:trPr>
          <w:trHeight w:val="216"/>
        </w:trPr>
        <w:tc>
          <w:tcPr>
            <w:tcW w:w="35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Subodh Kulkarni</w:t>
            </w:r>
            <w:r>
              <w:rPr>
                <w:rFonts w:ascii="Arial" w:cs="Arial" w:eastAsia="Arial" w:hAnsi="Arial"/>
                <w:sz w:val="25"/>
                <w:szCs w:val="25"/>
                <w:color w:val="auto"/>
                <w:vertAlign w:val="superscript"/>
              </w:rPr>
              <w:t>(7)</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16,619</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1,527,975</w:t>
            </w:r>
          </w:p>
        </w:tc>
        <w:tc>
          <w:tcPr>
            <w:tcW w:w="1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1,544,594</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 CEO</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2"/>
        </w:trPr>
        <w:tc>
          <w:tcPr>
            <w:tcW w:w="3520" w:type="dxa"/>
            <w:vAlign w:val="bottom"/>
          </w:tcPr>
          <w:p>
            <w:pPr>
              <w:spacing w:after="0" w:line="201" w:lineRule="exact"/>
              <w:rPr>
                <w:sz w:val="20"/>
                <w:szCs w:val="20"/>
                <w:color w:val="auto"/>
              </w:rPr>
            </w:pPr>
            <w:r>
              <w:rPr>
                <w:rFonts w:ascii="Arial" w:cs="Arial" w:eastAsia="Arial" w:hAnsi="Arial"/>
                <w:sz w:val="16"/>
                <w:szCs w:val="16"/>
                <w:color w:val="auto"/>
              </w:rPr>
              <w:t>Rick Danis</w:t>
            </w:r>
            <w:r>
              <w:rPr>
                <w:rFonts w:ascii="Arial" w:cs="Arial" w:eastAsia="Arial" w:hAnsi="Arial"/>
                <w:sz w:val="23"/>
                <w:szCs w:val="23"/>
                <w:color w:val="auto"/>
                <w:vertAlign w:val="superscript"/>
              </w:rPr>
              <w:t>(8)</w:t>
            </w:r>
          </w:p>
        </w:tc>
        <w:tc>
          <w:tcPr>
            <w:tcW w:w="640" w:type="dxa"/>
            <w:vAlign w:val="bottom"/>
          </w:tcPr>
          <w:p>
            <w:pPr>
              <w:ind w:left="160"/>
              <w:spacing w:after="0" w:line="201" w:lineRule="exact"/>
              <w:rPr>
                <w:sz w:val="20"/>
                <w:szCs w:val="20"/>
                <w:color w:val="auto"/>
              </w:rPr>
            </w:pPr>
            <w:r>
              <w:rPr>
                <w:rFonts w:ascii="Arial" w:cs="Arial" w:eastAsia="Arial" w:hAnsi="Arial"/>
                <w:sz w:val="18"/>
                <w:szCs w:val="18"/>
                <w:color w:val="auto"/>
              </w:rPr>
              <w:t>2022</w:t>
            </w:r>
          </w:p>
        </w:tc>
        <w:tc>
          <w:tcPr>
            <w:tcW w:w="800" w:type="dxa"/>
            <w:vAlign w:val="bottom"/>
          </w:tcPr>
          <w:p>
            <w:pPr>
              <w:jc w:val="right"/>
              <w:ind w:right="13"/>
              <w:spacing w:after="0" w:line="201" w:lineRule="exact"/>
              <w:rPr>
                <w:sz w:val="20"/>
                <w:szCs w:val="20"/>
                <w:color w:val="auto"/>
              </w:rPr>
            </w:pPr>
            <w:r>
              <w:rPr>
                <w:rFonts w:ascii="Arial" w:cs="Arial" w:eastAsia="Arial" w:hAnsi="Arial"/>
                <w:sz w:val="18"/>
                <w:szCs w:val="18"/>
                <w:color w:val="auto"/>
              </w:rPr>
              <w:t>393,962</w:t>
            </w:r>
          </w:p>
        </w:tc>
        <w:tc>
          <w:tcPr>
            <w:tcW w:w="820" w:type="dxa"/>
            <w:vAlign w:val="bottom"/>
          </w:tcPr>
          <w:p>
            <w:pPr>
              <w:jc w:val="right"/>
              <w:ind w:right="33"/>
              <w:spacing w:after="0" w:line="201" w:lineRule="exact"/>
              <w:rPr>
                <w:sz w:val="20"/>
                <w:szCs w:val="20"/>
                <w:color w:val="auto"/>
              </w:rPr>
            </w:pPr>
            <w:r>
              <w:rPr>
                <w:rFonts w:ascii="Arial" w:cs="Arial" w:eastAsia="Arial" w:hAnsi="Arial"/>
                <w:sz w:val="18"/>
                <w:szCs w:val="18"/>
                <w:color w:val="auto"/>
              </w:rPr>
              <w:t>460,309</w:t>
            </w:r>
          </w:p>
        </w:tc>
        <w:tc>
          <w:tcPr>
            <w:tcW w:w="1020" w:type="dxa"/>
            <w:vAlign w:val="bottom"/>
          </w:tcPr>
          <w:p>
            <w:pPr>
              <w:jc w:val="right"/>
              <w:ind w:right="15"/>
              <w:spacing w:after="0" w:line="201" w:lineRule="exact"/>
              <w:rPr>
                <w:sz w:val="20"/>
                <w:szCs w:val="20"/>
                <w:color w:val="auto"/>
              </w:rPr>
            </w:pPr>
            <w:r>
              <w:rPr>
                <w:rFonts w:ascii="Arial" w:cs="Arial" w:eastAsia="Arial" w:hAnsi="Arial"/>
                <w:sz w:val="18"/>
                <w:szCs w:val="18"/>
                <w:color w:val="auto"/>
              </w:rPr>
              <w:t>2,220,086</w:t>
            </w:r>
          </w:p>
        </w:tc>
        <w:tc>
          <w:tcPr>
            <w:tcW w:w="920" w:type="dxa"/>
            <w:vAlign w:val="bottom"/>
          </w:tcPr>
          <w:p>
            <w:pPr>
              <w:ind w:left="56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ind w:left="780"/>
              <w:spacing w:after="0" w:line="201"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line="201" w:lineRule="exact"/>
              <w:rPr>
                <w:sz w:val="20"/>
                <w:szCs w:val="20"/>
                <w:color w:val="auto"/>
              </w:rPr>
            </w:pPr>
            <w:r>
              <w:rPr>
                <w:rFonts w:ascii="Arial" w:cs="Arial" w:eastAsia="Arial" w:hAnsi="Arial"/>
                <w:sz w:val="18"/>
                <w:szCs w:val="18"/>
                <w:color w:val="auto"/>
              </w:rPr>
              <w:t>2,352</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3,076,709</w:t>
            </w:r>
          </w:p>
        </w:tc>
      </w:tr>
      <w:tr>
        <w:trPr>
          <w:trHeight w:val="216"/>
        </w:trPr>
        <w:tc>
          <w:tcPr>
            <w:tcW w:w="3520" w:type="dxa"/>
            <w:vAlign w:val="bottom"/>
          </w:tcPr>
          <w:p>
            <w:pPr>
              <w:spacing w:after="0"/>
              <w:rPr>
                <w:sz w:val="20"/>
                <w:szCs w:val="20"/>
                <w:color w:val="auto"/>
              </w:rPr>
            </w:pPr>
            <w:r>
              <w:rPr>
                <w:rFonts w:ascii="Arial" w:cs="Arial" w:eastAsia="Arial" w:hAnsi="Arial"/>
                <w:sz w:val="18"/>
                <w:szCs w:val="18"/>
                <w:i w:val="1"/>
                <w:iCs w:val="1"/>
                <w:color w:val="auto"/>
                <w:w w:val="99"/>
              </w:rPr>
              <w:t>Former Interim President and CEO, General</w:t>
            </w: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i w:val="1"/>
                <w:iCs w:val="1"/>
                <w:color w:val="auto"/>
              </w:rPr>
              <w:t>Counsel and Secretary</w:t>
            </w: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35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Chad Rigetti</w:t>
            </w:r>
            <w:r>
              <w:rPr>
                <w:rFonts w:ascii="Arial" w:cs="Arial" w:eastAsia="Arial" w:hAnsi="Arial"/>
                <w:sz w:val="25"/>
                <w:szCs w:val="25"/>
                <w:color w:val="auto"/>
                <w:vertAlign w:val="superscript"/>
              </w:rPr>
              <w:t>(9)</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411,053</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402,350</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36,454,550</w:t>
            </w:r>
          </w:p>
        </w:tc>
        <w:tc>
          <w:tcPr>
            <w:tcW w:w="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168,957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37,436,910</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Former President and CEO</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320,833</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1,300</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2,998,877</w:t>
            </w:r>
          </w:p>
        </w:tc>
        <w:tc>
          <w:tcPr>
            <w:tcW w:w="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56,000</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584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3,377,594</w:t>
            </w:r>
          </w:p>
        </w:tc>
      </w:tr>
      <w:tr>
        <w:trPr>
          <w:trHeight w:val="202"/>
        </w:trPr>
        <w:tc>
          <w:tcPr>
            <w:tcW w:w="3520" w:type="dxa"/>
            <w:vAlign w:val="bottom"/>
          </w:tcPr>
          <w:p>
            <w:pPr>
              <w:spacing w:after="0" w:line="201" w:lineRule="exact"/>
              <w:rPr>
                <w:sz w:val="20"/>
                <w:szCs w:val="20"/>
                <w:color w:val="auto"/>
              </w:rPr>
            </w:pPr>
            <w:r>
              <w:rPr>
                <w:rFonts w:ascii="Arial" w:cs="Arial" w:eastAsia="Arial" w:hAnsi="Arial"/>
                <w:sz w:val="16"/>
                <w:szCs w:val="16"/>
                <w:color w:val="auto"/>
              </w:rPr>
              <w:t>Brian Sereda</w:t>
            </w:r>
            <w:r>
              <w:rPr>
                <w:rFonts w:ascii="Arial" w:cs="Arial" w:eastAsia="Arial" w:hAnsi="Arial"/>
                <w:sz w:val="23"/>
                <w:szCs w:val="23"/>
                <w:color w:val="auto"/>
                <w:vertAlign w:val="superscript"/>
              </w:rPr>
              <w:t>(10)</w:t>
            </w:r>
          </w:p>
        </w:tc>
        <w:tc>
          <w:tcPr>
            <w:tcW w:w="640" w:type="dxa"/>
            <w:vAlign w:val="bottom"/>
          </w:tcPr>
          <w:p>
            <w:pPr>
              <w:ind w:left="160"/>
              <w:spacing w:after="0" w:line="201" w:lineRule="exact"/>
              <w:rPr>
                <w:sz w:val="20"/>
                <w:szCs w:val="20"/>
                <w:color w:val="auto"/>
              </w:rPr>
            </w:pPr>
            <w:r>
              <w:rPr>
                <w:rFonts w:ascii="Arial" w:cs="Arial" w:eastAsia="Arial" w:hAnsi="Arial"/>
                <w:sz w:val="18"/>
                <w:szCs w:val="18"/>
                <w:color w:val="auto"/>
              </w:rPr>
              <w:t>2022</w:t>
            </w:r>
          </w:p>
        </w:tc>
        <w:tc>
          <w:tcPr>
            <w:tcW w:w="800" w:type="dxa"/>
            <w:vAlign w:val="bottom"/>
          </w:tcPr>
          <w:p>
            <w:pPr>
              <w:jc w:val="right"/>
              <w:ind w:right="13"/>
              <w:spacing w:after="0" w:line="201" w:lineRule="exact"/>
              <w:rPr>
                <w:sz w:val="20"/>
                <w:szCs w:val="20"/>
                <w:color w:val="auto"/>
              </w:rPr>
            </w:pPr>
            <w:r>
              <w:rPr>
                <w:rFonts w:ascii="Arial" w:cs="Arial" w:eastAsia="Arial" w:hAnsi="Arial"/>
                <w:sz w:val="18"/>
                <w:szCs w:val="18"/>
                <w:color w:val="auto"/>
              </w:rPr>
              <w:t>344,080</w:t>
            </w:r>
          </w:p>
        </w:tc>
        <w:tc>
          <w:tcPr>
            <w:tcW w:w="820" w:type="dxa"/>
            <w:vAlign w:val="bottom"/>
          </w:tcPr>
          <w:p>
            <w:pPr>
              <w:jc w:val="right"/>
              <w:ind w:right="33"/>
              <w:spacing w:after="0" w:line="201" w:lineRule="exact"/>
              <w:rPr>
                <w:sz w:val="20"/>
                <w:szCs w:val="20"/>
                <w:color w:val="auto"/>
              </w:rPr>
            </w:pPr>
            <w:r>
              <w:rPr>
                <w:rFonts w:ascii="Arial" w:cs="Arial" w:eastAsia="Arial" w:hAnsi="Arial"/>
                <w:sz w:val="18"/>
                <w:szCs w:val="18"/>
                <w:color w:val="auto"/>
              </w:rPr>
              <w:t>25,000</w:t>
            </w:r>
          </w:p>
        </w:tc>
        <w:tc>
          <w:tcPr>
            <w:tcW w:w="1020" w:type="dxa"/>
            <w:vAlign w:val="bottom"/>
          </w:tcPr>
          <w:p>
            <w:pPr>
              <w:jc w:val="right"/>
              <w:ind w:right="15"/>
              <w:spacing w:after="0" w:line="201" w:lineRule="exact"/>
              <w:rPr>
                <w:sz w:val="20"/>
                <w:szCs w:val="20"/>
                <w:color w:val="auto"/>
              </w:rPr>
            </w:pPr>
            <w:r>
              <w:rPr>
                <w:rFonts w:ascii="Arial" w:cs="Arial" w:eastAsia="Arial" w:hAnsi="Arial"/>
                <w:sz w:val="18"/>
                <w:szCs w:val="18"/>
                <w:color w:val="auto"/>
              </w:rPr>
              <w:t>768,694</w:t>
            </w:r>
          </w:p>
        </w:tc>
        <w:tc>
          <w:tcPr>
            <w:tcW w:w="920" w:type="dxa"/>
            <w:vAlign w:val="bottom"/>
          </w:tcPr>
          <w:p>
            <w:pPr>
              <w:ind w:left="56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ind w:left="780"/>
              <w:spacing w:after="0" w:line="201"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line="201" w:lineRule="exact"/>
              <w:rPr>
                <w:sz w:val="20"/>
                <w:szCs w:val="20"/>
                <w:color w:val="auto"/>
              </w:rPr>
            </w:pPr>
            <w:r>
              <w:rPr>
                <w:rFonts w:ascii="Arial" w:cs="Arial" w:eastAsia="Arial" w:hAnsi="Arial"/>
                <w:sz w:val="18"/>
                <w:szCs w:val="18"/>
                <w:color w:val="auto"/>
              </w:rPr>
              <w:t>384</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1,138,158</w:t>
            </w:r>
          </w:p>
        </w:tc>
      </w:tr>
      <w:tr>
        <w:trPr>
          <w:trHeight w:val="230"/>
        </w:trPr>
        <w:tc>
          <w:tcPr>
            <w:tcW w:w="3520" w:type="dxa"/>
            <w:vAlign w:val="bottom"/>
          </w:tcPr>
          <w:p>
            <w:pPr>
              <w:spacing w:after="0"/>
              <w:rPr>
                <w:sz w:val="20"/>
                <w:szCs w:val="20"/>
                <w:color w:val="auto"/>
              </w:rPr>
            </w:pPr>
            <w:r>
              <w:rPr>
                <w:rFonts w:ascii="Arial" w:cs="Arial" w:eastAsia="Arial" w:hAnsi="Arial"/>
                <w:sz w:val="18"/>
                <w:szCs w:val="18"/>
                <w:i w:val="1"/>
                <w:iCs w:val="1"/>
                <w:color w:val="auto"/>
              </w:rPr>
              <w:t>Former Chief Financial Officer</w:t>
            </w:r>
          </w:p>
        </w:tc>
        <w:tc>
          <w:tcPr>
            <w:tcW w:w="640" w:type="dxa"/>
            <w:vAlign w:val="bottom"/>
          </w:tcPr>
          <w:p>
            <w:pPr>
              <w:ind w:left="160"/>
              <w:spacing w:after="0"/>
              <w:rPr>
                <w:sz w:val="20"/>
                <w:szCs w:val="20"/>
                <w:color w:val="auto"/>
              </w:rPr>
            </w:pPr>
            <w:r>
              <w:rPr>
                <w:rFonts w:ascii="Arial" w:cs="Arial" w:eastAsia="Arial" w:hAnsi="Arial"/>
                <w:sz w:val="18"/>
                <w:szCs w:val="18"/>
                <w:color w:val="auto"/>
              </w:rPr>
              <w:t>2021</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121,875</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75,000</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3,010,271</w:t>
            </w:r>
          </w:p>
        </w:tc>
        <w:tc>
          <w:tcPr>
            <w:tcW w:w="920" w:type="dxa"/>
            <w:vAlign w:val="bottom"/>
          </w:tcPr>
          <w:p>
            <w:pPr>
              <w:ind w:left="560"/>
              <w:spacing w:after="0"/>
              <w:rPr>
                <w:sz w:val="20"/>
                <w:szCs w:val="20"/>
                <w:color w:val="auto"/>
              </w:rPr>
            </w:pPr>
            <w:r>
              <w:rPr>
                <w:rFonts w:ascii="Arial" w:cs="Arial" w:eastAsia="Arial" w:hAnsi="Arial"/>
                <w:sz w:val="18"/>
                <w:szCs w:val="18"/>
                <w:color w:val="auto"/>
              </w:rPr>
              <w:t>—</w:t>
            </w:r>
          </w:p>
        </w:tc>
        <w:tc>
          <w:tcPr>
            <w:tcW w:w="1140" w:type="dxa"/>
            <w:vAlign w:val="bottom"/>
          </w:tcPr>
          <w:p>
            <w:pPr>
              <w:ind w:left="560"/>
              <w:spacing w:after="0"/>
              <w:rPr>
                <w:sz w:val="20"/>
                <w:szCs w:val="20"/>
                <w:color w:val="auto"/>
              </w:rPr>
            </w:pPr>
            <w:r>
              <w:rPr>
                <w:rFonts w:ascii="Arial" w:cs="Arial" w:eastAsia="Arial" w:hAnsi="Arial"/>
                <w:sz w:val="18"/>
                <w:szCs w:val="18"/>
                <w:color w:val="auto"/>
              </w:rPr>
              <w:t>19,500</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160</w:t>
            </w:r>
          </w:p>
        </w:tc>
        <w:tc>
          <w:tcPr>
            <w:tcW w:w="1000" w:type="dxa"/>
            <w:vAlign w:val="bottom"/>
          </w:tcPr>
          <w:p>
            <w:pPr>
              <w:jc w:val="right"/>
              <w:spacing w:after="0"/>
              <w:rPr>
                <w:sz w:val="20"/>
                <w:szCs w:val="20"/>
                <w:color w:val="auto"/>
              </w:rPr>
            </w:pPr>
            <w:r>
              <w:rPr>
                <w:rFonts w:ascii="Arial" w:cs="Arial" w:eastAsia="Arial" w:hAnsi="Arial"/>
                <w:sz w:val="18"/>
                <w:szCs w:val="18"/>
                <w:color w:val="auto"/>
              </w:rPr>
              <w:t>3,226,806</w:t>
            </w:r>
          </w:p>
        </w:tc>
      </w:tr>
      <w:tr>
        <w:trPr>
          <w:trHeight w:val="216"/>
        </w:trPr>
        <w:tc>
          <w:tcPr>
            <w:tcW w:w="35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Michael Harburn</w:t>
            </w:r>
            <w:r>
              <w:rPr>
                <w:rFonts w:ascii="Arial" w:cs="Arial" w:eastAsia="Arial" w:hAnsi="Arial"/>
                <w:sz w:val="25"/>
                <w:szCs w:val="25"/>
                <w:color w:val="auto"/>
                <w:vertAlign w:val="superscript"/>
              </w:rPr>
              <w:t>(11)</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329,659</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2,335,189</w:t>
            </w:r>
          </w:p>
        </w:tc>
        <w:tc>
          <w:tcPr>
            <w:tcW w:w="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2,665,232</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Former Chief Technology Officer</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2"/>
        </w:trPr>
        <w:tc>
          <w:tcPr>
            <w:tcW w:w="3520" w:type="dxa"/>
            <w:vAlign w:val="bottom"/>
          </w:tcPr>
          <w:p>
            <w:pPr>
              <w:spacing w:after="0" w:line="201" w:lineRule="exact"/>
              <w:rPr>
                <w:sz w:val="20"/>
                <w:szCs w:val="20"/>
                <w:color w:val="auto"/>
              </w:rPr>
            </w:pPr>
            <w:r>
              <w:rPr>
                <w:rFonts w:ascii="Arial" w:cs="Arial" w:eastAsia="Arial" w:hAnsi="Arial"/>
                <w:sz w:val="16"/>
                <w:szCs w:val="16"/>
                <w:color w:val="auto"/>
              </w:rPr>
              <w:t>Taryn Naidu</w:t>
            </w:r>
            <w:r>
              <w:rPr>
                <w:rFonts w:ascii="Arial" w:cs="Arial" w:eastAsia="Arial" w:hAnsi="Arial"/>
                <w:sz w:val="23"/>
                <w:szCs w:val="23"/>
                <w:color w:val="auto"/>
                <w:vertAlign w:val="superscript"/>
              </w:rPr>
              <w:t>(12)</w:t>
            </w:r>
          </w:p>
        </w:tc>
        <w:tc>
          <w:tcPr>
            <w:tcW w:w="640" w:type="dxa"/>
            <w:vAlign w:val="bottom"/>
          </w:tcPr>
          <w:p>
            <w:pPr>
              <w:ind w:left="160"/>
              <w:spacing w:after="0" w:line="201" w:lineRule="exact"/>
              <w:rPr>
                <w:sz w:val="20"/>
                <w:szCs w:val="20"/>
                <w:color w:val="auto"/>
              </w:rPr>
            </w:pPr>
            <w:r>
              <w:rPr>
                <w:rFonts w:ascii="Arial" w:cs="Arial" w:eastAsia="Arial" w:hAnsi="Arial"/>
                <w:sz w:val="18"/>
                <w:szCs w:val="18"/>
                <w:color w:val="auto"/>
              </w:rPr>
              <w:t>2022</w:t>
            </w:r>
          </w:p>
        </w:tc>
        <w:tc>
          <w:tcPr>
            <w:tcW w:w="800" w:type="dxa"/>
            <w:vAlign w:val="bottom"/>
          </w:tcPr>
          <w:p>
            <w:pPr>
              <w:jc w:val="right"/>
              <w:ind w:right="13"/>
              <w:spacing w:after="0" w:line="201" w:lineRule="exact"/>
              <w:rPr>
                <w:sz w:val="20"/>
                <w:szCs w:val="20"/>
                <w:color w:val="auto"/>
              </w:rPr>
            </w:pPr>
            <w:r>
              <w:rPr>
                <w:rFonts w:ascii="Arial" w:cs="Arial" w:eastAsia="Arial" w:hAnsi="Arial"/>
                <w:sz w:val="18"/>
                <w:szCs w:val="18"/>
                <w:color w:val="auto"/>
              </w:rPr>
              <w:t>329,659</w:t>
            </w:r>
          </w:p>
        </w:tc>
        <w:tc>
          <w:tcPr>
            <w:tcW w:w="820" w:type="dxa"/>
            <w:vAlign w:val="bottom"/>
          </w:tcPr>
          <w:p>
            <w:pPr>
              <w:jc w:val="right"/>
              <w:ind w:right="33"/>
              <w:spacing w:after="0" w:line="201" w:lineRule="exact"/>
              <w:rPr>
                <w:sz w:val="20"/>
                <w:szCs w:val="20"/>
                <w:color w:val="auto"/>
              </w:rPr>
            </w:pPr>
            <w:r>
              <w:rPr>
                <w:rFonts w:ascii="Arial" w:cs="Arial" w:eastAsia="Arial" w:hAnsi="Arial"/>
                <w:sz w:val="18"/>
                <w:szCs w:val="18"/>
                <w:color w:val="auto"/>
              </w:rPr>
              <w:t>400,000</w:t>
            </w:r>
          </w:p>
        </w:tc>
        <w:tc>
          <w:tcPr>
            <w:tcW w:w="1020" w:type="dxa"/>
            <w:vAlign w:val="bottom"/>
          </w:tcPr>
          <w:p>
            <w:pPr>
              <w:jc w:val="right"/>
              <w:ind w:right="15"/>
              <w:spacing w:after="0" w:line="201" w:lineRule="exact"/>
              <w:rPr>
                <w:sz w:val="20"/>
                <w:szCs w:val="20"/>
                <w:color w:val="auto"/>
              </w:rPr>
            </w:pPr>
            <w:r>
              <w:rPr>
                <w:rFonts w:ascii="Arial" w:cs="Arial" w:eastAsia="Arial" w:hAnsi="Arial"/>
                <w:sz w:val="18"/>
                <w:szCs w:val="18"/>
                <w:color w:val="auto"/>
              </w:rPr>
              <w:t>2,335,189</w:t>
            </w:r>
          </w:p>
        </w:tc>
        <w:tc>
          <w:tcPr>
            <w:tcW w:w="920" w:type="dxa"/>
            <w:vAlign w:val="bottom"/>
          </w:tcPr>
          <w:p>
            <w:pPr>
              <w:ind w:left="56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ind w:left="780"/>
              <w:spacing w:after="0" w:line="201"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line="201" w:lineRule="exact"/>
              <w:rPr>
                <w:sz w:val="20"/>
                <w:szCs w:val="20"/>
                <w:color w:val="auto"/>
              </w:rPr>
            </w:pPr>
            <w:r>
              <w:rPr>
                <w:rFonts w:ascii="Arial" w:cs="Arial" w:eastAsia="Arial" w:hAnsi="Arial"/>
                <w:sz w:val="18"/>
                <w:szCs w:val="18"/>
                <w:color w:val="auto"/>
              </w:rPr>
              <w:t>384</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3,065,232</w:t>
            </w:r>
          </w:p>
        </w:tc>
      </w:tr>
      <w:tr>
        <w:trPr>
          <w:trHeight w:val="230"/>
        </w:trPr>
        <w:tc>
          <w:tcPr>
            <w:tcW w:w="3520" w:type="dxa"/>
            <w:vAlign w:val="bottom"/>
          </w:tcPr>
          <w:p>
            <w:pPr>
              <w:spacing w:after="0"/>
              <w:rPr>
                <w:sz w:val="20"/>
                <w:szCs w:val="20"/>
                <w:color w:val="auto"/>
              </w:rPr>
            </w:pPr>
            <w:r>
              <w:rPr>
                <w:rFonts w:ascii="Arial" w:cs="Arial" w:eastAsia="Arial" w:hAnsi="Arial"/>
                <w:sz w:val="18"/>
                <w:szCs w:val="18"/>
                <w:i w:val="1"/>
                <w:iCs w:val="1"/>
                <w:color w:val="auto"/>
              </w:rPr>
              <w:t>Former Chief Operating Officer</w:t>
            </w:r>
          </w:p>
        </w:tc>
        <w:tc>
          <w:tcPr>
            <w:tcW w:w="640" w:type="dxa"/>
            <w:vAlign w:val="bottom"/>
          </w:tcPr>
          <w:p>
            <w:pPr>
              <w:ind w:left="160"/>
              <w:spacing w:after="0"/>
              <w:rPr>
                <w:sz w:val="20"/>
                <w:szCs w:val="20"/>
                <w:color w:val="auto"/>
              </w:rPr>
            </w:pPr>
            <w:r>
              <w:rPr>
                <w:rFonts w:ascii="Arial" w:cs="Arial" w:eastAsia="Arial" w:hAnsi="Arial"/>
                <w:sz w:val="18"/>
                <w:szCs w:val="18"/>
                <w:color w:val="auto"/>
              </w:rPr>
              <w:t>2021</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258,098</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1,378,794</w:t>
            </w:r>
          </w:p>
        </w:tc>
        <w:tc>
          <w:tcPr>
            <w:tcW w:w="920" w:type="dxa"/>
            <w:vAlign w:val="bottom"/>
          </w:tcPr>
          <w:p>
            <w:pPr>
              <w:ind w:left="560"/>
              <w:spacing w:after="0"/>
              <w:rPr>
                <w:sz w:val="20"/>
                <w:szCs w:val="20"/>
                <w:color w:val="auto"/>
              </w:rPr>
            </w:pPr>
            <w:r>
              <w:rPr>
                <w:rFonts w:ascii="Arial" w:cs="Arial" w:eastAsia="Arial" w:hAnsi="Arial"/>
                <w:sz w:val="18"/>
                <w:szCs w:val="18"/>
                <w:color w:val="auto"/>
              </w:rPr>
              <w:t>—</w:t>
            </w:r>
          </w:p>
        </w:tc>
        <w:tc>
          <w:tcPr>
            <w:tcW w:w="1140" w:type="dxa"/>
            <w:vAlign w:val="bottom"/>
          </w:tcPr>
          <w:p>
            <w:pPr>
              <w:ind w:left="560"/>
              <w:spacing w:after="0"/>
              <w:rPr>
                <w:sz w:val="20"/>
                <w:szCs w:val="20"/>
                <w:color w:val="auto"/>
              </w:rPr>
            </w:pPr>
            <w:r>
              <w:rPr>
                <w:rFonts w:ascii="Arial" w:cs="Arial" w:eastAsia="Arial" w:hAnsi="Arial"/>
                <w:sz w:val="18"/>
                <w:szCs w:val="18"/>
                <w:color w:val="auto"/>
              </w:rPr>
              <w:t>45,540</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4,343</w:t>
            </w:r>
          </w:p>
        </w:tc>
        <w:tc>
          <w:tcPr>
            <w:tcW w:w="1000" w:type="dxa"/>
            <w:vAlign w:val="bottom"/>
          </w:tcPr>
          <w:p>
            <w:pPr>
              <w:jc w:val="right"/>
              <w:spacing w:after="0"/>
              <w:rPr>
                <w:sz w:val="20"/>
                <w:szCs w:val="20"/>
                <w:color w:val="auto"/>
              </w:rPr>
            </w:pPr>
            <w:r>
              <w:rPr>
                <w:rFonts w:ascii="Arial" w:cs="Arial" w:eastAsia="Arial" w:hAnsi="Arial"/>
                <w:sz w:val="18"/>
                <w:szCs w:val="18"/>
                <w:color w:val="auto"/>
              </w:rPr>
              <w:t>1,686,775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480" w:hanging="424"/>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Salary amounts represent actual amounts earned during fiscal year 2022. See “</w:t>
      </w:r>
      <w:r>
        <w:rPr>
          <w:rFonts w:ascii="Arial" w:cs="Arial" w:eastAsia="Arial" w:hAnsi="Arial"/>
          <w:sz w:val="18"/>
          <w:szCs w:val="18"/>
          <w:i w:val="1"/>
          <w:iCs w:val="1"/>
          <w:color w:val="auto"/>
        </w:rPr>
        <w:t>Narrative Disclosure to Summary Compensation Table—Base</w:t>
      </w:r>
      <w:r>
        <w:rPr>
          <w:rFonts w:ascii="Arial" w:cs="Arial" w:eastAsia="Arial" w:hAnsi="Arial"/>
          <w:sz w:val="18"/>
          <w:szCs w:val="18"/>
          <w:color w:val="auto"/>
        </w:rPr>
        <w:t xml:space="preserve"> </w:t>
      </w:r>
      <w:r>
        <w:rPr>
          <w:rFonts w:ascii="Arial" w:cs="Arial" w:eastAsia="Arial" w:hAnsi="Arial"/>
          <w:sz w:val="18"/>
          <w:szCs w:val="18"/>
          <w:i w:val="1"/>
          <w:iCs w:val="1"/>
          <w:color w:val="auto"/>
        </w:rPr>
        <w:t>Salaries</w:t>
      </w:r>
      <w:r>
        <w:rPr>
          <w:rFonts w:ascii="Arial" w:cs="Arial" w:eastAsia="Arial" w:hAnsi="Arial"/>
          <w:sz w:val="18"/>
          <w:szCs w:val="18"/>
          <w:color w:val="auto"/>
        </w:rPr>
        <w:t>” below.</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86" w:right="4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100" w:hanging="424"/>
        <w:spacing w:after="0" w:line="258"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column reflects amounts awarded as discretionary bonuses in 2022. See “</w:t>
      </w:r>
      <w:r>
        <w:rPr>
          <w:rFonts w:ascii="Arial" w:cs="Arial" w:eastAsia="Arial" w:hAnsi="Arial"/>
          <w:sz w:val="18"/>
          <w:szCs w:val="18"/>
          <w:i w:val="1"/>
          <w:iCs w:val="1"/>
          <w:color w:val="auto"/>
        </w:rPr>
        <w:t>Narrative Disclosure to Summary Compensation Table—Bonuses</w:t>
      </w:r>
      <w:r>
        <w:rPr>
          <w:rFonts w:ascii="Arial" w:cs="Arial" w:eastAsia="Arial" w:hAnsi="Arial"/>
          <w:sz w:val="18"/>
          <w:szCs w:val="18"/>
          <w:color w:val="auto"/>
        </w:rPr>
        <w:t>” below.</w:t>
      </w:r>
    </w:p>
    <w:p>
      <w:pPr>
        <w:spacing w:after="0" w:line="1"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This column reflects the aggregate grant date fair value of the transaction stock awards and restricted stock units granted to the named executive officer during fiscal year 2022 and fiscal year 2021 under the 2013 Plan and 2022 Plan. The aggregate grant date fair value is computed in accordance with ASC Topic 718 for stock-based compensation transactions. Assumptions used in the calculation of these amounts are included in the notes to our financial statements included elsewhere in this Annual Report on Form 10-K for the year ended December 31, 2022. This amount does not reflect the actual economic value that may be realized by the named executive officer.</w:t>
      </w:r>
    </w:p>
    <w:p>
      <w:pPr>
        <w:ind w:left="540" w:right="20" w:hanging="424"/>
        <w:spacing w:after="0" w:line="265"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This column reflects the aggregate grant date fair value of the option awards granted during fiscal year 2022 computed in accordance with ASC Topic 718 for stock-based compensation transactions. Assumptions used in the calculation of these amounts are included in the notes to our audited financial statements included elsewhere in this Annual Report on Form 10-K for the year ended December 31, 2022. These amounts do not reflect the actual economic value that will be realized by the named executive officer upon the vesting of the stock options, the exercise of the stock options, or the sale of the common stock underlying such stock options. The amounts reported for 2022 for Mr. Kulkarni include the aggregate grant-date fair value of a time-vesting option awarded to the Mr. Kulkani in December 2022, calculated in accordance with Topic 718. Mr. Kulkani was also granted a performance-vesting option in December 2022 that is subject to time-based vesting and performance conditions as defined under applicable accounting standards.</w:t>
      </w:r>
    </w:p>
    <w:p>
      <w:pPr>
        <w:spacing w:after="0" w:line="1" w:lineRule="exact"/>
        <w:rPr>
          <w:rFonts w:ascii="Arial" w:cs="Arial" w:eastAsia="Arial" w:hAnsi="Arial"/>
          <w:sz w:val="17"/>
          <w:szCs w:val="17"/>
          <w:color w:val="auto"/>
        </w:rPr>
      </w:pPr>
    </w:p>
    <w:p>
      <w:pPr>
        <w:ind w:left="540" w:right="140" w:hanging="424"/>
        <w:spacing w:after="0" w:line="265"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See “—Narrative to Summary Compensation Table—Non-Equity Incentive Plan Compensation” below for a description of the material terms of the program for fiscal year 2021 pursuant to which this compensation was awarded. The amounts shown for non-equity incentive plan compensation represent amounts earned for the fiscal years presented, whether or not actually paid during such year.</w:t>
      </w:r>
    </w:p>
    <w:p>
      <w:pPr>
        <w:ind w:left="540" w:right="40" w:hanging="424"/>
        <w:spacing w:after="0" w:line="28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column reflects the aggregate value of other categories of payment, consisting of (i) for Mr. Danis, $384 for life insurance premiums for fiscal year 2022, and $1,968 for professional membership fees for fiscal year 2022; (ii) Dr. Rigetti, $584 for life insurance premiums for each of fiscal year 2022 and fiscal year 2021, respectively, and $168,957 for reimbursement for legal fees paid in connection with negotiation of separation from the Company in fiscal year 2022; (iii) for Mr. Sereda, $384 and $160 for life insurance premiums for fiscal year 2022 and fiscal year 2021, respectively; (iv) for Mr. Harburn, $384 for life insurance premiums for fiscal year 2022; and (v) for Mr. Naidu, $384 and $552 for life insurance premiums for fiscal year 2022 and fiscal year 2021, respectively, and $3,791 for professional membership fees for fiscal year 2021.</w:t>
      </w:r>
    </w:p>
    <w:p>
      <w:pPr>
        <w:spacing w:after="0" w:line="3" w:lineRule="exact"/>
        <w:rPr>
          <w:rFonts w:ascii="Arial" w:cs="Arial" w:eastAsia="Arial" w:hAnsi="Arial"/>
          <w:sz w:val="16"/>
          <w:szCs w:val="16"/>
          <w:color w:val="auto"/>
        </w:rPr>
      </w:pPr>
    </w:p>
    <w:p>
      <w:pPr>
        <w:ind w:left="540" w:hanging="424"/>
        <w:spacing w:after="0"/>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Dr. Kulkarni joined Rigetti as Chief Financial Officer in December 2022. Dr. Kulkarni was not a named executive officer for fiscal year 2021.</w:t>
      </w:r>
    </w:p>
    <w:p>
      <w:pPr>
        <w:spacing w:after="0" w:line="20"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November 12, 2022, Mr. Danis was appointed Interim President and Chief Executive Officer. On December 12, 2022, Mr. Danis stepped down from such position and continued with the Company in his role as the Company’s General Counsel and Corporate Secretary. Mr. Danis was not a named executive officer in 2021.</w:t>
      </w:r>
    </w:p>
    <w:p>
      <w:pPr>
        <w:spacing w:after="0" w:line="1" w:lineRule="exact"/>
        <w:rPr>
          <w:rFonts w:ascii="Arial" w:cs="Arial" w:eastAsia="Arial" w:hAnsi="Arial"/>
          <w:sz w:val="18"/>
          <w:szCs w:val="18"/>
          <w:color w:val="auto"/>
        </w:rPr>
      </w:pPr>
    </w:p>
    <w:p>
      <w:pPr>
        <w:ind w:left="540" w:right="360" w:hanging="424"/>
        <w:spacing w:after="0" w:line="25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November 12, 2022, the board accepted the resignation of Dr. Rigetti as the Company’s President and Chief Executive Officer. Dr. Rigetti continued as a director and non-executive employee of Rigetti until December 15, 2022.</w:t>
      </w:r>
    </w:p>
    <w:p>
      <w:pPr>
        <w:ind w:left="540" w:right="500" w:hanging="424"/>
        <w:spacing w:after="0" w:line="25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Sereda ceased serving as Chief Financial Officer of Rigetti on February 9, 2023. Mr. Sereda joined Rigetti as Chief Financial Officer in August 2021.</w:t>
      </w: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Harburn’s employment with Rigetti ended on February 9, 2023. Mr. Harburn was not a named executive officer in 2021.</w:t>
      </w:r>
    </w:p>
    <w:p>
      <w:pPr>
        <w:spacing w:after="0" w:line="9" w:lineRule="exact"/>
        <w:rPr>
          <w:rFonts w:ascii="Arial" w:cs="Arial" w:eastAsia="Arial" w:hAnsi="Arial"/>
          <w:sz w:val="18"/>
          <w:szCs w:val="18"/>
          <w:color w:val="auto"/>
        </w:rPr>
      </w:pPr>
    </w:p>
    <w:p>
      <w:pPr>
        <w:ind w:left="540" w:right="380" w:hanging="424"/>
        <w:spacing w:after="0" w:line="323"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April 18, 2022, Mr. Naidu’s employment with Rigetti terminated. Mr. Naidu is included as a named executive officer for 2022 because he would have been required to be included but for the fact that he was not serving as an executive officer at the end of the 2022.</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86" w:right="4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8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Dr. Kulkarni had an annual base salary of $585,000 commencing on December 7, 2022. Mr. Rigetti had an annual base salary of $446,000 in fiscal year 2022 and $350,000 for fiscal year 2021. Mr. Danis had an annual base salary of $309,000 for fiscal year 2022 which was increased to $392,333 from November 12, 2022 to December 12, 2022, which was the duration of his position as Interim President and Chief Executive Officer. Mr. Sereda has an annual base salary of $348,000 in fiscal year 2022 and $325,000 in fiscal year 2021. Mr. Harburn had an annual base salary of $345,000 for fiscal year 2022. Mr. Naidu had an annual base salary of $379,000 for fiscal year 2022. Mr. Naidu had a base salary of $275,000 from February 1, 2021 to July 14, 2021 and a base salary of $284,625 commencing on July 15, 2021 for fiscal year 2021.</w:t>
      </w:r>
    </w:p>
    <w:p>
      <w:pPr>
        <w:spacing w:after="0" w:line="17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actual salaries earned by each named executive officer for fiscal year 2022 and fiscal year 2021 (the 11-month period from February 1, 2021 to December 31, 2021) are set forth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above in the column titled “</w:t>
      </w:r>
      <w:r>
        <w:rPr>
          <w:rFonts w:ascii="Arial" w:cs="Arial" w:eastAsia="Arial" w:hAnsi="Arial"/>
          <w:sz w:val="18"/>
          <w:szCs w:val="18"/>
          <w:i w:val="1"/>
          <w:iCs w:val="1"/>
          <w:color w:val="auto"/>
        </w:rPr>
        <w:t>Salary</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Bonuses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Cash Bonuses.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recognition of contributions in connection with the Business Combination, the Legacy Rigetti Board approved cash bonuses that were paid to Dr. Rigetti, Mr. Naidu, Mr. Danis and Mr. Sereda in the amount of $400,000, $400,000, $350,000 and $25,000, respectively, in connection with the closing of the Business Combination in fiscal year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Discretionary Bonuses.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fiscal year 2022, Dr. Rigetti received a discretionary bonus of $2,350. In fiscal year 2021, Dr. Rigetti received a discretionary bonus of $700 in March 2021 and $600 in May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Sereda Signing Bonus.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2021, Mr. Sereda received a sign-on bonus in an aggregate amount of $75,000 as an incentive for him to join the Company.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For fiscal year 2022, we did not have an annual performance-based cash bonus program. In 2021, the Legacy Rigetti Board implemented an annual performance-based cash bonus program in which each of the named executive officers participate. Mr. Sereda was eligible for a performance-based cash bonus under the Company’s 2021 performance bonus program pursuant to his offer letter, which is described in “Employment Arrangements with Executive Officers—Brian Sereda.” Under the performance bonus program for fiscal year 2021, each named executive officer was eligible to be considered for a cash performance bonus based on (1) a target bonus, as a percentage of base salary, and (2) the achievement of 2021 corporate goals established by the Legacy Rigetti Board in its sole discretion. Each named executive officer for fiscal year 2021 was assigned a maximum target performance bonus of 16% of current base salary with respect to Dr. Rigetti and Mr. Naidu ($350,000 and $284,625 for Dr. Rigetti and Mr. Naidu, respectively) and base salary actually received in fiscal year 2021 with respect to Mr. Sereda. The payout amounts under the 2021 performance bonus program were $56,000 for Dr. Rigetti, $45,540 for Mr. Naidu and $19,500 for Mr. Sereda.</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86" w:right="4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equity award program is the primary vehicle for offering long-term incentives to our executives. We believe that equity awards provide our executive officers with a strong link to long-term performance, create an ownership culture and help to align the interests of Rigetti’s executive officers and stockholders. To date, we have historically granted stock options, both incentive stock options and nonstatutory stock options, restricted stock units (“RSUs”) and stock awards to our executive officers. We believe that our equity awards are an important retention tool for our executive officers, as well as for our other employees. We grant equity awards broadly to our employees, including to our non-executive employees. The Board is responsible for approving equity grants.</w:t>
      </w:r>
    </w:p>
    <w:p>
      <w:pPr>
        <w:spacing w:after="0" w:line="19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Prior to the closing of the Business Combination on March 2, 2022, all of the equity incentive awards that we have granted to executive officers were made pursuant to the 2013 Plan. Following the closing of the Business Combination, all of the equity incentive awards have been and will continue to be granted under the terms of the 2022 Plan. The material terms of the equity awards granted to our named executive officers prior to December 31, 2022 are set forth in the section titled “Outstanding Equity Awards as of December 31, 2022.” All options are granted with an exercise price per share that is no less than the fair market value of our common stock on the date of grant of such award. Stock option awards and RSU awards generally vest over a four year period with a one-year cliff and may be subject to acceleration of vesting and exercisability under certain termination and change in control events. See “—</w:t>
      </w:r>
      <w:r>
        <w:rPr>
          <w:rFonts w:ascii="Arial" w:cs="Arial" w:eastAsia="Arial" w:hAnsi="Arial"/>
          <w:sz w:val="17"/>
          <w:szCs w:val="17"/>
          <w:i w:val="1"/>
          <w:iCs w:val="1"/>
          <w:color w:val="auto"/>
        </w:rPr>
        <w:t>Outstanding Equity Awards as of December 31, 2022</w:t>
      </w:r>
      <w:r>
        <w:rPr>
          <w:rFonts w:ascii="Arial" w:cs="Arial" w:eastAsia="Arial" w:hAnsi="Arial"/>
          <w:sz w:val="17"/>
          <w:szCs w:val="17"/>
          <w:color w:val="auto"/>
        </w:rPr>
        <w:t>.” Upon the closing of the Business Combination, outstanding Legacy Rigetti options and Legacy Rigetti restricted stock unit awards under the 2013 Plan were assumed by us and converted into options to purchase common stock and RSUs for common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CEO Award</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On December 12, 2022, Mr. Kulkarni was granted an option to purchase up to 1,250,000 shares of common stock, at an exercise price of $0.9638 per share, and an option to purchase up to 500,000 shares of common stock, at an exercise price of $0.9638 per share. Mr. Kulkarni’s grant included his initial grant provided upon his commencement of employment. See “—Employment Arrangements—Dr. Subodh Kulkarni” for additional information on the vesting conditions for Mr. Kulkarni’s grants.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Interim CEO Award</w:t>
      </w:r>
    </w:p>
    <w:p>
      <w:pPr>
        <w:spacing w:after="0" w:line="117"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On December 9, 2022, Mr. Danis was awarded 147,058 RSUs in connection with his service as Interim CEO. The RSUs vest one-third on each of December 31, 2022, January 31, 2023 and February 28, 2023, subject to Mr. Danis’s continuous service as of the applicable vesting date.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Rigetti 2022 Alignment RSU Awards and Annual RSU Awards</w:t>
      </w:r>
    </w:p>
    <w:p>
      <w:pPr>
        <w:spacing w:after="0" w:line="117"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On June 10, 2022, 5,132,962 RSUs in the aggregate were granted to employees of Rigetti as alignment awards for the purpose of better aligning executive and employee equity ownership in the company with similarly situated companies (collectively the “Alignment RSUs”), of 2,857,444, 164,685, 8,791 and 207,178 Alignment RSUs were granted to Dr. Rigetti, Mr. Danis, Mr. Sereda and Mr. Harburn, respectively. The Alignment RSUs vest (i) 50% in 12 equal monthly installments on the last day of each month commencing March 31, 2022 and (ii) 50% vested or shall vest in 48 equal monthly installments on the last day of each month commencing March 31, 2022, subject to continuous service of the named executive officer on each such date. Dr. Rigetti was employed by the Company until December 15, 2022 and as of this date, 1,339,426 of his Alignment RSUs had vested.</w:t>
      </w:r>
    </w:p>
    <w:p>
      <w:pPr>
        <w:spacing w:after="0" w:line="16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on June 10, 2022, 1,232,300 RSUs in the aggregate were granted to employees of Rigetti as 2022 annual equity awards (the “Rigetti 2022 Annual RSUs”), of which 334,700, 102,800, 128,600 and 107,900 Rigetti 2022 Annual RSUs were granted to Dr. Rigetti, Mr. Danis, Mr. Sereda and Mr. Harburn, respectively. The Rigetti 2022 Annual RSUs vest in 48 equal installments commencing on March 31, 2022, subject to continuous service of the named executive officer on each such date. Dr. Rigetti was employed by the Company until December 15, 2022 and as of this date, 62,756 of his Rigetti 2022 Annual RSUs had vested.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86" w:right="4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Bonus Stock Awards</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On June 10, 2022, 120,000 shares of common stock in the aggregate were granted to employees as transaction bonus stock awards, of which 45,000, 25,000 and 5,000 individual stock awards were granted to Dr. Rigetti, Mr. Danis and Mr. Sereda,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2022 Legacy Rigetti RSUs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January 25, 2022, the Legacy Rigetti awarded 4,963,063 RSUs in the aggregate to employees of Legacy Rigetti, of which 2,174,346, 125,315, 6,689, 157,650 and 338,199 were granted to Dr. Rigetti, Mr. Danis, Mr. Sereda, Mr. Harburn and Mr. Naidu, respectively. These RSUs were granted pursuant to the terms of the 2013 Plan and for the purpose of better aligning executive and employee equity ownership in the company with similarly situated companies. The RSUs vest in 48 equal monthly installments commencing February 25, 2022, subject to continuous service of the named executive officer on each such date. Upon the closing of the Business Combination, these RSUs were assumed and converted into RSUs to acquire common stock. Dr. Rigetti was employed by the Company until December 15, 2022 and as of this date, 1,132,469 of his RSUs had vested. Mr. Naidu was employed by the Company until April 18, 2022 and as of this date, 35,228 of his RSUs had vested.</w:t>
      </w:r>
    </w:p>
    <w:p>
      <w:pPr>
        <w:spacing w:after="0" w:line="17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On April 21, 2021, Legacy Rigetti awarded RSUs to each of Dr. Rigetti and Mr. Naidu in the amounts of 1,044,905, and 378,082, respectively. On August 18, 2021, Rigetti awarded RSUs to Mr. Sereda in the amount of 1,048,875. The RSUs are subject to time-based vesting requirements and liquidity-event vesting requirements. The RSU awards to Dr. Rigetti and Mr. Naidu vest in 48 equal installments commencing on May 21, 2021, subject to continuous service of the named executive officer on each such date. Dr. Rigetti was employed by the Company until December 15, 2022 and as of this date, 413,608 of his RSUs had vested. Mr. Naidu was employed by the Company until April 18, 2022 and as of this date, 86,643 of his RSUs had vested. 25% of the RSU award to Mr. Sereda vested on August 12, 2022, and the remainder vests in 36 equal monthly installments, subject to continuous service of Mr. Sereda on each such date. The liquidity-event vesting requirement was satisfied upon the consummation of the Business Combination.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Reimbursement</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Rigetti reimbursed Dr. Rigetti for legal fees paid in the amount of $168,957 in connection with internal matters and the negotiation of his separation from the Company in fiscal 2022.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86" w:right="4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as of December 31, 2022</w:t>
      </w:r>
    </w:p>
    <w:p>
      <w:pPr>
        <w:spacing w:after="0" w:line="121"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 xml:space="preserve">The following table presents information regarding outstanding equity awards held by our named executive officers as of December 31, 2022. All awards were granted pursuant to the 2013 Plan and 2022 Plan. See the section titled </w:t>
      </w:r>
      <w:r>
        <w:rPr>
          <w:rFonts w:ascii="Arial" w:cs="Arial" w:eastAsia="Arial" w:hAnsi="Arial"/>
          <w:sz w:val="18"/>
          <w:szCs w:val="18"/>
          <w:i w:val="1"/>
          <w:iCs w:val="1"/>
          <w:color w:val="auto"/>
        </w:rPr>
        <w:t>“—Equity Incentive Plans-2013 Plan</w:t>
      </w:r>
      <w:r>
        <w:rPr>
          <w:rFonts w:ascii="Arial" w:cs="Arial" w:eastAsia="Arial" w:hAnsi="Arial"/>
          <w:sz w:val="18"/>
          <w:szCs w:val="18"/>
          <w:color w:val="auto"/>
        </w:rPr>
        <w:t>” and “</w:t>
      </w:r>
      <w:r>
        <w:rPr>
          <w:rFonts w:ascii="Arial" w:cs="Arial" w:eastAsia="Arial" w:hAnsi="Arial"/>
          <w:sz w:val="18"/>
          <w:szCs w:val="18"/>
          <w:i w:val="1"/>
          <w:iCs w:val="1"/>
          <w:color w:val="auto"/>
        </w:rPr>
        <w:t>—Equity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Plans- Rigetti Computing, Inc. 2022 Equity Incentive Plan</w:t>
      </w:r>
      <w:r>
        <w:rPr>
          <w:rFonts w:ascii="Arial" w:cs="Arial" w:eastAsia="Arial" w:hAnsi="Arial"/>
          <w:sz w:val="18"/>
          <w:szCs w:val="18"/>
          <w:color w:val="auto"/>
        </w:rPr>
        <w:t>” below for additional information. Mr. Naidu’s employment with the Company ended on</w:t>
      </w:r>
      <w:r>
        <w:rPr>
          <w:rFonts w:ascii="Arial" w:cs="Arial" w:eastAsia="Arial" w:hAnsi="Arial"/>
          <w:sz w:val="18"/>
          <w:szCs w:val="18"/>
          <w:i w:val="1"/>
          <w:iCs w:val="1"/>
          <w:color w:val="auto"/>
        </w:rPr>
        <w:t xml:space="preserve"> </w:t>
      </w:r>
      <w:r>
        <w:rPr>
          <w:rFonts w:ascii="Arial" w:cs="Arial" w:eastAsia="Arial" w:hAnsi="Arial"/>
          <w:sz w:val="18"/>
          <w:szCs w:val="18"/>
          <w:color w:val="auto"/>
        </w:rPr>
        <w:t>April 18, 2022 and his post-termination exercise period expired on July 18, 2022.</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color w:val="auto"/>
              </w:rPr>
              <w:t>Option Awards</w:t>
            </w: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Stock Awards</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2"/>
          </w:tcPr>
          <w:p>
            <w:pPr>
              <w:jc w:val="center"/>
              <w:ind w:right="380"/>
              <w:spacing w:after="0" w:line="123" w:lineRule="exact"/>
              <w:rPr>
                <w:sz w:val="20"/>
                <w:szCs w:val="20"/>
                <w:color w:val="auto"/>
              </w:rPr>
            </w:pPr>
            <w:r>
              <w:rPr>
                <w:rFonts w:ascii="Arial" w:cs="Arial" w:eastAsia="Arial" w:hAnsi="Arial"/>
                <w:sz w:val="14"/>
                <w:szCs w:val="14"/>
                <w:color w:val="auto"/>
                <w:w w:val="97"/>
              </w:rPr>
              <w:t>Equity</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7"/>
              </w:rPr>
              <w:t>incentive</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plan awards:</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Market</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Number of</w:t>
            </w:r>
          </w:p>
        </w:tc>
        <w:tc>
          <w:tcPr>
            <w:tcW w:w="160" w:type="dxa"/>
            <w:vAlign w:val="bottom"/>
          </w:tcPr>
          <w:p>
            <w:pPr>
              <w:spacing w:after="0"/>
              <w:rPr>
                <w:sz w:val="12"/>
                <w:szCs w:val="12"/>
                <w:color w:val="auto"/>
              </w:rPr>
            </w:pPr>
          </w:p>
        </w:tc>
        <w:tc>
          <w:tcPr>
            <w:tcW w:w="1260" w:type="dxa"/>
            <w:vAlign w:val="bottom"/>
            <w:gridSpan w:val="2"/>
          </w:tcPr>
          <w:p>
            <w:pPr>
              <w:jc w:val="center"/>
              <w:ind w:right="379"/>
              <w:spacing w:after="0" w:line="149" w:lineRule="exact"/>
              <w:rPr>
                <w:sz w:val="20"/>
                <w:szCs w:val="20"/>
                <w:color w:val="auto"/>
              </w:rPr>
            </w:pPr>
            <w:r>
              <w:rPr>
                <w:rFonts w:ascii="Arial" w:cs="Arial" w:eastAsia="Arial" w:hAnsi="Arial"/>
                <w:sz w:val="14"/>
                <w:szCs w:val="14"/>
                <w:color w:val="auto"/>
                <w:w w:val="94"/>
              </w:rPr>
              <w:t>Number of</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number of</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7"/>
              </w:rPr>
              <w:t>value of</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Securities</w:t>
            </w:r>
          </w:p>
        </w:tc>
        <w:tc>
          <w:tcPr>
            <w:tcW w:w="160" w:type="dxa"/>
            <w:vAlign w:val="bottom"/>
          </w:tcPr>
          <w:p>
            <w:pPr>
              <w:spacing w:after="0"/>
              <w:rPr>
                <w:sz w:val="12"/>
                <w:szCs w:val="12"/>
                <w:color w:val="auto"/>
              </w:rPr>
            </w:pPr>
          </w:p>
        </w:tc>
        <w:tc>
          <w:tcPr>
            <w:tcW w:w="1260" w:type="dxa"/>
            <w:vAlign w:val="bottom"/>
            <w:gridSpan w:val="2"/>
          </w:tcPr>
          <w:p>
            <w:pPr>
              <w:jc w:val="center"/>
              <w:ind w:right="359"/>
              <w:spacing w:after="0" w:line="149" w:lineRule="exact"/>
              <w:rPr>
                <w:sz w:val="20"/>
                <w:szCs w:val="20"/>
                <w:color w:val="auto"/>
              </w:rPr>
            </w:pPr>
            <w:r>
              <w:rPr>
                <w:rFonts w:ascii="Arial" w:cs="Arial" w:eastAsia="Arial" w:hAnsi="Arial"/>
                <w:sz w:val="14"/>
                <w:szCs w:val="14"/>
                <w:color w:val="auto"/>
                <w:w w:val="91"/>
              </w:rPr>
              <w:t>Securities</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securities</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7"/>
              </w:rPr>
              <w:t>Number of</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shares of</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Underlying</w:t>
            </w:r>
          </w:p>
        </w:tc>
        <w:tc>
          <w:tcPr>
            <w:tcW w:w="160" w:type="dxa"/>
            <w:vAlign w:val="bottom"/>
          </w:tcPr>
          <w:p>
            <w:pPr>
              <w:spacing w:after="0"/>
              <w:rPr>
                <w:sz w:val="12"/>
                <w:szCs w:val="12"/>
                <w:color w:val="auto"/>
              </w:rPr>
            </w:pPr>
          </w:p>
        </w:tc>
        <w:tc>
          <w:tcPr>
            <w:tcW w:w="1260" w:type="dxa"/>
            <w:vAlign w:val="bottom"/>
            <w:gridSpan w:val="2"/>
          </w:tcPr>
          <w:p>
            <w:pPr>
              <w:jc w:val="right"/>
              <w:ind w:right="459"/>
              <w:spacing w:after="0" w:line="149" w:lineRule="exact"/>
              <w:rPr>
                <w:sz w:val="20"/>
                <w:szCs w:val="20"/>
                <w:color w:val="auto"/>
              </w:rPr>
            </w:pPr>
            <w:r>
              <w:rPr>
                <w:rFonts w:ascii="Arial" w:cs="Arial" w:eastAsia="Arial" w:hAnsi="Arial"/>
                <w:sz w:val="14"/>
                <w:szCs w:val="14"/>
                <w:color w:val="auto"/>
              </w:rPr>
              <w:t>Underlying</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underlying</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1"/>
              </w:rPr>
              <w:t>shares or units</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7"/>
              </w:rPr>
              <w:t>units of</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Unexercised</w:t>
            </w:r>
          </w:p>
        </w:tc>
        <w:tc>
          <w:tcPr>
            <w:tcW w:w="160" w:type="dxa"/>
            <w:vAlign w:val="bottom"/>
          </w:tcPr>
          <w:p>
            <w:pPr>
              <w:spacing w:after="0"/>
              <w:rPr>
                <w:sz w:val="12"/>
                <w:szCs w:val="12"/>
                <w:color w:val="auto"/>
              </w:rPr>
            </w:pPr>
          </w:p>
        </w:tc>
        <w:tc>
          <w:tcPr>
            <w:tcW w:w="1260" w:type="dxa"/>
            <w:vAlign w:val="bottom"/>
            <w:gridSpan w:val="2"/>
          </w:tcPr>
          <w:p>
            <w:pPr>
              <w:jc w:val="center"/>
              <w:ind w:right="359"/>
              <w:spacing w:after="0" w:line="149" w:lineRule="exact"/>
              <w:rPr>
                <w:sz w:val="20"/>
                <w:szCs w:val="20"/>
                <w:color w:val="auto"/>
              </w:rPr>
            </w:pPr>
            <w:r>
              <w:rPr>
                <w:rFonts w:ascii="Arial" w:cs="Arial" w:eastAsia="Arial" w:hAnsi="Arial"/>
                <w:sz w:val="14"/>
                <w:szCs w:val="14"/>
                <w:color w:val="auto"/>
                <w:w w:val="92"/>
              </w:rPr>
              <w:t>Unexercised</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unexercised</w:t>
            </w:r>
          </w:p>
        </w:tc>
        <w:tc>
          <w:tcPr>
            <w:tcW w:w="7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Option</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Option</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that have</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stock that</w:t>
            </w: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20"/>
                <w:szCs w:val="20"/>
                <w:color w:val="auto"/>
              </w:rPr>
            </w:pPr>
            <w:r>
              <w:rPr>
                <w:rFonts w:ascii="Arial" w:cs="Arial" w:eastAsia="Arial" w:hAnsi="Arial"/>
                <w:sz w:val="14"/>
                <w:szCs w:val="14"/>
                <w:color w:val="auto"/>
                <w:w w:val="85"/>
              </w:rPr>
              <w:t>Name</w:t>
            </w:r>
          </w:p>
        </w:tc>
        <w:tc>
          <w:tcPr>
            <w:tcW w:w="2380" w:type="dxa"/>
            <w:vAlign w:val="bottom"/>
            <w:vMerge w:val="restart"/>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Options (#)</w:t>
            </w:r>
          </w:p>
        </w:tc>
        <w:tc>
          <w:tcPr>
            <w:tcW w:w="160" w:type="dxa"/>
            <w:vAlign w:val="bottom"/>
          </w:tcPr>
          <w:p>
            <w:pPr>
              <w:spacing w:after="0"/>
              <w:rPr>
                <w:sz w:val="12"/>
                <w:szCs w:val="12"/>
                <w:color w:val="auto"/>
              </w:rPr>
            </w:pPr>
          </w:p>
        </w:tc>
        <w:tc>
          <w:tcPr>
            <w:tcW w:w="1260" w:type="dxa"/>
            <w:vAlign w:val="bottom"/>
            <w:gridSpan w:val="2"/>
          </w:tcPr>
          <w:p>
            <w:pPr>
              <w:jc w:val="right"/>
              <w:ind w:right="459"/>
              <w:spacing w:after="0" w:line="149" w:lineRule="exact"/>
              <w:rPr>
                <w:sz w:val="20"/>
                <w:szCs w:val="20"/>
                <w:color w:val="auto"/>
              </w:rPr>
            </w:pPr>
            <w:r>
              <w:rPr>
                <w:rFonts w:ascii="Arial" w:cs="Arial" w:eastAsia="Arial" w:hAnsi="Arial"/>
                <w:sz w:val="14"/>
                <w:szCs w:val="14"/>
                <w:color w:val="auto"/>
              </w:rPr>
              <w:t>Options (#)</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unearned</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Exercise</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Expiration</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rPr>
              <w:t>not</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9"/>
              </w:rPr>
              <w:t>have not</w:t>
            </w:r>
          </w:p>
        </w:tc>
        <w:tc>
          <w:tcPr>
            <w:tcW w:w="0" w:type="dxa"/>
            <w:vAlign w:val="bottom"/>
          </w:tcPr>
          <w:p>
            <w:pPr>
              <w:spacing w:after="0"/>
              <w:rPr>
                <w:sz w:val="1"/>
                <w:szCs w:val="1"/>
                <w:color w:val="auto"/>
              </w:rPr>
            </w:pPr>
          </w:p>
        </w:tc>
      </w:tr>
      <w:tr>
        <w:trPr>
          <w:trHeight w:val="174"/>
        </w:trPr>
        <w:tc>
          <w:tcPr>
            <w:tcW w:w="34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1000" w:type="dxa"/>
            <w:vAlign w:val="bottom"/>
            <w:gridSpan w:val="2"/>
          </w:tcPr>
          <w:p>
            <w:pPr>
              <w:jc w:val="right"/>
              <w:ind w:right="280"/>
              <w:spacing w:after="0" w:line="154" w:lineRule="exact"/>
              <w:rPr>
                <w:sz w:val="20"/>
                <w:szCs w:val="20"/>
                <w:color w:val="auto"/>
              </w:rPr>
            </w:pPr>
            <w:r>
              <w:rPr>
                <w:rFonts w:ascii="Arial" w:cs="Arial" w:eastAsia="Arial" w:hAnsi="Arial"/>
                <w:sz w:val="14"/>
                <w:szCs w:val="14"/>
                <w:color w:val="auto"/>
              </w:rPr>
              <w:t>Grant Date</w:t>
            </w:r>
          </w:p>
        </w:tc>
        <w:tc>
          <w:tcPr>
            <w:tcW w:w="100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1"/>
              </w:rPr>
              <w:t>Exercisable</w:t>
            </w:r>
          </w:p>
        </w:tc>
        <w:tc>
          <w:tcPr>
            <w:tcW w:w="160" w:type="dxa"/>
            <w:vAlign w:val="bottom"/>
          </w:tcPr>
          <w:p>
            <w:pPr>
              <w:spacing w:after="0"/>
              <w:rPr>
                <w:sz w:val="15"/>
                <w:szCs w:val="15"/>
                <w:color w:val="auto"/>
              </w:rPr>
            </w:pPr>
          </w:p>
        </w:tc>
        <w:tc>
          <w:tcPr>
            <w:tcW w:w="1260" w:type="dxa"/>
            <w:vAlign w:val="bottom"/>
            <w:gridSpan w:val="2"/>
          </w:tcPr>
          <w:p>
            <w:pPr>
              <w:jc w:val="center"/>
              <w:ind w:right="379"/>
              <w:spacing w:after="0" w:line="154" w:lineRule="exact"/>
              <w:rPr>
                <w:sz w:val="20"/>
                <w:szCs w:val="20"/>
                <w:color w:val="auto"/>
              </w:rPr>
            </w:pPr>
            <w:r>
              <w:rPr>
                <w:rFonts w:ascii="Arial" w:cs="Arial" w:eastAsia="Arial" w:hAnsi="Arial"/>
                <w:sz w:val="14"/>
                <w:szCs w:val="14"/>
                <w:color w:val="auto"/>
                <w:w w:val="92"/>
              </w:rPr>
              <w:t>Unexercisable</w:t>
            </w:r>
          </w:p>
        </w:tc>
        <w:tc>
          <w:tcPr>
            <w:tcW w:w="112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3"/>
              </w:rPr>
              <w:t>options (#)</w:t>
            </w:r>
          </w:p>
        </w:tc>
        <w:tc>
          <w:tcPr>
            <w:tcW w:w="72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Price</w:t>
            </w:r>
          </w:p>
        </w:tc>
        <w:tc>
          <w:tcPr>
            <w:tcW w:w="102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4"/>
              </w:rPr>
              <w:t>Date</w:t>
            </w:r>
          </w:p>
        </w:tc>
        <w:tc>
          <w:tcPr>
            <w:tcW w:w="1260" w:type="dxa"/>
            <w:vAlign w:val="bottom"/>
            <w:gridSpan w:val="2"/>
          </w:tcPr>
          <w:p>
            <w:pPr>
              <w:jc w:val="center"/>
              <w:ind w:right="420"/>
              <w:spacing w:after="0" w:line="154" w:lineRule="exact"/>
              <w:rPr>
                <w:sz w:val="20"/>
                <w:szCs w:val="20"/>
                <w:color w:val="auto"/>
              </w:rPr>
            </w:pPr>
            <w:r>
              <w:rPr>
                <w:rFonts w:ascii="Arial" w:cs="Arial" w:eastAsia="Arial" w:hAnsi="Arial"/>
                <w:sz w:val="14"/>
                <w:szCs w:val="14"/>
                <w:color w:val="auto"/>
                <w:w w:val="89"/>
              </w:rPr>
              <w:t>vested(#)</w:t>
            </w:r>
          </w:p>
        </w:tc>
        <w:tc>
          <w:tcPr>
            <w:tcW w:w="760" w:type="dxa"/>
            <w:vAlign w:val="bottom"/>
            <w:gridSpan w:val="2"/>
          </w:tcPr>
          <w:p>
            <w:pPr>
              <w:jc w:val="center"/>
              <w:ind w:right="40"/>
              <w:spacing w:after="0" w:line="154" w:lineRule="exact"/>
              <w:rPr>
                <w:sz w:val="20"/>
                <w:szCs w:val="20"/>
                <w:color w:val="auto"/>
              </w:rPr>
            </w:pPr>
            <w:r>
              <w:rPr>
                <w:rFonts w:ascii="Arial" w:cs="Arial" w:eastAsia="Arial" w:hAnsi="Arial"/>
                <w:sz w:val="14"/>
                <w:szCs w:val="14"/>
                <w:color w:val="auto"/>
                <w:w w:val="91"/>
              </w:rPr>
              <w:t xml:space="preserve">vested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w:t>
            </w:r>
            <w:r>
              <w:rPr>
                <w:rFonts w:ascii="Arial" w:cs="Arial" w:eastAsia="Arial" w:hAnsi="Arial"/>
                <w:sz w:val="10"/>
                <w:szCs w:val="10"/>
                <w:color w:val="auto"/>
                <w:w w:val="91"/>
              </w:rPr>
              <w:t>(1)</w:t>
            </w:r>
          </w:p>
        </w:tc>
        <w:tc>
          <w:tcPr>
            <w:tcW w:w="0" w:type="dxa"/>
            <w:vAlign w:val="bottom"/>
          </w:tcPr>
          <w:p>
            <w:pPr>
              <w:spacing w:after="0"/>
              <w:rPr>
                <w:sz w:val="1"/>
                <w:szCs w:val="1"/>
                <w:color w:val="auto"/>
              </w:rPr>
            </w:pPr>
          </w:p>
        </w:tc>
      </w:tr>
      <w:tr>
        <w:trPr>
          <w:trHeight w:val="189"/>
        </w:trPr>
        <w:tc>
          <w:tcPr>
            <w:tcW w:w="2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Subodh Kulkarni</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12/12/2022</w:t>
            </w: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1,250,000</w:t>
            </w:r>
          </w:p>
        </w:tc>
        <w:tc>
          <w:tcPr>
            <w:tcW w:w="440" w:type="dxa"/>
            <w:vAlign w:val="bottom"/>
            <w:tcBorders>
              <w:top w:val="single" w:sz="8" w:color="CCEEFF"/>
            </w:tcBorders>
            <w:shd w:val="clear" w:color="auto" w:fill="CCEEFF"/>
          </w:tcPr>
          <w:p>
            <w:pPr>
              <w:jc w:val="right"/>
              <w:ind w:right="239"/>
              <w:spacing w:after="0" w:line="134" w:lineRule="exact"/>
              <w:rPr>
                <w:sz w:val="20"/>
                <w:szCs w:val="20"/>
                <w:color w:val="auto"/>
              </w:rPr>
            </w:pPr>
            <w:r>
              <w:rPr>
                <w:rFonts w:ascii="Arial" w:cs="Arial" w:eastAsia="Arial" w:hAnsi="Arial"/>
                <w:sz w:val="12"/>
                <w:szCs w:val="12"/>
                <w:color w:val="auto"/>
                <w:w w:val="81"/>
              </w:rPr>
              <w:t>(2)</w:t>
            </w: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0.9640</w:t>
            </w: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12/12/2032</w:t>
            </w:r>
          </w:p>
        </w:tc>
        <w:tc>
          <w:tcPr>
            <w:tcW w:w="2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center"/>
              <w:ind w:left="441"/>
              <w:spacing w:after="0"/>
              <w:rPr>
                <w:sz w:val="20"/>
                <w:szCs w:val="20"/>
                <w:color w:val="auto"/>
              </w:rPr>
            </w:pPr>
            <w:r>
              <w:rPr>
                <w:rFonts w:ascii="Arial" w:cs="Arial" w:eastAsia="Arial" w:hAnsi="Arial"/>
                <w:sz w:val="16"/>
                <w:szCs w:val="16"/>
                <w:color w:val="auto"/>
                <w:w w:val="99"/>
              </w:rPr>
              <w:t>—</w:t>
            </w:r>
          </w:p>
        </w:tc>
        <w:tc>
          <w:tcPr>
            <w:tcW w:w="4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12/12/2022</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220"/>
              <w:spacing w:after="0" w:line="202" w:lineRule="exact"/>
              <w:rPr>
                <w:sz w:val="20"/>
                <w:szCs w:val="20"/>
                <w:color w:val="auto"/>
              </w:rPr>
            </w:pPr>
            <w:r>
              <w:rPr>
                <w:rFonts w:ascii="Arial" w:cs="Arial" w:eastAsia="Arial" w:hAnsi="Arial"/>
                <w:sz w:val="16"/>
                <w:szCs w:val="16"/>
                <w:color w:val="auto"/>
              </w:rPr>
              <w:t>500,000</w:t>
            </w:r>
            <w:r>
              <w:rPr>
                <w:rFonts w:ascii="Arial" w:cs="Arial" w:eastAsia="Arial" w:hAnsi="Arial"/>
                <w:sz w:val="23"/>
                <w:szCs w:val="23"/>
                <w:color w:val="auto"/>
                <w:vertAlign w:val="superscript"/>
              </w:rPr>
              <w:t>(3)</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0.9640</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12/12/2032</w:t>
            </w:r>
          </w:p>
        </w:tc>
        <w:tc>
          <w:tcPr>
            <w:tcW w:w="126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Rick Danis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5/22/2020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162,573</w:t>
            </w:r>
          </w:p>
        </w:tc>
        <w:tc>
          <w:tcPr>
            <w:tcW w:w="1420" w:type="dxa"/>
            <w:vAlign w:val="bottom"/>
            <w:gridSpan w:val="3"/>
            <w:shd w:val="clear" w:color="auto" w:fill="CCEEFF"/>
          </w:tcPr>
          <w:p>
            <w:pPr>
              <w:jc w:val="right"/>
              <w:ind w:right="239"/>
              <w:spacing w:after="0" w:line="202" w:lineRule="exact"/>
              <w:rPr>
                <w:sz w:val="20"/>
                <w:szCs w:val="20"/>
                <w:color w:val="auto"/>
              </w:rPr>
            </w:pPr>
            <w:r>
              <w:rPr>
                <w:rFonts w:ascii="Arial" w:cs="Arial" w:eastAsia="Arial" w:hAnsi="Arial"/>
                <w:sz w:val="16"/>
                <w:szCs w:val="16"/>
                <w:color w:val="auto"/>
              </w:rPr>
              <w:t>83,245</w:t>
            </w:r>
            <w:r>
              <w:rPr>
                <w:rFonts w:ascii="Arial" w:cs="Arial" w:eastAsia="Arial" w:hAnsi="Arial"/>
                <w:sz w:val="23"/>
                <w:szCs w:val="23"/>
                <w:color w:val="auto"/>
                <w:vertAlign w:val="superscript"/>
              </w:rPr>
              <w:t>(4)</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5/21/2030</w:t>
            </w:r>
          </w:p>
        </w:tc>
        <w:tc>
          <w:tcPr>
            <w:tcW w:w="126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9/20/2019</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48,399</w:t>
            </w:r>
          </w:p>
        </w:tc>
        <w:tc>
          <w:tcPr>
            <w:tcW w:w="1420" w:type="dxa"/>
            <w:vAlign w:val="bottom"/>
            <w:gridSpan w:val="3"/>
          </w:tcPr>
          <w:p>
            <w:pPr>
              <w:jc w:val="right"/>
              <w:ind w:right="239"/>
              <w:spacing w:after="0" w:line="202" w:lineRule="exact"/>
              <w:rPr>
                <w:sz w:val="20"/>
                <w:szCs w:val="20"/>
                <w:color w:val="auto"/>
              </w:rPr>
            </w:pPr>
            <w:r>
              <w:rPr>
                <w:rFonts w:ascii="Arial" w:cs="Arial" w:eastAsia="Arial" w:hAnsi="Arial"/>
                <w:sz w:val="16"/>
                <w:szCs w:val="16"/>
                <w:color w:val="auto"/>
              </w:rPr>
              <w:t>22,430</w:t>
            </w:r>
            <w:r>
              <w:rPr>
                <w:rFonts w:ascii="Arial" w:cs="Arial" w:eastAsia="Arial" w:hAnsi="Arial"/>
                <w:sz w:val="23"/>
                <w:szCs w:val="23"/>
                <w:color w:val="auto"/>
                <w:vertAlign w:val="superscript"/>
              </w:rPr>
              <w:t>(5)</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9/19/2029</w:t>
            </w:r>
          </w:p>
        </w:tc>
        <w:tc>
          <w:tcPr>
            <w:tcW w:w="126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7/15/2020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42,792</w:t>
            </w:r>
          </w:p>
        </w:tc>
        <w:tc>
          <w:tcPr>
            <w:tcW w:w="1420" w:type="dxa"/>
            <w:vAlign w:val="bottom"/>
            <w:gridSpan w:val="3"/>
            <w:shd w:val="clear" w:color="auto" w:fill="CCEEFF"/>
          </w:tcPr>
          <w:p>
            <w:pPr>
              <w:jc w:val="right"/>
              <w:ind w:right="239"/>
              <w:spacing w:after="0" w:line="202" w:lineRule="exact"/>
              <w:rPr>
                <w:sz w:val="20"/>
                <w:szCs w:val="20"/>
                <w:color w:val="auto"/>
              </w:rPr>
            </w:pPr>
            <w:r>
              <w:rPr>
                <w:rFonts w:ascii="Arial" w:cs="Arial" w:eastAsia="Arial" w:hAnsi="Arial"/>
                <w:sz w:val="16"/>
                <w:szCs w:val="16"/>
                <w:color w:val="auto"/>
              </w:rPr>
              <w:t>28,037</w:t>
            </w:r>
            <w:r>
              <w:rPr>
                <w:rFonts w:ascii="Arial" w:cs="Arial" w:eastAsia="Arial" w:hAnsi="Arial"/>
                <w:sz w:val="23"/>
                <w:szCs w:val="23"/>
                <w:color w:val="auto"/>
                <w:vertAlign w:val="superscript"/>
              </w:rPr>
              <w:t>(6)</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7/14/2030</w:t>
            </w:r>
          </w:p>
        </w:tc>
        <w:tc>
          <w:tcPr>
            <w:tcW w:w="126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4/21/2021</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6"/>
                <w:szCs w:val="16"/>
                <w:color w:val="auto"/>
              </w:rPr>
              <w:t>79,110</w:t>
            </w:r>
            <w:r>
              <w:rPr>
                <w:rFonts w:ascii="Arial" w:cs="Arial" w:eastAsia="Arial" w:hAnsi="Arial"/>
                <w:sz w:val="23"/>
                <w:szCs w:val="23"/>
                <w:color w:val="auto"/>
                <w:vertAlign w:val="superscript"/>
              </w:rPr>
              <w:t>(8)</w:t>
            </w:r>
          </w:p>
        </w:tc>
        <w:tc>
          <w:tcPr>
            <w:tcW w:w="720" w:type="dxa"/>
            <w:vAlign w:val="bottom"/>
          </w:tcPr>
          <w:p>
            <w:pPr>
              <w:jc w:val="right"/>
              <w:spacing w:after="0"/>
              <w:rPr>
                <w:sz w:val="20"/>
                <w:szCs w:val="20"/>
                <w:color w:val="auto"/>
              </w:rPr>
            </w:pPr>
            <w:r>
              <w:rPr>
                <w:rFonts w:ascii="Arial" w:cs="Arial" w:eastAsia="Arial" w:hAnsi="Arial"/>
                <w:sz w:val="16"/>
                <w:szCs w:val="16"/>
                <w:color w:val="auto"/>
              </w:rPr>
              <w:t>57,687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1/25/2022</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6"/>
                <w:szCs w:val="16"/>
                <w:color w:val="auto"/>
              </w:rPr>
              <w:t>53,524</w:t>
            </w:r>
            <w:r>
              <w:rPr>
                <w:rFonts w:ascii="Arial" w:cs="Arial" w:eastAsia="Arial" w:hAnsi="Arial"/>
                <w:sz w:val="23"/>
                <w:szCs w:val="23"/>
                <w:color w:val="auto"/>
                <w:vertAlign w:val="superscript"/>
              </w:rPr>
              <w:t>(9)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6/10/2022</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6"/>
                <w:szCs w:val="16"/>
                <w:color w:val="auto"/>
              </w:rPr>
              <w:t>78,912</w:t>
            </w:r>
            <w:r>
              <w:rPr>
                <w:rFonts w:ascii="Arial" w:cs="Arial" w:eastAsia="Arial" w:hAnsi="Arial"/>
                <w:sz w:val="23"/>
                <w:szCs w:val="23"/>
                <w:color w:val="auto"/>
                <w:vertAlign w:val="superscript"/>
              </w:rPr>
              <w:t>(10)</w:t>
            </w:r>
          </w:p>
        </w:tc>
        <w:tc>
          <w:tcPr>
            <w:tcW w:w="720" w:type="dxa"/>
            <w:vAlign w:val="bottom"/>
          </w:tcPr>
          <w:p>
            <w:pPr>
              <w:jc w:val="right"/>
              <w:spacing w:after="0"/>
              <w:rPr>
                <w:sz w:val="20"/>
                <w:szCs w:val="20"/>
                <w:color w:val="auto"/>
              </w:rPr>
            </w:pPr>
            <w:r>
              <w:rPr>
                <w:rFonts w:ascii="Arial" w:cs="Arial" w:eastAsia="Arial" w:hAnsi="Arial"/>
                <w:sz w:val="16"/>
                <w:szCs w:val="16"/>
                <w:color w:val="auto"/>
              </w:rPr>
              <w:t>57,543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6/10/2022</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6"/>
                <w:szCs w:val="16"/>
                <w:color w:val="auto"/>
              </w:rPr>
              <w:t>81,384</w:t>
            </w:r>
            <w:r>
              <w:rPr>
                <w:rFonts w:ascii="Arial" w:cs="Arial" w:eastAsia="Arial" w:hAnsi="Arial"/>
                <w:sz w:val="23"/>
                <w:szCs w:val="23"/>
                <w:color w:val="auto"/>
                <w:vertAlign w:val="superscript"/>
              </w:rPr>
              <w:t>(11)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12/09/2022</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6"/>
                <w:szCs w:val="16"/>
                <w:color w:val="auto"/>
              </w:rPr>
              <w:t>49,019</w:t>
            </w:r>
            <w:r>
              <w:rPr>
                <w:rFonts w:ascii="Arial" w:cs="Arial" w:eastAsia="Arial" w:hAnsi="Arial"/>
                <w:sz w:val="23"/>
                <w:szCs w:val="23"/>
                <w:color w:val="auto"/>
                <w:vertAlign w:val="superscript"/>
              </w:rPr>
              <w:t>(7)</w:t>
            </w:r>
          </w:p>
        </w:tc>
        <w:tc>
          <w:tcPr>
            <w:tcW w:w="720" w:type="dxa"/>
            <w:vAlign w:val="bottom"/>
          </w:tcPr>
          <w:p>
            <w:pPr>
              <w:jc w:val="right"/>
              <w:spacing w:after="0"/>
              <w:rPr>
                <w:sz w:val="20"/>
                <w:szCs w:val="20"/>
                <w:color w:val="auto"/>
              </w:rPr>
            </w:pPr>
            <w:r>
              <w:rPr>
                <w:rFonts w:ascii="Arial" w:cs="Arial" w:eastAsia="Arial" w:hAnsi="Arial"/>
                <w:sz w:val="16"/>
                <w:szCs w:val="16"/>
                <w:color w:val="auto"/>
              </w:rPr>
              <w:t>98,039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Chad Rigetti</w:t>
            </w:r>
            <w:r>
              <w:rPr>
                <w:rFonts w:ascii="Arial" w:cs="Arial" w:eastAsia="Arial" w:hAnsi="Arial"/>
                <w:sz w:val="23"/>
                <w:szCs w:val="23"/>
                <w:color w:val="auto"/>
                <w:vertAlign w:val="superscript"/>
              </w:rPr>
              <w:t>(22)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5/22/2020</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6"/>
                <w:szCs w:val="16"/>
                <w:color w:val="auto"/>
                <w:w w:val="93"/>
              </w:rPr>
              <w:t>2,657,887</w:t>
            </w:r>
            <w:r>
              <w:rPr>
                <w:rFonts w:ascii="Arial" w:cs="Arial" w:eastAsia="Arial" w:hAnsi="Arial"/>
                <w:sz w:val="23"/>
                <w:szCs w:val="23"/>
                <w:color w:val="auto"/>
                <w:w w:val="93"/>
                <w:vertAlign w:val="superscript"/>
              </w:rPr>
              <w:t>(12)</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5/21/2030</w:t>
            </w:r>
          </w:p>
        </w:tc>
        <w:tc>
          <w:tcPr>
            <w:tcW w:w="126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7/13/2016</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2,360</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7/13/2026</w:t>
            </w:r>
          </w:p>
        </w:tc>
        <w:tc>
          <w:tcPr>
            <w:tcW w:w="126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5/16/2017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1,416</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5/16/2027</w:t>
            </w:r>
          </w:p>
        </w:tc>
        <w:tc>
          <w:tcPr>
            <w:tcW w:w="126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12/14/2017</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944</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12/14/2027</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4/04/2018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1,023</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4/4/2028</w:t>
            </w:r>
          </w:p>
        </w:tc>
        <w:tc>
          <w:tcPr>
            <w:tcW w:w="126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7/11/2018</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786</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7/11/2028</w:t>
            </w:r>
          </w:p>
        </w:tc>
        <w:tc>
          <w:tcPr>
            <w:tcW w:w="126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9/26/2018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1,495</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9/26/2028</w:t>
            </w:r>
          </w:p>
        </w:tc>
        <w:tc>
          <w:tcPr>
            <w:tcW w:w="126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1/29/2019</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629</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1/29/2029</w:t>
            </w:r>
          </w:p>
        </w:tc>
        <w:tc>
          <w:tcPr>
            <w:tcW w:w="126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1/29/2019</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708</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1/29/2029</w:t>
            </w:r>
          </w:p>
        </w:tc>
        <w:tc>
          <w:tcPr>
            <w:tcW w:w="126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10/30/2019</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393</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10/30/2029</w:t>
            </w:r>
          </w:p>
        </w:tc>
        <w:tc>
          <w:tcPr>
            <w:tcW w:w="126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10/30/2019</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865</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10/30/2029</w:t>
            </w:r>
          </w:p>
        </w:tc>
        <w:tc>
          <w:tcPr>
            <w:tcW w:w="126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10/30/2019</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472</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10/30/2029</w:t>
            </w:r>
          </w:p>
        </w:tc>
        <w:tc>
          <w:tcPr>
            <w:tcW w:w="126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1/20/2021</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393</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1/19/2031</w:t>
            </w:r>
          </w:p>
        </w:tc>
        <w:tc>
          <w:tcPr>
            <w:tcW w:w="126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20" w:type="dxa"/>
            <w:vAlign w:val="bottom"/>
            <w:gridSpan w:val="2"/>
          </w:tcPr>
          <w:p>
            <w:pPr>
              <w:spacing w:after="0"/>
              <w:rPr>
                <w:sz w:val="20"/>
                <w:szCs w:val="20"/>
                <w:color w:val="auto"/>
              </w:rPr>
            </w:pPr>
            <w:r>
              <w:rPr>
                <w:rFonts w:ascii="Arial" w:cs="Arial" w:eastAsia="Arial" w:hAnsi="Arial"/>
                <w:sz w:val="16"/>
                <w:szCs w:val="16"/>
                <w:color w:val="auto"/>
              </w:rPr>
              <w:t>Brian Sereda</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8/18/2021</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center"/>
              <w:ind w:left="21"/>
              <w:spacing w:after="0" w:line="202" w:lineRule="exact"/>
              <w:rPr>
                <w:sz w:val="20"/>
                <w:szCs w:val="20"/>
                <w:color w:val="auto"/>
              </w:rPr>
            </w:pPr>
            <w:r>
              <w:rPr>
                <w:rFonts w:ascii="Arial" w:cs="Arial" w:eastAsia="Arial" w:hAnsi="Arial"/>
                <w:sz w:val="16"/>
                <w:szCs w:val="16"/>
                <w:color w:val="auto"/>
                <w:w w:val="84"/>
              </w:rPr>
              <w:t>699,250</w:t>
            </w:r>
            <w:r>
              <w:rPr>
                <w:rFonts w:ascii="Arial" w:cs="Arial" w:eastAsia="Arial" w:hAnsi="Arial"/>
                <w:sz w:val="23"/>
                <w:szCs w:val="23"/>
                <w:color w:val="auto"/>
                <w:w w:val="84"/>
                <w:vertAlign w:val="superscript"/>
              </w:rPr>
              <w:t>(13)</w:t>
            </w:r>
          </w:p>
        </w:tc>
        <w:tc>
          <w:tcPr>
            <w:tcW w:w="720" w:type="dxa"/>
            <w:vAlign w:val="bottom"/>
          </w:tcPr>
          <w:p>
            <w:pPr>
              <w:jc w:val="right"/>
              <w:spacing w:after="0"/>
              <w:rPr>
                <w:sz w:val="20"/>
                <w:szCs w:val="20"/>
                <w:color w:val="auto"/>
              </w:rPr>
            </w:pPr>
            <w:r>
              <w:rPr>
                <w:rFonts w:ascii="Arial" w:cs="Arial" w:eastAsia="Arial" w:hAnsi="Arial"/>
                <w:sz w:val="16"/>
                <w:szCs w:val="16"/>
                <w:color w:val="auto"/>
              </w:rPr>
              <w:t>509,893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1/25/2022</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6"/>
                <w:szCs w:val="16"/>
                <w:color w:val="auto"/>
              </w:rPr>
              <w:t>5,157</w:t>
            </w:r>
            <w:r>
              <w:rPr>
                <w:rFonts w:ascii="Arial" w:cs="Arial" w:eastAsia="Arial" w:hAnsi="Arial"/>
                <w:sz w:val="23"/>
                <w:szCs w:val="23"/>
                <w:color w:val="auto"/>
                <w:vertAlign w:val="superscript"/>
              </w:rPr>
              <w:t>(14)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6/10/2022</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6"/>
                <w:szCs w:val="16"/>
                <w:color w:val="auto"/>
              </w:rPr>
              <w:t>6,960</w:t>
            </w:r>
            <w:r>
              <w:rPr>
                <w:rFonts w:ascii="Arial" w:cs="Arial" w:eastAsia="Arial" w:hAnsi="Arial"/>
                <w:sz w:val="23"/>
                <w:szCs w:val="23"/>
                <w:color w:val="auto"/>
                <w:vertAlign w:val="superscript"/>
              </w:rPr>
              <w:t>(11)</w:t>
            </w:r>
          </w:p>
        </w:tc>
        <w:tc>
          <w:tcPr>
            <w:tcW w:w="720" w:type="dxa"/>
            <w:vAlign w:val="bottom"/>
          </w:tcPr>
          <w:p>
            <w:pPr>
              <w:jc w:val="right"/>
              <w:spacing w:after="0"/>
              <w:rPr>
                <w:sz w:val="20"/>
                <w:szCs w:val="20"/>
                <w:color w:val="auto"/>
              </w:rPr>
            </w:pPr>
            <w:r>
              <w:rPr>
                <w:rFonts w:ascii="Arial" w:cs="Arial" w:eastAsia="Arial" w:hAnsi="Arial"/>
                <w:sz w:val="16"/>
                <w:szCs w:val="16"/>
                <w:color w:val="auto"/>
              </w:rPr>
              <w:t>5,075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6/10/2022</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center"/>
              <w:ind w:left="21"/>
              <w:spacing w:after="0" w:line="202" w:lineRule="exact"/>
              <w:rPr>
                <w:sz w:val="20"/>
                <w:szCs w:val="20"/>
                <w:color w:val="auto"/>
              </w:rPr>
            </w:pPr>
            <w:r>
              <w:rPr>
                <w:rFonts w:ascii="Arial" w:cs="Arial" w:eastAsia="Arial" w:hAnsi="Arial"/>
                <w:sz w:val="16"/>
                <w:szCs w:val="16"/>
                <w:color w:val="auto"/>
                <w:w w:val="84"/>
              </w:rPr>
              <w:t>101,809</w:t>
            </w:r>
            <w:r>
              <w:rPr>
                <w:rFonts w:ascii="Arial" w:cs="Arial" w:eastAsia="Arial" w:hAnsi="Arial"/>
                <w:sz w:val="23"/>
                <w:szCs w:val="23"/>
                <w:color w:val="auto"/>
                <w:w w:val="84"/>
                <w:vertAlign w:val="superscript"/>
              </w:rPr>
              <w:t>(11)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gridSpan w:val="2"/>
          </w:tcPr>
          <w:p>
            <w:pPr>
              <w:spacing w:after="0"/>
              <w:rPr>
                <w:sz w:val="20"/>
                <w:szCs w:val="20"/>
                <w:color w:val="auto"/>
              </w:rPr>
            </w:pPr>
            <w:r>
              <w:rPr>
                <w:rFonts w:ascii="Arial" w:cs="Arial" w:eastAsia="Arial" w:hAnsi="Arial"/>
                <w:sz w:val="16"/>
                <w:szCs w:val="16"/>
                <w:color w:val="auto"/>
              </w:rPr>
              <w:t>Michael Harburn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5/22/2020</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204,678</w:t>
            </w:r>
          </w:p>
        </w:tc>
        <w:tc>
          <w:tcPr>
            <w:tcW w:w="1420" w:type="dxa"/>
            <w:vAlign w:val="bottom"/>
            <w:gridSpan w:val="3"/>
          </w:tcPr>
          <w:p>
            <w:pPr>
              <w:jc w:val="right"/>
              <w:ind w:right="179"/>
              <w:spacing w:after="0" w:line="202" w:lineRule="exact"/>
              <w:rPr>
                <w:sz w:val="20"/>
                <w:szCs w:val="20"/>
                <w:color w:val="auto"/>
              </w:rPr>
            </w:pPr>
            <w:r>
              <w:rPr>
                <w:rFonts w:ascii="Arial" w:cs="Arial" w:eastAsia="Arial" w:hAnsi="Arial"/>
                <w:sz w:val="16"/>
                <w:szCs w:val="16"/>
                <w:color w:val="auto"/>
              </w:rPr>
              <w:t>71,215</w:t>
            </w:r>
            <w:r>
              <w:rPr>
                <w:rFonts w:ascii="Arial" w:cs="Arial" w:eastAsia="Arial" w:hAnsi="Arial"/>
                <w:sz w:val="23"/>
                <w:szCs w:val="23"/>
                <w:color w:val="auto"/>
                <w:vertAlign w:val="superscript"/>
              </w:rPr>
              <w:t>(15)</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5/21/2030</w:t>
            </w:r>
          </w:p>
        </w:tc>
        <w:tc>
          <w:tcPr>
            <w:tcW w:w="126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7/11/2018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12,592</w:t>
            </w:r>
          </w:p>
        </w:tc>
        <w:tc>
          <w:tcPr>
            <w:tcW w:w="1420" w:type="dxa"/>
            <w:vAlign w:val="bottom"/>
            <w:gridSpan w:val="3"/>
            <w:shd w:val="clear" w:color="auto" w:fill="CCEEFF"/>
          </w:tcPr>
          <w:p>
            <w:pPr>
              <w:jc w:val="right"/>
              <w:ind w:right="179"/>
              <w:spacing w:after="0" w:line="202" w:lineRule="exact"/>
              <w:rPr>
                <w:sz w:val="20"/>
                <w:szCs w:val="20"/>
                <w:color w:val="auto"/>
              </w:rPr>
            </w:pPr>
            <w:r>
              <w:rPr>
                <w:rFonts w:ascii="Arial" w:cs="Arial" w:eastAsia="Arial" w:hAnsi="Arial"/>
                <w:sz w:val="16"/>
                <w:szCs w:val="16"/>
                <w:color w:val="auto"/>
              </w:rPr>
              <w:t>3,148</w:t>
            </w:r>
            <w:r>
              <w:rPr>
                <w:rFonts w:ascii="Arial" w:cs="Arial" w:eastAsia="Arial" w:hAnsi="Arial"/>
                <w:sz w:val="23"/>
                <w:szCs w:val="23"/>
                <w:color w:val="auto"/>
                <w:vertAlign w:val="superscript"/>
              </w:rPr>
              <w:t>(16)</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7/11/2028</w:t>
            </w:r>
          </w:p>
        </w:tc>
        <w:tc>
          <w:tcPr>
            <w:tcW w:w="126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4/4/2019</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18,888</w:t>
            </w:r>
          </w:p>
        </w:tc>
        <w:tc>
          <w:tcPr>
            <w:tcW w:w="1420" w:type="dxa"/>
            <w:vAlign w:val="bottom"/>
            <w:gridSpan w:val="3"/>
          </w:tcPr>
          <w:p>
            <w:pPr>
              <w:jc w:val="right"/>
              <w:ind w:right="179"/>
              <w:spacing w:after="0" w:line="202" w:lineRule="exact"/>
              <w:rPr>
                <w:sz w:val="20"/>
                <w:szCs w:val="20"/>
                <w:color w:val="auto"/>
              </w:rPr>
            </w:pPr>
            <w:r>
              <w:rPr>
                <w:rFonts w:ascii="Arial" w:cs="Arial" w:eastAsia="Arial" w:hAnsi="Arial"/>
                <w:sz w:val="16"/>
                <w:szCs w:val="16"/>
                <w:color w:val="auto"/>
              </w:rPr>
              <w:t>11,805</w:t>
            </w:r>
            <w:r>
              <w:rPr>
                <w:rFonts w:ascii="Arial" w:cs="Arial" w:eastAsia="Arial" w:hAnsi="Arial"/>
                <w:sz w:val="23"/>
                <w:szCs w:val="23"/>
                <w:color w:val="auto"/>
                <w:vertAlign w:val="superscript"/>
              </w:rPr>
              <w:t>(17)</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0.2720</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4/3/2029</w:t>
            </w:r>
          </w:p>
        </w:tc>
        <w:tc>
          <w:tcPr>
            <w:tcW w:w="126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4/21/2021</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6"/>
                <w:szCs w:val="16"/>
                <w:color w:val="auto"/>
              </w:rPr>
              <w:t>188,230</w:t>
            </w:r>
            <w:r>
              <w:rPr>
                <w:rFonts w:ascii="Arial" w:cs="Arial" w:eastAsia="Arial" w:hAnsi="Arial"/>
                <w:sz w:val="23"/>
                <w:szCs w:val="23"/>
                <w:color w:val="auto"/>
                <w:vertAlign w:val="superscript"/>
              </w:rPr>
              <w:t>(8)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1/25/2022</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center"/>
              <w:ind w:left="21"/>
              <w:spacing w:after="0" w:line="202" w:lineRule="exact"/>
              <w:rPr>
                <w:sz w:val="20"/>
                <w:szCs w:val="20"/>
                <w:color w:val="auto"/>
              </w:rPr>
            </w:pPr>
            <w:r>
              <w:rPr>
                <w:rFonts w:ascii="Arial" w:cs="Arial" w:eastAsia="Arial" w:hAnsi="Arial"/>
                <w:sz w:val="16"/>
                <w:szCs w:val="16"/>
                <w:color w:val="auto"/>
                <w:w w:val="84"/>
              </w:rPr>
              <w:t>121,522</w:t>
            </w:r>
            <w:r>
              <w:rPr>
                <w:rFonts w:ascii="Arial" w:cs="Arial" w:eastAsia="Arial" w:hAnsi="Arial"/>
                <w:sz w:val="23"/>
                <w:szCs w:val="23"/>
                <w:color w:val="auto"/>
                <w:w w:val="84"/>
                <w:vertAlign w:val="superscript"/>
              </w:rPr>
              <w:t>(14)</w:t>
            </w:r>
          </w:p>
        </w:tc>
        <w:tc>
          <w:tcPr>
            <w:tcW w:w="720" w:type="dxa"/>
            <w:vAlign w:val="bottom"/>
          </w:tcPr>
          <w:p>
            <w:pPr>
              <w:jc w:val="right"/>
              <w:spacing w:after="0"/>
              <w:rPr>
                <w:sz w:val="20"/>
                <w:szCs w:val="20"/>
                <w:color w:val="auto"/>
              </w:rPr>
            </w:pPr>
            <w:r>
              <w:rPr>
                <w:rFonts w:ascii="Arial" w:cs="Arial" w:eastAsia="Arial" w:hAnsi="Arial"/>
                <w:sz w:val="16"/>
                <w:szCs w:val="16"/>
                <w:color w:val="auto"/>
              </w:rPr>
              <w:t>88,614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6/10/2022</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center"/>
              <w:ind w:left="21"/>
              <w:spacing w:after="0" w:line="202" w:lineRule="exact"/>
              <w:rPr>
                <w:sz w:val="20"/>
                <w:szCs w:val="20"/>
                <w:color w:val="auto"/>
              </w:rPr>
            </w:pPr>
            <w:r>
              <w:rPr>
                <w:rFonts w:ascii="Arial" w:cs="Arial" w:eastAsia="Arial" w:hAnsi="Arial"/>
                <w:sz w:val="16"/>
                <w:szCs w:val="16"/>
                <w:color w:val="auto"/>
                <w:w w:val="84"/>
              </w:rPr>
              <w:t>164,016</w:t>
            </w:r>
            <w:r>
              <w:rPr>
                <w:rFonts w:ascii="Arial" w:cs="Arial" w:eastAsia="Arial" w:hAnsi="Arial"/>
                <w:sz w:val="23"/>
                <w:szCs w:val="23"/>
                <w:color w:val="auto"/>
                <w:w w:val="84"/>
                <w:vertAlign w:val="superscript"/>
              </w:rPr>
              <w:t>(11)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119,600</w:t>
            </w:r>
          </w:p>
        </w:tc>
        <w:tc>
          <w:tcPr>
            <w:tcW w:w="0" w:type="dxa"/>
            <w:vAlign w:val="bottom"/>
          </w:tcPr>
          <w:p>
            <w:pPr>
              <w:spacing w:after="0"/>
              <w:rPr>
                <w:sz w:val="1"/>
                <w:szCs w:val="1"/>
                <w:color w:val="auto"/>
              </w:rPr>
            </w:pPr>
          </w:p>
        </w:tc>
      </w:tr>
      <w:tr>
        <w:trPr>
          <w:trHeight w:val="317"/>
        </w:trPr>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6/10/2022</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85,421</w:t>
            </w:r>
            <w:r>
              <w:rPr>
                <w:rFonts w:ascii="Arial" w:cs="Arial" w:eastAsia="Arial" w:hAnsi="Arial"/>
                <w:sz w:val="24"/>
                <w:szCs w:val="24"/>
                <w:color w:val="auto"/>
                <w:vertAlign w:val="superscript"/>
              </w:rPr>
              <w:t>(11)</w:t>
            </w:r>
          </w:p>
        </w:tc>
        <w:tc>
          <w:tcPr>
            <w:tcW w:w="720" w:type="dxa"/>
            <w:vAlign w:val="bottom"/>
          </w:tcPr>
          <w:p>
            <w:pPr>
              <w:jc w:val="right"/>
              <w:spacing w:after="0"/>
              <w:rPr>
                <w:sz w:val="20"/>
                <w:szCs w:val="20"/>
                <w:color w:val="auto"/>
              </w:rPr>
            </w:pPr>
            <w:r>
              <w:rPr>
                <w:rFonts w:ascii="Arial" w:cs="Arial" w:eastAsia="Arial" w:hAnsi="Arial"/>
                <w:sz w:val="16"/>
                <w:szCs w:val="16"/>
                <w:color w:val="auto"/>
              </w:rPr>
              <w:t>62,289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wp:posOffset>
            </wp:positionV>
            <wp:extent cx="7715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4" w:lineRule="exact"/>
        <w:rPr>
          <w:sz w:val="20"/>
          <w:szCs w:val="20"/>
          <w:color w:val="auto"/>
        </w:rPr>
      </w:pPr>
    </w:p>
    <w:p>
      <w:pPr>
        <w:ind w:left="540" w:right="100" w:hanging="424"/>
        <w:spacing w:after="0" w:line="258"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market value of unvested shares is calculated by multiplying the number of unvested shares by the closing market price of our common stock on Nasdaq on December 30, 2022, the last trading day of fiscal year 2022, which was $0.7292 per share.</w:t>
      </w:r>
    </w:p>
    <w:p>
      <w:pPr>
        <w:spacing w:after="0" w:line="1" w:lineRule="exact"/>
        <w:rPr>
          <w:rFonts w:ascii="Arial" w:cs="Arial" w:eastAsia="Arial" w:hAnsi="Arial"/>
          <w:sz w:val="18"/>
          <w:szCs w:val="18"/>
          <w:color w:val="auto"/>
        </w:rPr>
      </w:pPr>
    </w:p>
    <w:p>
      <w:pPr>
        <w:ind w:left="540" w:right="340" w:hanging="424"/>
        <w:spacing w:after="0" w:line="255"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One-third (1/3rd) of the shares subject to the option vest on December 12, 2023, and the remaining shares subject to the option shall vest in twenty-four (24) equal monthly installments thereafter, subject to Dr. Kulkarni’s continuous service through each such vesting date (the “time-based vesting requirement”).</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86"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60" w:hanging="424"/>
        <w:spacing w:after="0" w:line="284"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option is subject to the aforementioned time-based vesting requirement and a performance-based vesting requirement. The performance-based vesting requirement uses the Company’s stock price as vesting hurdles over a five-year period. There are two vesting hurdles at $5 and $10 per share, with each hurdle price applying to 50% of the shares underlying the option granted. A hurdle is met when the Company’s closing trading stock price equals or exceeds the hurdle amount for any twenty (20) trading days during any consecutive thirty (30) trading day period. To the extent that the performance-based vesting requirement is satisfied prior to the termination of Dr. Kulkarni’s continuous service, the option will vest and become exercisable without regard to the time-based vesting requirement. The option will not vest and become exercisable unless and until the performance-based vesting requirement has been satisfied, even if the time-based vesting requirement has been satisfied.</w:t>
      </w:r>
    </w:p>
    <w:p>
      <w:pPr>
        <w:spacing w:after="0" w:line="2"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14.44808% of this option vested and became exercisable on July 23, 2020, with the remainder vesting in 48 equal monthly installments thereafter, subject to continuous service on each such date.</w:t>
      </w:r>
    </w:p>
    <w:p>
      <w:pPr>
        <w:ind w:left="54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 of this option vested and became exercisable on July 23, 2020, with the remainder vesting in 48 equal monthly installments thereafter, subject to continuous service on each such date.</w:t>
      </w:r>
    </w:p>
    <w:p>
      <w:pPr>
        <w:ind w:left="540" w:right="38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option vests and becomes exercisable in equal monthly installments over a period of four years commencing August 15, 2020, subject to continuous service on each such date.</w:t>
      </w:r>
    </w:p>
    <w:p>
      <w:pPr>
        <w:ind w:left="540" w:hanging="424"/>
        <w:spacing w:after="0"/>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RSU vests in three equal monthly installments commencing on December 31, 2022, subject to continuous service on each such date.</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RSU vests in 48 equal installments commencing on May 21, 2021, subject to continuous service on each such date.</w:t>
      </w:r>
    </w:p>
    <w:p>
      <w:pPr>
        <w:spacing w:after="0" w:line="9"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RSU vests (i) 50% in 12 equal monthly installments on the last day of each month commencing February 28, 2022 and (ii) 50% vested or shall vest in 48 equal monthly installments on the last day of each month commencing February 28, 2022, subject to continuous service on each such date.</w:t>
      </w:r>
    </w:p>
    <w:p>
      <w:pPr>
        <w:spacing w:after="0" w:line="1"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RSU vests (i) 50% in 12 equal monthly installments on the last day of each month commencing March 31, 2022 and (ii) 50% vested or shall vest in 48 equal monthly installments on the last day of each month commencing March 31, 2022, subject to continuous service on each such date.</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RSU vests in 48 equal installments commencing on March 31, 2022, subject to continuous service on each such date.</w:t>
      </w:r>
    </w:p>
    <w:p>
      <w:pPr>
        <w:spacing w:after="0" w:line="9"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 of this option vested and became exercisable on February 18, 2021, with the remainder vesting in 48 equal monthly installments thereafter, subject to continuous service on each such date, until Dr. Rigetti’s departure on December 15, 2022.</w:t>
      </w:r>
    </w:p>
    <w:p>
      <w:pPr>
        <w:ind w:left="540" w:right="14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 of the RSU vested on August 12, 2022, and the remainder shall vest in 36 equal monthly installments, subject to continuous service on each such date.</w:t>
      </w:r>
    </w:p>
    <w:p>
      <w:pPr>
        <w:ind w:left="540" w:hanging="424"/>
        <w:spacing w:after="0"/>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RSU shall vest in 48 equal monthly installments commencing February 25, 2022, subject to continuous service on each such date.</w:t>
      </w:r>
    </w:p>
    <w:p>
      <w:pPr>
        <w:spacing w:after="0" w:line="20" w:lineRule="exact"/>
        <w:rPr>
          <w:rFonts w:ascii="Arial" w:cs="Arial" w:eastAsia="Arial" w:hAnsi="Arial"/>
          <w:sz w:val="17"/>
          <w:szCs w:val="17"/>
          <w:color w:val="auto"/>
        </w:rPr>
      </w:pPr>
    </w:p>
    <w:p>
      <w:pPr>
        <w:ind w:left="540" w:right="48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11.49988% of this option vested and became exercisable on February 18, 2020, with the remainder vesting in 48 equal monthly installments thereafter, subject to continuous service on each such date.</w:t>
      </w:r>
    </w:p>
    <w:p>
      <w:pPr>
        <w:ind w:left="54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 of this option vested and became exercisable on July 18, 2019, with the remainder vesting in 48 equal monthly installments thereafter, subject to continuous service on each such date.</w:t>
      </w:r>
    </w:p>
    <w:p>
      <w:pPr>
        <w:ind w:left="540" w:right="70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option vests and became exercisable in equal monthly installments over a period of five years commencing April 1, 2019, subject to continuous service on each such date.</w:t>
      </w:r>
    </w:p>
    <w:p>
      <w:pPr>
        <w:ind w:left="540" w:right="56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6.99996% of this option vested and became exercisable on February 18, 2020, with the remainder vesting in 48 equal monthly installments thereafter, subject to continuous service on each such date.</w:t>
      </w:r>
    </w:p>
    <w:p>
      <w:pPr>
        <w:ind w:left="540" w:right="38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 of this option vested and became exercisable on March 18, 2020, with the remainder vesting in 48 equal monthly installments thereafter, subject to continuous service on each such date.</w:t>
      </w: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Dr. Kulkarni was appointed the Company’s President and Chief Executive Officer on December 12,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Danis served as the Company’s Interim President and Chief Executive Officer from November 12, 2022 to December 12, 2022.</w:t>
      </w:r>
    </w:p>
    <w:p>
      <w:pPr>
        <w:spacing w:after="0" w:line="9" w:lineRule="exact"/>
        <w:rPr>
          <w:rFonts w:ascii="Arial" w:cs="Arial" w:eastAsia="Arial" w:hAnsi="Arial"/>
          <w:sz w:val="18"/>
          <w:szCs w:val="18"/>
          <w:color w:val="auto"/>
        </w:rPr>
      </w:pPr>
    </w:p>
    <w:p>
      <w:pPr>
        <w:ind w:left="540" w:right="140" w:hanging="424"/>
        <w:spacing w:after="0" w:line="253"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Dr. Rigetti resigned as the Company’s President and Chief Executive Officer on November 12, 2022 and served as a director and non-executive employee of the Company until December 15, 2022. The shares included in this table represent the shares vested with respect to option awards held by Dr. Rigetti as of the last date of his employment with the Company on December 15, 2022. Dr. Rigetti’s post-termination exercise period for option awards expired on March 15, 2023.</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86" w:right="4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and Welfare and Retirement Benefits; Perquisites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All of Rigetti’s named executive officers are eligible to participate in Rigetti’s employee benefit plans, including medical, dental, vision, disability and life insurance plans, in each case on the same basis as all of Rigetti’s other full-time employees. We pay the premiums for medical, dental, vision, group term life, disability and accidental death and dismemberment insurance for all of our employees, including our named executive officers. We generally do not provide perquisites or personal benefits to our named executive officers, except in limited circumstances.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named executive officers are eligible to participate in a defined contribution retirement plan that provides eligible U.S. employees with an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opportunity to save for retirement on a tax advantaged basis. Eligible employees may defer eligible compensation on a pre-tax or after-tax (Roth) basis,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up to the statutorily prescribed annual limits on contributions under the Code. Contributions are allocated to each participant’s individual account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are then invested in selected investment alternatives according to the participants’ directions. The 401(k) plan is intended to be qualified under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401(a) of the Code with the 401(k) plan’s related trust intended to be tax exempt under Section 501(a) of the Code. As a tax-qualified retirement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plan, contributions to the 401(k) plan (except for Roth contributions) and earnings on those contributions are not taxable to the employees until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distributed from the 401(k) plan.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Executive Officers</w:t>
      </w:r>
    </w:p>
    <w:p>
      <w:pPr>
        <w:spacing w:after="0" w:line="121"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Each of Dr. Kulkarni, Mr. Danis and Mr. Harburn are, and each of Dr. Rigetti, Mr. Sereda and Mr. Naidu was, an at-will employee. Except as set forth below, as of the date of this prospectus, we have not entered into any employment agreements or offer letters with our named executive officers.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 Subodh Kulkarni</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December 2022, we entered into an executive employment agreement with Dr. Kulkarni. Pursuant to the executive employment agreement,</w:t>
      </w:r>
    </w:p>
    <w:p>
      <w:pPr>
        <w:spacing w:after="0" w:line="35"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Dr. Kulkarni will perform the Chief Executive Officer’s duties; provided that, for the initial period beginning on the December 12, 2022 and continuing through January 8, 2023, Dr. Kulkarni will perform the Chief Executive Officer’s duties within a time commitment averaging approximately fifty percent (50%) of that of a full-time professional while Dr. Kulkarni provides transition consulting services to CyberOptics. Pursuant to the executive employment agreement, Dr. Kulkarni will receive an annual base salary of $585,000 (prorated for the period described in the foregoing sentence) and will be eligible: (i) to participate in the Company’s benefit plans; (ii) to receive awards of stock options, restricted stock, restricted stock units or other equity awards pursuant to any plans or arrangements which the Company may have in effect from time to time; (iv) to receive a one-time relocation benefit in the gross amount of $130,000 if Dr. Kulkarni relocates to the Bay Area, California by no later than 120 days following December 12, 2022, which will be paid in lump sum within thirty (30) days after completion of the relocation; and (iii) starting with calendar year 2023, a discretionary annual cash bonus of a target amount equal to $290,000, subject to review and adjustment by the Company and dependent on his continuous performance of services to the Company through the last date of the applicable performance period and the actual achievement by him and the Company of applicable performance targets and goals set by the Board or the Compensation Committee of the Board.</w:t>
      </w:r>
    </w:p>
    <w:p>
      <w:pPr>
        <w:spacing w:after="0" w:line="174"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executive employment agreement also provides for the grant of an option to purchase up to 1,250,000 shares of common stock (the “Dr. Kulkarni Initial Option”), which award was granted on December 12, 2022 pursuant to the form of option award agreement previously adopted and disclosed by the Company. The Dr. Kulkarni Initial Option will have an exercise price equal to the closing price per share of the Company’s common stock on the grant date, and will vest in accordance with the following schedule: 12/36ths of the total shares subject to the Dr. Kulkarni Initial Option will vest on the one year anniversary of the vesting commencement date, and 1/36th of the total shares subject to the Dr. Kulkarni Initial Option will vest each month thereafter on the same day of the month as the vesting commencement date (or if there is no corresponding day, on the last day of the month), in each case, subject to Dr. Kulkarni’s continuous service through each such date.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86"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Additionally, the executive employment agreement provides for the grant of an option to purchase up to 500,000 shares of common stock (the “Dr. Kulkarni Performance Options”), which award was granted on December 12, 2022 pursuant to the form of option award agreement previously adopted and disclosed by the Company. The Dr. Kulkarni Performance Option will have an exercise price equal to the closing price per share of the Company’s common stock on the grant date, and will be subject to a time-based vesting requirement (the “Dr. Kulkarni Time-Based Vesting Requirement”) and a performance-based vesting requirement (the “Dr. Kulkarni Performance-Based Vesting Requirement”). To the extent that the Dr. Kulkarni Performance-Based Vesting Requirement is satisfied prior to the termination of Dr. Kulkarni’s continuous service, the Dr. Kulkarni Performance Option will vest and become exercisable without regard to the Time-Based Vesting Requirement. However, the Dr. Kulkarni Performance Option will not vest and become exercisable unless and until the Dr. Kulkarni Performance-Based Vesting Requirement has been satisfied, even if the T Dr. Kulkarni ime-Based Vesting Requirement has been satisfied. The Dr. Kulkarni Time-Based Vesting Requirement will be satisfied as follows: 12/36ths of the total shares subject to the Performance Option will satisfy the Dr. Kulkarni Time-Based Vesting Requirement on the one year anniversary of the vesting commencement date, and 1/36th of the total shares subject to the Dr. Kulkarni Performance Option will satisfy the</w:t>
      </w:r>
    </w:p>
    <w:p>
      <w:pPr>
        <w:spacing w:after="0" w:line="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Dr. Kulkarni Time-Based Vesting Requirement each month thereafter on the same day of the month as the vesting commencement date (or if there is no corresponding day, on the last day of the month), in each case, subject to Mr. Kulkarni’s continuous service through each such date. The Dr. Kulkarni Performance-Based Vesting Requirement will be satisfied with respect to 250,000 shares to the extent that the closing price per share of the Company’s common stock is $5.00 or higher and, with respect to the other 250,000 shares, the closing price per share of the Company’s common stock is $10.00 or higher, for any twenty trading days during any consecutive thirty trading day period during the five-year period beginning on the December 12, 2022 and ending on the fifth anniversary thereof. Any portion of the Dr. Kulkarni Performance Option that has not satisfied the Dr. Kulkarni Performance-Based Vesting Requirement on or prior to the fifth anniversary of the December 12, 2022 will be forfeited.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Rick Danis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Employment Agreement</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January 2022, we entered into an executive employment agreement with Mr. Danis, which was amended and restated on February 2, 2022 and became effective upon and concurrent with the Closing of the Business Combination. Pursuant to the executive employment agreement, Mr. Danis receives an annual base salary of $309,000 and is eligible: (i) to participate in Rigetti’s benefit plans; (ii) subject to the approval of the Board, to receive restricted stock units to acquire shares of common stock (the “PSU Awards”), if certain performance-based milestones established by Rigetti are satisfied in the future and provided that Mr. Danis remains continuously employed by Rigetti through the date that the Board or the Compensation Committee grants such PSU Awards (subject to continued employment for a three-year period); (iii) to receive awards of stock options, restricted stock, restricted stock units or other equity awards pursuant to any plans or arrangements which Rigetti may have in effect from time to time; and (iv) a discretionary annual cash bonus of a target amount equal to 25% of the base salary, subject to review and adjustment by the Board. Mr. Danis is entitled to certain severance benefits as described below in “—Potential Payments Upon Termination or Change in Control.”</w:t>
      </w:r>
    </w:p>
    <w:p>
      <w:pPr>
        <w:spacing w:after="0" w:line="166"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executive employment agreement also provided for the grant of an initial restricted stock unit award to purchase 164,685 (the “Mr. Danis Initial RSU Award”) shares of common stock, which was approved by the Board, contingent upon and subject to the filing and effectiveness of a registration statement on Form S-8 (the “Form S-8”) with respect to the 2022 Plan, following the Closing and which will be granted upon the effectiveness of the Form S-8.</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40"/>
          </w:cols>
          <w:pgMar w:left="320" w:top="486" w:right="5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This award vests in accordance with the following schedule: (i) 50% of the total number of Mr. Danis Initial RSU Awards will vest in substantially equal installments (rounded down, except for the final scheduled vesting installment) at the end of each month following the vesting commencement date over a period of 12 months and (ii) the remaining 50% of the total number of Mr. Danis Initial RSU Awards will vest in in substantially equal installments (rounded down, except for the final scheduled vesting installment) at the end of each month following the vesting commencement date over a period of four years, with prongs (i) and (ii) occurring concurrently, such that, at the end of the 12-month period immediately following the vesting commencement date, 62.5% of the total number of Initial RSU Awards will have vested (subject to the Executive’s Continuous Service (as defined in the 2022 Plan) on such vesting date). The executive employment agreement also provided that, contingent upon the occurrence of the Closing and</w:t>
      </w:r>
    </w:p>
    <w:p>
      <w:pPr>
        <w:spacing w:after="0" w:line="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Mr. Danis’ continued employment with Rigetti through such date, Mr. Danis shall receive a cash bonus between $50,000 and $500,000, determined by the Board based on the gross proceeds of the transactions contemplated by the Merger Agreement, in recognition of his contributions to Rigetti and 25,000 shares of common stock subject to the approval of the Board or the Compensation Committee of the Board and Mr. Danis’ continued employment with Rigetti through such date. In addition, the executive employment agreement provides that Mr. Danis will receive Rigetti 2022 Annual RSUs (as defined below) to purchase 334,700 shares of common stock, which will vest monthly over four years, provided that Mr. Danis is continuously employed for such period, or vesting 100% upon a Change in Control (as defined in the 2022 Plan). The executive employment agreement further provides that Rigetti will reimburse Mr. Danis for reasonable business expenses in accordance with the company’s standard expense reimbursement policy, as the same may be modified from time to time. In addition, Mr. Danis is eligible to receive certain employee benefits, including medical, vision, dental, life insurance, and participation in a Section 401(k) retirement plan (as described above).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Interim CEO Letter Agreement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December 1, 2022, the Company entered into a letter agreement (the “Interim CEO Letter”) with Mr. Danis, governing the terms of his service as the Company’s Interim President and Chief Executive Officer from November 12, 2022 to December 12, 2022 (the “Interim CEO Period”). During the Interim CEO Period, Mr. Danis’ base salary increased to $83,333 per month. Mr. Danis was also eligible to receive a one-time bonus in the amount of $67,109.47, provided that, all of the stock options held by Mr. Danis as of the date of the Interim CEO Letter were exercised prior to the three-month anniversary of the date of the Interim CEO Letter.</w:t>
      </w:r>
    </w:p>
    <w:p>
      <w:pPr>
        <w:spacing w:after="0" w:line="18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Under the Interim CEO Letter, subject to the approval of the Board or an authorized committee thereof, Mr. Danis is eligible to receive the following restricted stock unit (“RSU”) awards: (i) a RSU award having a grant date fair value equal to $150,000 following the entry of the Interim CEO Letter (the “Initial RSU Award”); (ii) a RSU award having a grant date fair value equal to $250,000 following the end of the Interim CEO Period (the “End of Term RSU Award”); and (iii) a RSU award having a grant date fair value equal to $50,000 on each monthly anniversary of November 12, 2022 starting with March 12, 2023 (each, an “Additional RSU Award”). Each of such RSU awards will be governed by the Company’s 2022 Equity Incentive Plan and a RSU award agreement adopted thereunder. The Initial RSU Award of 147,058 RSUs was granted on December 9, 2022. Subject to Mr. Danis’ continued service with the Company through each applicable vesting date, the Initial RSU Award vests in three equal monthly installments following the vesting commencement date; the End of Term RSU Award will vest in twelve equal monthly installments following the vesting commencement date; and each Additional RSU Award will fully vest at the end of the month following the applicable vesting commencement date. In the event of a change in control of the Company, the vesting of such RSU awards will be accelerated in full immediately prior to the consummation of such change in control, subject to Mr. Danis’ continued service with the Company through such date.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86" w:right="4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Chad Rigetti</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Employment Agreement</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January 2022, we entered into an executive employment agreement with Dr. Rigetti, which was amended and restated on February 2, 2022 and became effective upon and concurrent with the Closing of the Business Combination. Dr. Rigetti resigned as the Company’s President and Chief Executive Officer on November 12, 2022 and resigned from the Board on December 15, 2022. Pursuant to the executive employment agreement, Dr. Rigetti received an annual base salary of $446,000 and was eligible: (i) to participate in Rigetti’s benefit plans; (ii) subject to the approval of the Board, to receive PSU Awards, if certain performance-based milestones established by Rigetti are satisfied in the future and provided that Dr. Rigetti has remained continuously employed by Rigetti through the date that the Board or the Compensation Committee grants such PSU Awards (subject to continued employment for a three-year period); (iii) to receive awards of stock options, restricted stock, restricted stock units or other equity awards pursuant to any plans or arrangements which Rigetti may have in effect from time to time; and (iv) a discretionary annual cash bonus of a target amount equal to 25% of the base salary, subject to review and adjustment by the Board. Dr. Rigetti was entitled to certain severance benefits as described below in “—Potential Payments Upon Termination or Change in Control.”</w:t>
      </w:r>
    </w:p>
    <w:p>
      <w:pPr>
        <w:spacing w:after="0" w:line="18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executive employment agreement also provided for the grant of an initial restricted stock unit award to purchase 2,857,444 (the “Dr. Rigetti Initial RSU Award”) shares of common stock, which was approved by the Board, contingent upon and subject to the filing and effectiveness of the Form S-8 with respect to the 2022 Plan, following the Closing and which will be granted upon the effectiveness of the Form S-8. Dr. Rigetti Initial RSU Award was granted on June 10, 2022.</w:t>
      </w:r>
    </w:p>
    <w:p>
      <w:pPr>
        <w:spacing w:after="0" w:line="187"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This award vested in accordance with the following schedule: (i) 50% of the total number of Dr. Rigetti Initial RSU Awards will vest in substantially equal installments (rounded down, except for the final scheduled vesting installment) at the end of each month following the vesting commencement date over a period of 12 months and (ii) the remaining 50% of the total number of Dr. Rigetti Initial RSU Awards will vest in in substantially equal installments (rounded down, except for the final scheduled vesting installment) at the end of each month following the vesting commencement date over a period of four years, with prongs (i) and (ii) occurring concurrently, such that, at the end of the 12-month period immediately following the vesting commencement date, 62.5% of the total number of Initial RSU Awards will have vested (subject to the Executive’s Continuous Service (as defined in the 2022 Plan) on such vesting date). The executive employment agreement also provided that, contingent upon the occurrence of the Closing and</w:t>
      </w:r>
    </w:p>
    <w:p>
      <w:pPr>
        <w:spacing w:after="0" w:line="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Dr. Rigetti’s continued employment with Rigetti through such date, Dr. Rigetti would receive a cash bonus between $50,000 and $750,000, determined by the Board based on the gross proceeds of the transactions contemplated by the Merger Agreement, in recognition of his contributions to Rigetti and 45,000 shares of common stock subject to the approval of the Board or the Compensation Committee of the Board and Dr. Rigetti’s continued employment with Rigetti through such date. The transaction cash bonus and transaction bonus stock awards to Mr. Rigetti were granted in fiscal year 2022. In addition, the executive employment agreement provides that Dr. Rigetti would receive Rigetti 2022 Annual RSUs to purchase 334,700 shares of common stock, which vested monthly over four years, provided that Dr. Rigetti is continuously employed for such period, or vesting 100% upon a Change in Control (as defined in the 2022 Plan). The Rigetti 2022 Annual RSUs to Mr. Rigetti were granted on June 10, 2022. The executive employment agreement further provided that Rigetti would reimburse Dr. Rigetti for reasonable business expenses in accordance with the company’s standard expense reimbursement policy, as the same may be modified from time to time. In addition, Dr. Rigetti was eligible to receive certain employee benefits, including medical, vision, dental, life insurance, and participation in a Section 401(k) retirement plan (as described above). On November 12, 2022, the board accepted the resignation of Dr. Rigetti as the Company’s President and Chief Executive Officer. Dr. Rigetti continued as a director and non-executive employee of Rigetti until December 15, 2022.</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86" w:right="4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Separation Agreement</w:t>
      </w:r>
    </w:p>
    <w:p>
      <w:pPr>
        <w:spacing w:after="0" w:line="117"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In connection with Dr. Rigetti’s resignation as the Company’s President and Chief Executive Officer, we entered into a Separation Agreement with Dr. Rigetti on February 14, 2023 (the “Separation Agreement”), under which Dr. Rigetti is entitled to: (i) cash severance of $446,000, which is an amount equal to 12 months of Dr. Rigetti’s base salary in effect as of the Separation Date, payable in installments commencing on the Company’s first regular payroll date that is at least sixty (60) days following the Separation Date (but no earlier than the effective date of the Separation Agreement), provided that on the first payment date, the Company will make a catch-up payment equal to the aggregate amount of cash severance payments that would have been paid to him through such date had the payments commenced on the first regularly scheduled payroll date following the Separation Date, and (ii) provided Dr. Rigetti timely elects continued coverage under COBRA, payment of COBRA premiums to continue health insurance coverage for him and his eligible dependents until the earliest of (a) twelve (12) months following the Separation Date, (b) the date when Dr. Rigetti becomes eligible for substantially equivalent health insurance coverage in connection with new employment or self-employment, or (c) the date when Dr. Rigetti ceases to be eligible for COBRA continuation coverage for any reason, including plan termination, or a taxable payment in lieu of such payment if determined necessary by the Company to comply with law. The Separation Agreement additionally includes a customary general release of claims by Dr. Rigetti in favor of the Company and certain related parties.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Brian Sereda</w:t>
      </w:r>
    </w:p>
    <w:p>
      <w:pPr>
        <w:spacing w:after="0" w:line="117" w:lineRule="exact"/>
        <w:rPr>
          <w:sz w:val="20"/>
          <w:szCs w:val="20"/>
          <w:color w:val="auto"/>
        </w:rPr>
      </w:pPr>
    </w:p>
    <w:p>
      <w:pPr>
        <w:jc w:val="both"/>
        <w:ind w:left="120" w:right="420"/>
        <w:spacing w:after="0" w:line="287" w:lineRule="auto"/>
        <w:rPr>
          <w:sz w:val="20"/>
          <w:szCs w:val="20"/>
          <w:color w:val="auto"/>
        </w:rPr>
      </w:pPr>
      <w:r>
        <w:rPr>
          <w:rFonts w:ascii="Arial" w:cs="Arial" w:eastAsia="Arial" w:hAnsi="Arial"/>
          <w:sz w:val="16"/>
          <w:szCs w:val="16"/>
          <w:color w:val="auto"/>
        </w:rPr>
        <w:t>We entered into an offer letter agreement with Mr. Sereda as Chief Financial Officer on July 1, 2021, pursuant to which Mr. Sereda is entitled to an annual base salary of $325,000. In addition, Mr. Sereda received a start bonus in the amount of $75,000 that is subject to repayment if Mr. Sereda’s employment with Rigetti is terminated for any reason prior to the one-year anniversary of his start date. Pursuant to the offer letter agreement,</w:t>
      </w:r>
    </w:p>
    <w:p>
      <w:pPr>
        <w:spacing w:after="0" w:line="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Mr. Sereda received 1,048,875 RSUs for shares of common stock. The offer letter agreement provides that Mr. Sereda is eligible to receive an annual performance-based cash bonus for each fiscal year under Rigetti’s performance-based bonus program with a target bonus opportunity of 16% of his base salary actually paid based on the achievement of performance criteria established by the Board, the compensation committee of the Board (or their designee) for fiscal year 2021.</w:t>
      </w:r>
    </w:p>
    <w:p>
      <w:pPr>
        <w:spacing w:after="0" w:line="193"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January 2022, we entered into an executive employment agreement with Mr. Sereda, which was amended and restated on February 2, 2022 and became effective upon and concurrent with the Closing of the Business Combination and which replaced Mr. Sereda’s existing offer letter agreement. Pursuant to the executive employment agreement, Mr. Sereda will receive an annual base salary of $348,000 and will be eligible: (i) to participate in Rigetti’s benefit plans; (ii) subject to the approval of the Board, to receive PSU’s, if certain performance-based milestones established by Rigetti are satisfied in the future and provided that Mr. Sereda has remained continuously employed by Rigetti through the date that the Board or the Compensation Committee grants such PSU Awards (subject to continued employment for a three-year period); (iii) to receive awards of stock options, restricted stock, restricted stock units or other equity awards pursuant to any plans or arrangements which Rigetti may have in effect from time to time; and (iv) a discretionary annual cash bonus of a target amount equal to 25% of the base salary, subject to review and adjustment by the Board. Mr. Sereda is entitled to certain severance benefits as described below in “-</w:t>
      </w:r>
      <w:r>
        <w:rPr>
          <w:rFonts w:ascii="Arial" w:cs="Arial" w:eastAsia="Arial" w:hAnsi="Arial"/>
          <w:sz w:val="16"/>
          <w:szCs w:val="16"/>
          <w:i w:val="1"/>
          <w:iCs w:val="1"/>
          <w:color w:val="auto"/>
        </w:rPr>
        <w:t>Potential Payments Upon Termination or Change in Control.</w:t>
      </w:r>
      <w:r>
        <w:rPr>
          <w:rFonts w:ascii="Arial" w:cs="Arial" w:eastAsia="Arial" w:hAnsi="Arial"/>
          <w:sz w:val="16"/>
          <w:szCs w:val="16"/>
          <w:color w:val="auto"/>
        </w:rPr>
        <w:t>”</w:t>
      </w:r>
    </w:p>
    <w:p>
      <w:pPr>
        <w:spacing w:after="0" w:line="166"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executive employment agreement also provided for the grant of an initial restricted stock unit award to purchase 8,791 (the “Sereda Initial RSU Award”) shares of common stock, which was approved by the Board, contingent upon and subject to the filing and effectiveness of the Form S-8 with respect to the 2022 Plan, following the Closing and were granted upon the effectiveness of the Form S-8 on June 10, 2022.</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86" w:right="4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This award vests in accordance with the following schedule: one-forty eighth (1/48th) of the total number of Sereda Initial RSU Awards (rounded down, except for the final scheduled vesting installment) will satisfy time-based vesting each month following the vesting commencement date over a period of four years. The executive employment agreement also provided that, contingent upon the occurrence of the Closing and Mr. Sereda’s continued employment with Rigetti through such date, Mr. Sereda would receive a bonus between $0 and $25,000, determined by the Board based on the gross proceeds of the transactions contemplated by the Merger Agreement, in recognition of his contributions to Rigetti and 5,000 shares of common stock subject to the approval of the Board or the Compensation Committee of the Board and Mr. Sereda’s continued employment with Rigetti through such date. The transaction cash bonus and transaction bonus stock awards were granted to Mr. Sereda in fiscal year 2022. In addition, the executive employment agreement provides that Mr. Sereda would receive Rigetti 2022 Annual RSUs to purchase 128,600 shares of common stock, which vest monthly over four years, provided that Mr. Sereda is continuously employed for such period, or vesting 100% upon a Change in Control (as defined in the 2022 Plan). The Rigetti 2022 Annual RSUs were granted on June 10, 2022. The executive employment agreement further provides that Rigetti will reimburse Mr. Sereda for reasonable business expenses in accordance with Rigetti’s standard expense reimbursement policy, as the same may be modified from time to time. In addition, Mr. Sereda is eligible to receive certain employee benefits, including medical, vision, dental, life insurance, and participation in a Section 401(k) retirement plan (as described above).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Michael Harburn</w:t>
      </w:r>
    </w:p>
    <w:p>
      <w:pPr>
        <w:spacing w:after="0" w:line="11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In January 2022, we entered into an executive employment agreement with Mr. Harburn, which was amended and restated on February 2, 2022 and became effective upon and concurrent with the Closing of the Business Combination. Pursuant to the executive employment agreement, Mr. Harburn received an annual base salary of $345,000 and was eligible: (i) to participate in Rigetti’s benefit plans; (ii) subject to the approval of the Board, to receive PSU Awards, if certain performance-based milestones established by Rigetti are satisfied in the future and provided that Mr. Harburn has remained continuously employed by Rigetti through the date that the Board or the Compensation Committee grants such PSU Awards (subject to continued employment for a three-year period); (iii) to receive awards of stock options, restricted stock, restricted stock units or other equity awards pursuant to any plans or arrangements which Rigetti may have in effect from time to time; and (iv) a discretionary annual cash bonus of a target amount equal to 25% of the base salary, subject to review and adjustment by the Board. Mr. Harburn is entitled to certain severance benefits as described below in “—Potential Payments Upon Termination or Change in Control.”</w:t>
      </w:r>
    </w:p>
    <w:p>
      <w:pPr>
        <w:spacing w:after="0" w:line="181"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The executive employment agreement also provided for the grant of an initial restricted stock unit award to purchase 207,178 (the “Mr. Harburn Initial RSU Award”) shares of common stock, which was approved by the Board, contingent upon and subject to the filing and effectiveness of the Form S-8 with respect to the 2022 Plan, following the Closing and which was granted upon the effectiveness of the Form S-8 on June 10, 2022.</w:t>
      </w:r>
    </w:p>
    <w:p>
      <w:pPr>
        <w:spacing w:after="0" w:line="149"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This award vested in accordance with the following schedule: (i) one-forty eighth (1/48</w:t>
      </w:r>
      <w:r>
        <w:rPr>
          <w:rFonts w:ascii="Arial" w:cs="Arial" w:eastAsia="Arial" w:hAnsi="Arial"/>
          <w:sz w:val="25"/>
          <w:szCs w:val="25"/>
          <w:color w:val="auto"/>
          <w:vertAlign w:val="superscript"/>
        </w:rPr>
        <w:t>th</w:t>
      </w:r>
      <w:r>
        <w:rPr>
          <w:rFonts w:ascii="Arial" w:cs="Arial" w:eastAsia="Arial" w:hAnsi="Arial"/>
          <w:sz w:val="17"/>
          <w:szCs w:val="17"/>
          <w:color w:val="auto"/>
        </w:rPr>
        <w:t>) of the total number of Mr. Harburn Initial RSU Awards (rounded down, except for the final scheduled vesting installment) will satisfy time-based vesting each month following the vesting commencement date over a period of four years. The executive employment agreement also provides that Mr. Harburn would receive Rigetti 2022 Annual RSUs (as defined below) to purchase 102,900 shares of common stock, which vested monthly over four years, provided that Mr. Harburn is continuously employed for such period, or vesting 100% upon a Change in Control (as defined in the 2022 Plan). The Rigetti 2022 Annual RSUs were granted on June 10, 2022. The executive employment agreement further provided that Rigetti would reimburse Mr. Harburn for reasonable business expenses in accordance with the company’s standard expense reimbursement policy, as the same may be modified from time to time. In addition, Mr. Harburn was eligible to receive certain employee benefits, including medical, vision, dental, life insurance, and participation in a Section 401(k) retirement plan (as described above). On February 9, 2023, Mr. Harburn’s employment with the Company ended.</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86" w:right="4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Taryn Naidu</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originally entered into an offer letter with Mr. Naidu in March 2019. Pursuant to this offer letter, Mr. Naidu was granted an option to purchase 157,397 shares of common stock at an original exercise price of $7.09 per share (not reflecting the Exchange Ratio) on April 4, 2019, such exercise price being reduced to $0.272 per share by a unanimous written consent of the Legacy Rigetti Board on May 22, 2020 in connection with the Repricing. In connection with the Repricing on May 22, 2020, Mr. Naidu was also granted a “refresh” option to purchase 647,032 shares of common stock.</w:t>
      </w:r>
    </w:p>
    <w:p>
      <w:pPr>
        <w:spacing w:after="0" w:line="15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January 2022, we entered into an executive employment agreement with Mr. Naidu, which was amended and restated on February 2, 2022 and which became effective contingent upon and concurrent with the Closing of the Business Combination. Pursuant to the executive employment agreement and prior to the termination of Mr. Naidu’s employment on April 18, 2022, Mr. Naidu was entitled to receive an annual base salary of $379,000 and was eligible: (i) to participate in Rigetti’s benefit plans; (ii) subject to the approval of the Board, to receive PSU Awards if certain performance-based milestones established by Rigetti are satisfied in the future and provided that Mr. Naidu remained continuously employed by Rigetti through the date that the Board or the Compensation Committee were to grant such PSU Awards (subject to continued employment for a three-year period); (iii) to receive awards of stock options, restricted stock, restricted stock units or other equity awards pursuant to any plans or arrangements which Rigetti may have in effect from time to time; and (iv) a discretionary annual cash bonus of a target amount equal to 25% of the base salary, subject to review and adjustment by the Board. Under certain circumstances, Mr. Naidu was entitled to certain severance benefits as described below in “—Potential Payments Upon Termination or Change in Control.”</w:t>
      </w:r>
    </w:p>
    <w:p>
      <w:pPr>
        <w:spacing w:after="0" w:line="185"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color w:val="auto"/>
        </w:rPr>
        <w:t>The executive employment agreement also provided for the grant of an initial restricted stock unit award to purchase 444,450 (the “Naidu Initial RSU Award”) shares of common stock, which was approved by the Board, contingent upon and subject to the filing and effectiveness of the Form S-8 with respect to the 2022 Plan, following the Closing and which was to be granted upon the effectiveness of the Form S-8. The executive employment agreement also provided that to be eligible for the Naidu Initial RSU Award, Mr. Naidu was required to be employed by the Company when the Board or the Compensation Committee grants the Naidu Initial RSU Award. This award would have vested in accordance with the following schedule: (i) 50% of the total number of Initial RSU Awards vest in substantially equal installments (rounded down, except for the final scheduled vesting installment) at the end of each month following the vesting commencement date over a period of 12 months and (ii) the remaining 50% of the total number of Naidu Initial RSU Awards vest in substantially equal installments (rounded down, except for the final scheduled vesting installment) at the end of each month following the vesting commencement date over a period of four years, with prongs (i) and (ii) occurring concurrently, such that, at the end of</w:t>
      </w:r>
    </w:p>
    <w:p>
      <w:pPr>
        <w:spacing w:after="0" w:line="6"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12-month period immediately following the vesting commencement date, 62.5% of the total number of Naidu Initial RSU Awards were to have vested (subject to the Executive’s Continuous Service (as defined in the 2022 Plan) on such vesting date). The executive employment agreement also provided that, contingent upon the occurrence of the Closing and Mr. Naidu’s continued employment with Rigetti through such date, Mr. Naidu would be entitled to receive a bonus between $50,000 and $750,000, determined by the Board based on the gross proceeds of the transactions contemplated by the Merger Agreement, in recognition of his contributions to Rigetti and 45,000 shares of common stock subject to the approval of the Board or the Compensation Committee of the Board and Mr. Naidu’s continued employment with Rigetti through such date. In addition, the executive employment agreement provided that Mr. Naidu would receive Rigetti 2022 Annual RSUs to purchase 161,300 shares of common stock, contingent upon and subject to the filing and effectiveness of the Form S-8 with respect to the 2022 Plan, which would have vested monthly over four years, provided that Mr. Naidu is continuously employed for such period, or vesting 100% upon a Change in Control (as defined in the 2022 Plan). The executive employment agreement also provided that to be eligible for the Rigetti 2022 Annual RSUs, Mr. Naidu was required to be employed by the Company when the Board or the Compensation Committee grants the Rigetti 2022 Annual RSUs. The executive employment agreement further provided that Rigetti would reimburse Mr. Naidu for reasonable business expenses in accordance with Rigetti’s standard expense reimbursement policy, as the same may be modified from time to time. In addition, Mr. Naidu was eligible to receive certain employee benefits, including medical, vision, dental, life insurance, and to participate in a Section 401(k) retirement plan (as described above). On April 18, 2022, Mr. Naidu’s employment with Rigetti was terminated.</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86" w:right="4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of Dr. Kulkarni, Mr. Danis and Mr. Sereda is entitled, and each of Dr. Rigetti prior to his resignation, Mr. Harburn prior to his departure, and</w:t>
      </w:r>
    </w:p>
    <w:p>
      <w:pPr>
        <w:spacing w:after="0" w:line="3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Mr. Naidu prior to his termination, was entitled, to the following severance benefits pursuant to his respective employment agreement if his employment is terminated by Rigetti without “Cause” or by the executive for “Good Reason,” and provided such executive officer timely executes and does not revoke a release of claims in Rigetti’s favor, (a) continuing payments of his then-current annual base salary for twelve months; (b) payment of the premiums necessary to continue health insurance coverage for himself and his eligible dependents under Rigetti’s group health plans pursuant to COBRA or similar state insurance laws, for up to twelve months; and (c) Accrued Obligations (as defined in the respective executive employment agreement), which include accrued but unpaid salary through the date of termination, unreimbursed expenses, and benefits owed to such executive officer under retirement or health plans in which such executive officer was a participant.</w:t>
      </w:r>
    </w:p>
    <w:p>
      <w:pPr>
        <w:spacing w:after="0" w:line="18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If the named executive officer’s employment is terminated by Rigetti other than for “Cause,” death or disability or by such executive officer for “Good Reason” within three months prior to or twelve months after a Change in Control (as defined in the 2022 Plan), then, in lieu of and not in addition to any other severance benefit, (i) 100% of the then-unvested portion of each of his outstanding equity awards will become fully vested; (ii) Rigetti will pay such executive officer a lump sum equal to his then current annual base salary; (iii) subject to such executive officer making certain elections, Rigetti will pay certain COBRA premiums necessary to continue his and his covered dependents’ health insurance coverage; and (iv) Rigetti will pay a bonus to such executive officer equivalent to a pro rata share of his full Target Amount (as defined in the respective executive employment agreement), for the portion of the performance year completed when his termination occurs.</w:t>
      </w:r>
    </w:p>
    <w:p>
      <w:pPr>
        <w:spacing w:after="0" w:line="17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Under each of the named executive officer’s employment agreement, “Cause” means that we have determined in our sole discretion that the executive officer has engaged in any of the following: (i) his material breach of any covenant or condition under the executive employment agreement or any other agreement between the parties, and, to the extent curable, such executive officer has not cured such breach after the expiration of ten (10) days after written notice from us of such breach; (ii) his material act constituting dishonesty, fraud, immoral or disreputable conduct in connection with his duties to us; (iii) any conduct which constitutes a felony or a crime of moral turpitude under applicable law; (iv) material violation of our policy or any act of misconduct; (v) refusal to follow or implement a clear and reasonable directive of the Company; (vi) negligence or incompetence in the performance of Rigetti’s duties or failure to perform such duties in a manner satisfactory to us after the expiration of ten (10) days without cure after written notice of such failure; or (vii) his breach of fiduciary duty to the Company.</w:t>
      </w:r>
    </w:p>
    <w:p>
      <w:pPr>
        <w:spacing w:after="0" w:line="178" w:lineRule="exact"/>
        <w:rPr>
          <w:sz w:val="20"/>
          <w:szCs w:val="20"/>
          <w:color w:val="auto"/>
        </w:rPr>
      </w:pPr>
    </w:p>
    <w:p>
      <w:pPr>
        <w:ind w:left="120" w:right="140"/>
        <w:spacing w:after="0" w:line="284" w:lineRule="auto"/>
        <w:rPr>
          <w:sz w:val="20"/>
          <w:szCs w:val="20"/>
          <w:color w:val="auto"/>
        </w:rPr>
      </w:pPr>
      <w:r>
        <w:rPr>
          <w:rFonts w:ascii="Arial" w:cs="Arial" w:eastAsia="Arial" w:hAnsi="Arial"/>
          <w:sz w:val="16"/>
          <w:szCs w:val="16"/>
          <w:color w:val="auto"/>
        </w:rPr>
        <w:t>Under each named executive officer’s employment agreement, “Good Reason” means the occurrence of any of the following events without such executive officer’s consent: (i) a material reduction in his base salary, other than a reduction applied in a similar proportional amount to all similarly situated executives; (ii) a material breach of the executive employment agreement by Rigetti; (iii) a material reduction in the his duties, authority and responsibilities relative to the his duties, authority, and responsibilities in effect immediately prior to such reduction; or (iv) the relocation of his principal place of employment, without his consent, in a manner that lengthens his one-way commute distance by twenty-five (25) or more miles from his then-current principal place of employment immediately prior to such relocation; not to include a requirement to return to in-person work, in which circumstance Good Reason will not apply; provided, however, that, any such termination by such executive officer shall only be deemed for Good Reason pursuant to this definition if: (1) such executive officer gives Rigetti written notice of his intent to terminate for Good Reason within thirty</w:t>
      </w:r>
    </w:p>
    <w:p>
      <w:pPr>
        <w:spacing w:after="0" w:line="1" w:lineRule="exact"/>
        <w:rPr>
          <w:sz w:val="20"/>
          <w:szCs w:val="20"/>
          <w:color w:val="auto"/>
        </w:rPr>
      </w:pPr>
    </w:p>
    <w:p>
      <w:pPr>
        <w:ind w:left="460" w:hanging="344"/>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days following the first occurrence of the condition(s) that his believes constitute(s) Good Reason, which notice shall describe such condition(s);</w:t>
      </w:r>
    </w:p>
    <w:p>
      <w:pPr>
        <w:spacing w:after="0" w:line="32" w:lineRule="exact"/>
        <w:rPr>
          <w:rFonts w:ascii="Arial" w:cs="Arial" w:eastAsia="Arial" w:hAnsi="Arial"/>
          <w:sz w:val="16"/>
          <w:szCs w:val="16"/>
          <w:color w:val="auto"/>
        </w:rPr>
      </w:pPr>
    </w:p>
    <w:p>
      <w:pPr>
        <w:ind w:left="120" w:right="160" w:hanging="4"/>
        <w:spacing w:after="0" w:line="292" w:lineRule="auto"/>
        <w:tabs>
          <w:tab w:leader="none" w:pos="375" w:val="left"/>
        </w:tabs>
        <w:numPr>
          <w:ilvl w:val="0"/>
          <w:numId w:val="54"/>
        </w:numPr>
        <w:rPr>
          <w:rFonts w:ascii="Arial" w:cs="Arial" w:eastAsia="Arial" w:hAnsi="Arial"/>
          <w:sz w:val="16"/>
          <w:szCs w:val="16"/>
          <w:color w:val="auto"/>
        </w:rPr>
      </w:pPr>
      <w:r>
        <w:rPr>
          <w:rFonts w:ascii="Arial" w:cs="Arial" w:eastAsia="Arial" w:hAnsi="Arial"/>
          <w:sz w:val="16"/>
          <w:szCs w:val="16"/>
          <w:color w:val="auto"/>
        </w:rPr>
        <w:t>Rigetti fails to remedy such condition(s) within thirty (30) days following receipt of the written notice (the “Cure Period”); and (3) such executive officer voluntarily terminates employment within thirty (30) days following the end of the Cure Period, or the parties agree in writing to extend such Cure Period. With respect to the executive employment agreements entered into by and between Rigetti and each of Dr. Rigetti and Messrs. Naidu and Sereda, “Good Reason” shall also mean the occurrence of a material change in the executive officer’s reporting relationship, other than such change made directly in connection with organizational changes resulting from a Change in Control (as defined in the executive employment agreements).</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86"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following table sets forth information concerning the compensation of Legacy Rigetti’s directors for fiscal year 2022. Dr. Rigetti, our Chief Executive Officer, did not receive additional compensation for his service as a director in fiscal year 2022, and therefore is not included in the Director Compensation table below. All compensation paid to Dr. Rigetti is reported above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color w:val="auto"/>
                <w:w w:val="90"/>
              </w:rPr>
              <w:t>Name</w:t>
            </w:r>
          </w:p>
        </w:tc>
        <w:tc>
          <w:tcPr>
            <w:tcW w:w="448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gridSpan w:val="2"/>
          </w:tcPr>
          <w:p>
            <w:pPr>
              <w:ind w:left="240"/>
              <w:spacing w:after="0"/>
              <w:rPr>
                <w:sz w:val="20"/>
                <w:szCs w:val="20"/>
                <w:color w:val="auto"/>
              </w:rPr>
            </w:pPr>
            <w:r>
              <w:rPr>
                <w:rFonts w:ascii="Arial" w:cs="Arial" w:eastAsia="Arial" w:hAnsi="Arial"/>
                <w:sz w:val="14"/>
                <w:szCs w:val="14"/>
                <w:color w:val="auto"/>
              </w:rPr>
              <w:t>All Other</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1240" w:type="dxa"/>
            <w:vAlign w:val="bottom"/>
            <w:gridSpan w:val="2"/>
          </w:tcPr>
          <w:p>
            <w:pPr>
              <w:jc w:val="right"/>
              <w:ind w:right="620"/>
              <w:spacing w:after="0" w:line="154" w:lineRule="exact"/>
              <w:rPr>
                <w:sz w:val="20"/>
                <w:szCs w:val="20"/>
                <w:color w:val="auto"/>
              </w:rPr>
            </w:pPr>
            <w:r>
              <w:rPr>
                <w:rFonts w:ascii="Arial" w:cs="Arial" w:eastAsia="Arial" w:hAnsi="Arial"/>
                <w:sz w:val="14"/>
                <w:szCs w:val="14"/>
                <w:color w:val="auto"/>
                <w:w w:val="90"/>
              </w:rPr>
              <w:t>Cash</w:t>
            </w:r>
            <w:r>
              <w:rPr>
                <w:rFonts w:ascii="Arial" w:cs="Arial" w:eastAsia="Arial" w:hAnsi="Arial"/>
                <w:sz w:val="10"/>
                <w:szCs w:val="10"/>
                <w:color w:val="auto"/>
                <w:w w:val="90"/>
              </w:rPr>
              <w:t>(1)</w:t>
            </w:r>
            <w:r>
              <w:rPr>
                <w:rFonts w:ascii="Arial" w:cs="Arial" w:eastAsia="Arial" w:hAnsi="Arial"/>
                <w:sz w:val="14"/>
                <w:szCs w:val="14"/>
                <w:color w:val="auto"/>
                <w:w w:val="90"/>
              </w:rPr>
              <w:t xml:space="preserve"> </w:t>
            </w:r>
            <w:r>
              <w:rPr>
                <w:rFonts w:ascii="Arial" w:cs="Arial" w:eastAsia="Arial" w:hAnsi="Arial"/>
                <w:sz w:val="14"/>
                <w:szCs w:val="14"/>
                <w:u w:val="single" w:color="auto"/>
                <w:color w:val="auto"/>
                <w:w w:val="90"/>
              </w:rPr>
              <w:t>($</w:t>
            </w:r>
            <w:r>
              <w:rPr>
                <w:rFonts w:ascii="Arial" w:cs="Arial" w:eastAsia="Arial" w:hAnsi="Arial"/>
                <w:sz w:val="14"/>
                <w:szCs w:val="14"/>
                <w:color w:val="auto"/>
                <w:w w:val="90"/>
              </w:rPr>
              <w:t>)</w:t>
            </w:r>
          </w:p>
        </w:tc>
        <w:tc>
          <w:tcPr>
            <w:tcW w:w="1720" w:type="dxa"/>
            <w:vAlign w:val="bottom"/>
            <w:gridSpan w:val="2"/>
          </w:tcPr>
          <w:p>
            <w:pPr>
              <w:jc w:val="right"/>
              <w:ind w:right="600"/>
              <w:spacing w:after="0" w:line="154" w:lineRule="exact"/>
              <w:rPr>
                <w:sz w:val="20"/>
                <w:szCs w:val="20"/>
                <w:color w:val="auto"/>
              </w:rPr>
            </w:pPr>
            <w:r>
              <w:rPr>
                <w:rFonts w:ascii="Arial" w:cs="Arial" w:eastAsia="Arial" w:hAnsi="Arial"/>
                <w:sz w:val="14"/>
                <w:szCs w:val="14"/>
                <w:color w:val="auto"/>
                <w:w w:val="92"/>
              </w:rPr>
              <w:t>Stock Awards</w:t>
            </w:r>
            <w:r>
              <w:rPr>
                <w:rFonts w:ascii="Arial" w:cs="Arial" w:eastAsia="Arial" w:hAnsi="Arial"/>
                <w:sz w:val="10"/>
                <w:szCs w:val="10"/>
                <w:color w:val="auto"/>
                <w:w w:val="92"/>
              </w:rPr>
              <w:t>(2)</w:t>
            </w:r>
            <w:r>
              <w:rPr>
                <w:rFonts w:ascii="Arial" w:cs="Arial" w:eastAsia="Arial" w:hAnsi="Arial"/>
                <w:sz w:val="14"/>
                <w:szCs w:val="14"/>
                <w:color w:val="auto"/>
                <w:w w:val="92"/>
              </w:rPr>
              <w:t xml:space="preserve"> </w:t>
            </w:r>
            <w:r>
              <w:rPr>
                <w:rFonts w:ascii="Arial" w:cs="Arial" w:eastAsia="Arial" w:hAnsi="Arial"/>
                <w:sz w:val="14"/>
                <w:szCs w:val="14"/>
                <w:u w:val="single" w:color="auto"/>
                <w:color w:val="auto"/>
                <w:w w:val="92"/>
              </w:rPr>
              <w:t>($</w:t>
            </w:r>
            <w:r>
              <w:rPr>
                <w:rFonts w:ascii="Arial" w:cs="Arial" w:eastAsia="Arial" w:hAnsi="Arial"/>
                <w:sz w:val="14"/>
                <w:szCs w:val="14"/>
                <w:color w:val="auto"/>
                <w:w w:val="92"/>
              </w:rPr>
              <w:t>)</w:t>
            </w:r>
          </w:p>
        </w:tc>
        <w:tc>
          <w:tcPr>
            <w:tcW w:w="1620" w:type="dxa"/>
            <w:vAlign w:val="bottom"/>
            <w:gridSpan w:val="2"/>
          </w:tcPr>
          <w:p>
            <w:pPr>
              <w:spacing w:after="0" w:line="154" w:lineRule="exact"/>
              <w:rPr>
                <w:sz w:val="20"/>
                <w:szCs w:val="20"/>
                <w:color w:val="auto"/>
              </w:rPr>
            </w:pPr>
            <w:r>
              <w:rPr>
                <w:rFonts w:ascii="Arial" w:cs="Arial" w:eastAsia="Arial" w:hAnsi="Arial"/>
                <w:sz w:val="14"/>
                <w:szCs w:val="14"/>
                <w:color w:val="auto"/>
              </w:rPr>
              <w:t>Compensation ($)</w:t>
            </w:r>
          </w:p>
        </w:tc>
        <w:tc>
          <w:tcPr>
            <w:tcW w:w="70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Total ($)</w:t>
            </w: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Alissa Fitzgerald</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124,167</w:t>
            </w:r>
          </w:p>
        </w:tc>
        <w:tc>
          <w:tcPr>
            <w:tcW w:w="6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349,986</w:t>
            </w:r>
          </w:p>
        </w:tc>
        <w:tc>
          <w:tcPr>
            <w:tcW w:w="6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474,153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Ray Johnson</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43,333</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349,986</w:t>
            </w:r>
          </w:p>
        </w:tc>
        <w:tc>
          <w:tcPr>
            <w:tcW w:w="16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393,319</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Cowan</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37,083</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349,986</w:t>
            </w:r>
          </w:p>
        </w:tc>
        <w:tc>
          <w:tcPr>
            <w:tcW w:w="16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387,069</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Cathy McCarthy</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146,425</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349,986</w:t>
            </w:r>
          </w:p>
        </w:tc>
        <w:tc>
          <w:tcPr>
            <w:tcW w:w="16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w w:val="92"/>
              </w:rPr>
              <w:t>496,411</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Clifton</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38,333</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349,986</w:t>
            </w:r>
          </w:p>
        </w:tc>
        <w:tc>
          <w:tcPr>
            <w:tcW w:w="16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388,319</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H. Gail Sandford</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40,583</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349,986</w:t>
            </w:r>
          </w:p>
        </w:tc>
        <w:tc>
          <w:tcPr>
            <w:tcW w:w="16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390,569</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General Peter Pace</w:t>
            </w:r>
            <w:r>
              <w:rPr>
                <w:rFonts w:ascii="Arial" w:cs="Arial" w:eastAsia="Arial" w:hAnsi="Arial"/>
                <w:sz w:val="25"/>
                <w:szCs w:val="25"/>
                <w:color w:val="auto"/>
                <w:vertAlign w:val="superscript"/>
              </w:rPr>
              <w:t>(3)</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32,064</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349,986</w:t>
            </w:r>
          </w:p>
        </w:tc>
        <w:tc>
          <w:tcPr>
            <w:tcW w:w="16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382,050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40" w:hanging="424"/>
        <w:spacing w:after="0" w:line="269"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This column represents cash compensation for their service as a director during the fiscal year ended December 31, 2022. Cash compensation for non-employee directors for fiscal year 2022 was determined pursuant to the Non-Employee Director Compensation Policy described below. Ms. Fitzgerald and Ms. McCarthy were each awarded additional cash compensation of $75,000 in connection with their significant time and commitment to performing services as non-employee directors of the Board during fiscal year 2022.</w:t>
      </w:r>
    </w:p>
    <w:p>
      <w:pPr>
        <w:spacing w:after="0" w:line="1"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of the restricted stock units granted to the director during fiscal year 2022 under the 2013 Plan and 2022 Plan, as applicable. The aggregate grant date fair value is computed in accordance with ASC Topic 718 for stock-based compensation transactions. Assumptions used in the calculation of these amounts are included in the notes to our financial statements included elsewhere in this Annual Report on Form 10-K for the year ended December 31, 2022. This amount does not reflect the actual economic value that may be realized by the director.</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Peter Pace resigned as a director of the Company, effective July 15,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table below shows for each non-employee director who was serving, and held outstanding equity awards, as of December 31, 2022.</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52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color w:val="auto"/>
                <w:w w:val="85"/>
              </w:rPr>
              <w:t>Shares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8"/>
              </w:rPr>
              <w:t>Underlying</w:t>
            </w:r>
          </w:p>
        </w:tc>
        <w:tc>
          <w:tcPr>
            <w:tcW w:w="52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8"/>
              </w:rPr>
              <w:t>Underlying</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52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5"/>
              </w:rPr>
              <w:t>Options</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Unvested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000" w:type="dxa"/>
            <w:vAlign w:val="bottom"/>
            <w:gridSpan w:val="2"/>
          </w:tcPr>
          <w:p>
            <w:pPr>
              <w:jc w:val="center"/>
              <w:ind w:left="2219"/>
              <w:spacing w:after="0" w:line="149" w:lineRule="exact"/>
              <w:rPr>
                <w:sz w:val="20"/>
                <w:szCs w:val="20"/>
                <w:color w:val="auto"/>
              </w:rPr>
            </w:pPr>
            <w:r>
              <w:rPr>
                <w:rFonts w:ascii="Arial" w:cs="Arial" w:eastAsia="Arial" w:hAnsi="Arial"/>
                <w:sz w:val="14"/>
                <w:szCs w:val="14"/>
                <w:color w:val="auto"/>
                <w:w w:val="92"/>
              </w:rPr>
              <w:t>Outstanding</w:t>
            </w:r>
          </w:p>
        </w:tc>
        <w:tc>
          <w:tcPr>
            <w:tcW w:w="52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2"/>
              </w:rPr>
              <w:t>Outstanding</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0"/>
              </w:rPr>
              <w:t>(Vested) at</w:t>
            </w:r>
          </w:p>
        </w:tc>
        <w:tc>
          <w:tcPr>
            <w:tcW w:w="18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(Unvested) at</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Awards at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color w:val="auto"/>
                <w:w w:val="90"/>
              </w:rPr>
              <w:t>Name</w:t>
            </w:r>
          </w:p>
        </w:tc>
        <w:tc>
          <w:tcPr>
            <w:tcW w:w="336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Fiscal</w:t>
            </w:r>
          </w:p>
        </w:tc>
        <w:tc>
          <w:tcPr>
            <w:tcW w:w="52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2"/>
              </w:rPr>
              <w:t>Fiscal</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Fiscal</w:t>
            </w:r>
          </w:p>
        </w:tc>
        <w:tc>
          <w:tcPr>
            <w:tcW w:w="0" w:type="dxa"/>
            <w:vAlign w:val="bottom"/>
          </w:tcPr>
          <w:p>
            <w:pPr>
              <w:spacing w:after="0"/>
              <w:rPr>
                <w:sz w:val="1"/>
                <w:szCs w:val="1"/>
                <w:color w:val="auto"/>
              </w:rPr>
            </w:pPr>
          </w:p>
        </w:tc>
      </w:tr>
      <w:tr>
        <w:trPr>
          <w:trHeight w:val="174"/>
        </w:trPr>
        <w:tc>
          <w:tcPr>
            <w:tcW w:w="36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700" w:type="dxa"/>
            <w:vAlign w:val="bottom"/>
          </w:tcPr>
          <w:p>
            <w:pPr>
              <w:jc w:val="center"/>
              <w:spacing w:after="0" w:line="154" w:lineRule="exact"/>
              <w:rPr>
                <w:sz w:val="20"/>
                <w:szCs w:val="20"/>
                <w:color w:val="auto"/>
              </w:rPr>
            </w:pPr>
            <w:r>
              <w:rPr>
                <w:rFonts w:ascii="Arial" w:cs="Arial" w:eastAsia="Arial" w:hAnsi="Arial"/>
                <w:sz w:val="14"/>
                <w:szCs w:val="14"/>
                <w:color w:val="auto"/>
                <w:w w:val="92"/>
              </w:rPr>
              <w:t>Year End</w:t>
            </w:r>
          </w:p>
        </w:tc>
        <w:tc>
          <w:tcPr>
            <w:tcW w:w="520" w:type="dxa"/>
            <w:vAlign w:val="bottom"/>
          </w:tcPr>
          <w:p>
            <w:pPr>
              <w:spacing w:after="0"/>
              <w:rPr>
                <w:sz w:val="15"/>
                <w:szCs w:val="15"/>
                <w:color w:val="auto"/>
              </w:rPr>
            </w:pPr>
          </w:p>
        </w:tc>
        <w:tc>
          <w:tcPr>
            <w:tcW w:w="1300" w:type="dxa"/>
            <w:vAlign w:val="bottom"/>
            <w:gridSpan w:val="2"/>
          </w:tcPr>
          <w:p>
            <w:pPr>
              <w:jc w:val="center"/>
              <w:ind w:right="520"/>
              <w:spacing w:after="0" w:line="154" w:lineRule="exact"/>
              <w:rPr>
                <w:sz w:val="20"/>
                <w:szCs w:val="20"/>
                <w:color w:val="auto"/>
              </w:rPr>
            </w:pPr>
            <w:r>
              <w:rPr>
                <w:rFonts w:ascii="Arial" w:cs="Arial" w:eastAsia="Arial" w:hAnsi="Arial"/>
                <w:sz w:val="14"/>
                <w:szCs w:val="14"/>
                <w:color w:val="auto"/>
                <w:w w:val="92"/>
              </w:rPr>
              <w:t>Year End</w:t>
            </w:r>
          </w:p>
        </w:tc>
        <w:tc>
          <w:tcPr>
            <w:tcW w:w="72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2"/>
              </w:rPr>
              <w:t>Year End</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Alissa Fitzgerald</w:t>
            </w:r>
          </w:p>
        </w:tc>
        <w:tc>
          <w:tcPr>
            <w:tcW w:w="2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241,445</w:t>
            </w: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53,664</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67,436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Ray Johnson</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203,320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91,800</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Cowan</w:t>
            </w:r>
          </w:p>
        </w:tc>
        <w:tc>
          <w:tcPr>
            <w:tcW w:w="23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Cathy McCarthy</w:t>
            </w:r>
          </w:p>
        </w:tc>
        <w:tc>
          <w:tcPr>
            <w:tcW w:w="23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221,340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Clifton</w:t>
            </w:r>
          </w:p>
        </w:tc>
        <w:tc>
          <w:tcPr>
            <w:tcW w:w="23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H. Gail Sandford</w:t>
            </w:r>
          </w:p>
        </w:tc>
        <w:tc>
          <w:tcPr>
            <w:tcW w:w="23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General Peter Pace</w:t>
            </w:r>
            <w:r>
              <w:rPr>
                <w:rFonts w:ascii="Arial" w:cs="Arial" w:eastAsia="Arial" w:hAnsi="Arial"/>
                <w:sz w:val="25"/>
                <w:szCs w:val="25"/>
                <w:color w:val="auto"/>
                <w:vertAlign w:val="superscript"/>
              </w:rPr>
              <w:t>*</w:t>
            </w:r>
          </w:p>
        </w:tc>
        <w:tc>
          <w:tcPr>
            <w:tcW w:w="23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80" w:right="4680" w:hanging="5364"/>
        <w:spacing w:after="0" w:line="490" w:lineRule="auto"/>
        <w:tabs>
          <w:tab w:leader="none" w:pos="539" w:val="left"/>
        </w:tabs>
        <w:numPr>
          <w:ilvl w:val="0"/>
          <w:numId w:val="56"/>
        </w:numPr>
        <w:rPr>
          <w:rFonts w:ascii="Arial" w:cs="Arial" w:eastAsia="Arial" w:hAnsi="Arial"/>
          <w:sz w:val="17"/>
          <w:szCs w:val="17"/>
          <w:color w:val="auto"/>
        </w:rPr>
      </w:pPr>
      <w:r>
        <w:rPr>
          <w:rFonts w:ascii="Arial" w:cs="Arial" w:eastAsia="Arial" w:hAnsi="Arial"/>
          <w:sz w:val="17"/>
          <w:szCs w:val="17"/>
          <w:color w:val="auto"/>
        </w:rPr>
        <w:t>General Peter Pace resigned as a director of the Company, effective July 15, 2022. 126</w:t>
      </w:r>
    </w:p>
    <w:p>
      <w:pPr>
        <w:sectPr>
          <w:pgSz w:w="11900" w:h="16838" w:orient="portrait"/>
          <w:cols w:equalWidth="0" w:num="1">
            <w:col w:w="11140"/>
          </w:cols>
          <w:pgMar w:left="320" w:top="486" w:right="4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Company’s amended non-employee director compensation policy, effective as of June 8, 2022, consists of annual cash retainers of $40,000 for each non-employee director and an additional $25,000 for the chairperson of the Board; an additional $20,000 and $10,000 for the chairperson and each member of the audit committee of the Board, respectively; an additional $12,000 and $6,000 for the chairperson and each member of the compensation committee of the Board, respectively; and an additional $9,000 and $4,500 for the chairperson and each member of the nominating and corporate governance committee of the Board, respectively.</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For each member of the Board who is not also serving as an employee of or consultant to the Company or any of its subsidiaries (each such member, an “Eligible Director”) and who is (i) serving on the Board immediately following the effective date of the non-employee director compensation policy (the “Effective Date”) or (ii) first elected or appointed to the Board following the Effective Date, (A) on the date on which a registration statement on Form S-8 is filed and effective covering the RSUs (“Form S-8”), with respect to clause (i) and (B) on the date of such director’s initial election or appointment to the Board (or, if such date is not a market trading day, the first market trading day thereafter or, if there is not a Form S-8 on the date of such initial election or appointment, then the date on which a Form S-8 is filed and effective), with respect to clause (ii), the director will be automatically, and without further action by the Board or its Compensation Committee, granted RSUs with respect to shares of common stock with an aggregate Fair Market Value (as defined in the Plan) as of the grant date equal to $210,000 (the “Director Initial RSU Grant”); provided that such director remains in Continuous Service (as defined in the 2022 Plan) through the grant date. The grant of any Director Initial RSU Grant pursuant to clause (i) above is contingent upon, subject to and effective upon the filing and effectiveness of a Form S-8.</w:t>
      </w:r>
    </w:p>
    <w:p>
      <w:pPr>
        <w:spacing w:after="0" w:line="18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Director Initial RSU Grant will vest over a three-year period, with one-third (1/3) of the Initial RSU Grant vesting on the first anniversary of the grant date, one-third (1/3) of the Initial RSU Grant vesting on the second anniversary of the grant date and the remaining one-third (1/3) of the Initial RSU Grant vesting on the third anniversary of the grant date, such that the Initial RSU Grant is fully vested on the third anniversary of the date of grant, subject to the Eligible Director’s Continuous Service through each such vesting date. On June 10, 2022, each non-employee director of the Board was granted a Director Initial RSU Grant of 40,462 RSUs.</w:t>
      </w:r>
    </w:p>
    <w:p>
      <w:pPr>
        <w:spacing w:after="0" w:line="18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amended non-employee director compensation policy also provides for annual grants of RSUs to each director equivalent to $140,000 starting in 2022 and in future years, will vest in full on the earlier of (i) the date of the following year’s Annual Meeting (or the date immediately prior to the next Annual Meeting if the Eligible Director’s service as a director ends at such Annual Meeting due to the director’s failure to be re-elected or the director not standing for re-election); or (ii) the one-year anniversary measured from the date of grant, in each case. In the event of a Change in Control (as defined in the 2022 Plan), any unvested portion of the RSUs would vest immediately prior to the consummation of such Change in Control. On June 10, 2022, each non-employee director of the Board was granted an annual grant of 26,974 RSUs.</w:t>
      </w:r>
    </w:p>
    <w:p>
      <w:pPr>
        <w:spacing w:after="0" w:line="178"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Company will reimburse Eligible Directors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p>
    <w:p>
      <w:pPr>
        <w:spacing w:after="0" w:line="165"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description of the amended non-employee director compensation policy is not complete and is subject to and qualified in its entirety by reference to the amended non-employee director compensation policy, a copy of which is included as Exhibit 10.22 to this Annual Report on Form10-K.</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86" w:right="4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As an emerging growth company, we are exempt from certain requirements related to executive compensation, including the requirements to hold a nonbinding advisory vote on executive compensation or golden parachute payments, and to provide information relating to the ratio of total compensation of our CEO to the median of the annual total compensation of all of our employees, each as required by the Investor Protection and Securities Reform Act of 2010, which is part of the Dodd-Frank Wall Street Reform and Consumer Protection Act.</w:t>
      </w:r>
    </w:p>
    <w:p>
      <w:pPr>
        <w:spacing w:after="0" w:line="17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86" w:right="4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known to the Company regarding the beneficial ownership of common stock as of March 1, 2023, by:</w:t>
      </w:r>
    </w:p>
    <w:p>
      <w:pPr>
        <w:spacing w:after="0" w:line="142"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person known by the Company to be the beneficial owner of more than 5% of outstanding shares of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Company’s named executive officers, including its former Chief Operating Officer, and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 excluding its former Chief Operating Officer.</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beneficial ownership percentages set forth in the table below are based on 126,964,206 shares of common stock issued and outstanding as of March 1, 2023 and other than as noted below, do not take into account the issuance of any shares of common stock upon the exercise of the Unexercised Warrant Shares. Unless otherwise noted in the footnotes to the following table, and subject to applicable community property laws, the persons and entities named in the table have sole voting and investment power with respect to the securities they beneficially owned.</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80" w:type="dxa"/>
            <w:vAlign w:val="bottom"/>
            <w:gridSpan w:val="2"/>
          </w:tcPr>
          <w:p>
            <w:pPr>
              <w:jc w:val="center"/>
              <w:ind w:right="940"/>
              <w:spacing w:after="0"/>
              <w:rPr>
                <w:sz w:val="20"/>
                <w:szCs w:val="20"/>
                <w:color w:val="auto"/>
              </w:rPr>
            </w:pPr>
            <w:r>
              <w:rPr>
                <w:rFonts w:ascii="Arial" w:cs="Arial" w:eastAsia="Arial" w:hAnsi="Arial"/>
                <w:sz w:val="14"/>
                <w:szCs w:val="14"/>
                <w:color w:val="auto"/>
                <w:w w:val="92"/>
              </w:rPr>
              <w:t>Number of Shares of</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740" w:type="dxa"/>
            <w:vAlign w:val="bottom"/>
            <w:gridSpan w:val="2"/>
            <w:vMerge w:val="restart"/>
          </w:tcPr>
          <w:p>
            <w:pPr>
              <w:ind w:left="20"/>
              <w:spacing w:after="0"/>
              <w:rPr>
                <w:sz w:val="20"/>
                <w:szCs w:val="20"/>
                <w:color w:val="auto"/>
              </w:rPr>
            </w:pPr>
            <w:r>
              <w:rPr>
                <w:rFonts w:ascii="Arial" w:cs="Arial" w:eastAsia="Arial" w:hAnsi="Arial"/>
                <w:sz w:val="14"/>
                <w:szCs w:val="14"/>
                <w:color w:val="auto"/>
              </w:rPr>
              <w:t>Name of Beneficial Owner</w:t>
            </w:r>
            <w:r>
              <w:rPr>
                <w:rFonts w:ascii="Arial" w:cs="Arial" w:eastAsia="Arial" w:hAnsi="Arial"/>
                <w:sz w:val="10"/>
                <w:szCs w:val="10"/>
                <w:color w:val="auto"/>
              </w:rPr>
              <w:t>1</w:t>
            </w:r>
          </w:p>
        </w:tc>
        <w:tc>
          <w:tcPr>
            <w:tcW w:w="258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96"/>
              </w:rPr>
              <w:t>Common Stock Beneficially</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 of</w:t>
            </w:r>
          </w:p>
        </w:tc>
        <w:tc>
          <w:tcPr>
            <w:tcW w:w="0" w:type="dxa"/>
            <w:vAlign w:val="bottom"/>
          </w:tcPr>
          <w:p>
            <w:pPr>
              <w:spacing w:after="0"/>
              <w:rPr>
                <w:sz w:val="1"/>
                <w:szCs w:val="1"/>
                <w:color w:val="auto"/>
              </w:rPr>
            </w:pPr>
          </w:p>
        </w:tc>
      </w:tr>
      <w:tr>
        <w:trPr>
          <w:trHeight w:val="167"/>
        </w:trPr>
        <w:tc>
          <w:tcPr>
            <w:tcW w:w="1220" w:type="dxa"/>
            <w:vAlign w:val="bottom"/>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2580" w:type="dxa"/>
            <w:vAlign w:val="bottom"/>
            <w:gridSpan w:val="2"/>
          </w:tcPr>
          <w:p>
            <w:pPr>
              <w:jc w:val="center"/>
              <w:ind w:right="960"/>
              <w:spacing w:after="0"/>
              <w:rPr>
                <w:sz w:val="20"/>
                <w:szCs w:val="20"/>
                <w:color w:val="auto"/>
              </w:rPr>
            </w:pPr>
            <w:r>
              <w:rPr>
                <w:rFonts w:ascii="Arial" w:cs="Arial" w:eastAsia="Arial" w:hAnsi="Arial"/>
                <w:sz w:val="14"/>
                <w:szCs w:val="14"/>
                <w:color w:val="auto"/>
                <w:w w:val="94"/>
              </w:rPr>
              <w:t>Owned</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Ownership</w:t>
            </w:r>
          </w:p>
        </w:tc>
        <w:tc>
          <w:tcPr>
            <w:tcW w:w="0" w:type="dxa"/>
            <w:vAlign w:val="bottom"/>
          </w:tcPr>
          <w:p>
            <w:pPr>
              <w:spacing w:after="0"/>
              <w:rPr>
                <w:sz w:val="1"/>
                <w:szCs w:val="1"/>
                <w:color w:val="auto"/>
              </w:rPr>
            </w:pPr>
          </w:p>
        </w:tc>
      </w:tr>
      <w:tr>
        <w:trPr>
          <w:trHeight w:val="20"/>
        </w:trPr>
        <w:tc>
          <w:tcPr>
            <w:tcW w:w="1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w w:val="88"/>
              </w:rPr>
              <w:t>Directors and Named Executive Officers</w:t>
            </w:r>
          </w:p>
        </w:tc>
        <w:tc>
          <w:tcPr>
            <w:tcW w:w="2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line="216" w:lineRule="exact"/>
              <w:rPr>
                <w:sz w:val="20"/>
                <w:szCs w:val="20"/>
                <w:color w:val="auto"/>
              </w:rPr>
            </w:pPr>
            <w:r>
              <w:rPr>
                <w:rFonts w:ascii="Arial" w:cs="Arial" w:eastAsia="Arial" w:hAnsi="Arial"/>
                <w:sz w:val="17"/>
                <w:szCs w:val="17"/>
                <w:color w:val="auto"/>
              </w:rPr>
              <w:t>Subodh Kulkarni</w:t>
            </w:r>
            <w:r>
              <w:rPr>
                <w:rFonts w:ascii="Arial" w:cs="Arial" w:eastAsia="Arial" w:hAnsi="Arial"/>
                <w:sz w:val="25"/>
                <w:szCs w:val="25"/>
                <w:color w:val="auto"/>
                <w:vertAlign w:val="superscript"/>
              </w:rPr>
              <w:t>(2)</w:t>
            </w:r>
          </w:p>
        </w:tc>
        <w:tc>
          <w:tcPr>
            <w:tcW w:w="2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Rick Danis</w:t>
            </w:r>
            <w:r>
              <w:rPr>
                <w:rFonts w:ascii="Arial" w:cs="Arial" w:eastAsia="Arial" w:hAnsi="Arial"/>
                <w:sz w:val="25"/>
                <w:szCs w:val="25"/>
                <w:color w:val="auto"/>
                <w:vertAlign w:val="superscript"/>
              </w:rPr>
              <w:t>(3)</w:t>
            </w:r>
          </w:p>
        </w:tc>
        <w:tc>
          <w:tcPr>
            <w:tcW w:w="2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646,101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line="216" w:lineRule="exact"/>
              <w:rPr>
                <w:sz w:val="20"/>
                <w:szCs w:val="20"/>
                <w:color w:val="auto"/>
              </w:rPr>
            </w:pPr>
            <w:r>
              <w:rPr>
                <w:rFonts w:ascii="Arial" w:cs="Arial" w:eastAsia="Arial" w:hAnsi="Arial"/>
                <w:sz w:val="17"/>
                <w:szCs w:val="17"/>
                <w:color w:val="auto"/>
              </w:rPr>
              <w:t>Brian Sereda</w:t>
            </w:r>
            <w:r>
              <w:rPr>
                <w:rFonts w:ascii="Arial" w:cs="Arial" w:eastAsia="Arial" w:hAnsi="Arial"/>
                <w:sz w:val="25"/>
                <w:szCs w:val="25"/>
                <w:color w:val="auto"/>
                <w:vertAlign w:val="superscript"/>
              </w:rPr>
              <w:t>(4)</w:t>
            </w:r>
          </w:p>
        </w:tc>
        <w:tc>
          <w:tcPr>
            <w:tcW w:w="2580" w:type="dxa"/>
            <w:vAlign w:val="bottom"/>
            <w:gridSpan w:val="2"/>
          </w:tcPr>
          <w:p>
            <w:pPr>
              <w:jc w:val="right"/>
              <w:ind w:right="940"/>
              <w:spacing w:after="0"/>
              <w:rPr>
                <w:sz w:val="20"/>
                <w:szCs w:val="20"/>
                <w:color w:val="auto"/>
              </w:rPr>
            </w:pPr>
            <w:r>
              <w:rPr>
                <w:rFonts w:ascii="Arial" w:cs="Arial" w:eastAsia="Arial" w:hAnsi="Arial"/>
                <w:sz w:val="18"/>
                <w:szCs w:val="18"/>
                <w:color w:val="auto"/>
              </w:rPr>
              <w:t>275,579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Chad Rigetti</w:t>
            </w:r>
            <w:r>
              <w:rPr>
                <w:rFonts w:ascii="Arial" w:cs="Arial" w:eastAsia="Arial" w:hAnsi="Arial"/>
                <w:sz w:val="25"/>
                <w:szCs w:val="25"/>
                <w:color w:val="auto"/>
                <w:vertAlign w:val="superscript"/>
              </w:rPr>
              <w:t>(5)</w:t>
            </w:r>
          </w:p>
        </w:tc>
        <w:tc>
          <w:tcPr>
            <w:tcW w:w="2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6,144,379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line="216" w:lineRule="exact"/>
              <w:rPr>
                <w:sz w:val="20"/>
                <w:szCs w:val="20"/>
                <w:color w:val="auto"/>
              </w:rPr>
            </w:pPr>
            <w:r>
              <w:rPr>
                <w:rFonts w:ascii="Arial" w:cs="Arial" w:eastAsia="Arial" w:hAnsi="Arial"/>
                <w:sz w:val="17"/>
                <w:szCs w:val="17"/>
                <w:color w:val="auto"/>
              </w:rPr>
              <w:t>Taryn Naidu</w:t>
            </w:r>
            <w:r>
              <w:rPr>
                <w:rFonts w:ascii="Arial" w:cs="Arial" w:eastAsia="Arial" w:hAnsi="Arial"/>
                <w:sz w:val="25"/>
                <w:szCs w:val="25"/>
                <w:color w:val="auto"/>
                <w:vertAlign w:val="superscript"/>
              </w:rPr>
              <w:t>(6)</w:t>
            </w:r>
          </w:p>
        </w:tc>
        <w:tc>
          <w:tcPr>
            <w:tcW w:w="2580" w:type="dxa"/>
            <w:vAlign w:val="bottom"/>
            <w:gridSpan w:val="2"/>
          </w:tcPr>
          <w:p>
            <w:pPr>
              <w:jc w:val="right"/>
              <w:ind w:right="940"/>
              <w:spacing w:after="0"/>
              <w:rPr>
                <w:sz w:val="20"/>
                <w:szCs w:val="20"/>
                <w:color w:val="auto"/>
              </w:rPr>
            </w:pPr>
            <w:r>
              <w:rPr>
                <w:rFonts w:ascii="Arial" w:cs="Arial" w:eastAsia="Arial" w:hAnsi="Arial"/>
                <w:sz w:val="18"/>
                <w:szCs w:val="18"/>
                <w:color w:val="auto"/>
              </w:rPr>
              <w:t>796,326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Mike Harburn</w:t>
            </w:r>
            <w:r>
              <w:rPr>
                <w:rFonts w:ascii="Arial" w:cs="Arial" w:eastAsia="Arial" w:hAnsi="Arial"/>
                <w:sz w:val="25"/>
                <w:szCs w:val="25"/>
                <w:color w:val="auto"/>
                <w:vertAlign w:val="superscript"/>
              </w:rPr>
              <w:t>(7)</w:t>
            </w:r>
          </w:p>
        </w:tc>
        <w:tc>
          <w:tcPr>
            <w:tcW w:w="2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445,118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line="216" w:lineRule="exact"/>
              <w:rPr>
                <w:sz w:val="20"/>
                <w:szCs w:val="20"/>
                <w:color w:val="auto"/>
              </w:rPr>
            </w:pPr>
            <w:r>
              <w:rPr>
                <w:rFonts w:ascii="Arial" w:cs="Arial" w:eastAsia="Arial" w:hAnsi="Arial"/>
                <w:sz w:val="17"/>
                <w:szCs w:val="17"/>
                <w:color w:val="auto"/>
              </w:rPr>
              <w:t>David Cowan</w:t>
            </w:r>
            <w:r>
              <w:rPr>
                <w:rFonts w:ascii="Arial" w:cs="Arial" w:eastAsia="Arial" w:hAnsi="Arial"/>
                <w:sz w:val="25"/>
                <w:szCs w:val="25"/>
                <w:color w:val="auto"/>
                <w:vertAlign w:val="superscript"/>
              </w:rPr>
              <w:t>(8)</w:t>
            </w:r>
          </w:p>
        </w:tc>
        <w:tc>
          <w:tcPr>
            <w:tcW w:w="25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Alissa Fitzgerald</w:t>
            </w:r>
            <w:r>
              <w:rPr>
                <w:rFonts w:ascii="Arial" w:cs="Arial" w:eastAsia="Arial" w:hAnsi="Arial"/>
                <w:sz w:val="25"/>
                <w:szCs w:val="25"/>
                <w:color w:val="auto"/>
                <w:vertAlign w:val="superscript"/>
              </w:rPr>
              <w:t>(9)</w:t>
            </w:r>
          </w:p>
        </w:tc>
        <w:tc>
          <w:tcPr>
            <w:tcW w:w="2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221,097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line="216" w:lineRule="exact"/>
              <w:rPr>
                <w:sz w:val="20"/>
                <w:szCs w:val="20"/>
                <w:color w:val="auto"/>
              </w:rPr>
            </w:pPr>
            <w:r>
              <w:rPr>
                <w:rFonts w:ascii="Arial" w:cs="Arial" w:eastAsia="Arial" w:hAnsi="Arial"/>
                <w:sz w:val="17"/>
                <w:szCs w:val="17"/>
                <w:color w:val="auto"/>
              </w:rPr>
              <w:t>Ray Johnson</w:t>
            </w:r>
            <w:r>
              <w:rPr>
                <w:rFonts w:ascii="Arial" w:cs="Arial" w:eastAsia="Arial" w:hAnsi="Arial"/>
                <w:sz w:val="25"/>
                <w:szCs w:val="25"/>
                <w:color w:val="auto"/>
                <w:vertAlign w:val="superscript"/>
              </w:rPr>
              <w:t>(10)</w:t>
            </w:r>
          </w:p>
        </w:tc>
        <w:tc>
          <w:tcPr>
            <w:tcW w:w="2580" w:type="dxa"/>
            <w:vAlign w:val="bottom"/>
            <w:gridSpan w:val="2"/>
          </w:tcPr>
          <w:p>
            <w:pPr>
              <w:jc w:val="right"/>
              <w:ind w:right="940"/>
              <w:spacing w:after="0"/>
              <w:rPr>
                <w:sz w:val="20"/>
                <w:szCs w:val="20"/>
                <w:color w:val="auto"/>
              </w:rPr>
            </w:pPr>
            <w:r>
              <w:rPr>
                <w:rFonts w:ascii="Arial" w:cs="Arial" w:eastAsia="Arial" w:hAnsi="Arial"/>
                <w:sz w:val="18"/>
                <w:szCs w:val="18"/>
                <w:color w:val="auto"/>
              </w:rPr>
              <w:t>247,765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Cathy McCarthy</w:t>
            </w:r>
            <w:r>
              <w:rPr>
                <w:rFonts w:ascii="Arial" w:cs="Arial" w:eastAsia="Arial" w:hAnsi="Arial"/>
                <w:sz w:val="25"/>
                <w:szCs w:val="25"/>
                <w:color w:val="auto"/>
                <w:vertAlign w:val="superscript"/>
              </w:rPr>
              <w:t>(11)</w:t>
            </w:r>
          </w:p>
        </w:tc>
        <w:tc>
          <w:tcPr>
            <w:tcW w:w="2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73,780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line="216" w:lineRule="exact"/>
              <w:rPr>
                <w:sz w:val="20"/>
                <w:szCs w:val="20"/>
                <w:color w:val="auto"/>
              </w:rPr>
            </w:pPr>
            <w:r>
              <w:rPr>
                <w:rFonts w:ascii="Arial" w:cs="Arial" w:eastAsia="Arial" w:hAnsi="Arial"/>
                <w:sz w:val="17"/>
                <w:szCs w:val="17"/>
                <w:color w:val="auto"/>
              </w:rPr>
              <w:t>Michael Clifton</w:t>
            </w:r>
            <w:r>
              <w:rPr>
                <w:rFonts w:ascii="Arial" w:cs="Arial" w:eastAsia="Arial" w:hAnsi="Arial"/>
                <w:sz w:val="25"/>
                <w:szCs w:val="25"/>
                <w:color w:val="auto"/>
                <w:vertAlign w:val="superscript"/>
              </w:rPr>
              <w:t>(12)</w:t>
            </w:r>
          </w:p>
        </w:tc>
        <w:tc>
          <w:tcPr>
            <w:tcW w:w="2580" w:type="dxa"/>
            <w:vAlign w:val="bottom"/>
            <w:gridSpan w:val="2"/>
          </w:tcPr>
          <w:p>
            <w:pPr>
              <w:jc w:val="right"/>
              <w:ind w:right="940"/>
              <w:spacing w:after="0"/>
              <w:rPr>
                <w:sz w:val="20"/>
                <w:szCs w:val="20"/>
                <w:color w:val="auto"/>
              </w:rPr>
            </w:pPr>
            <w:r>
              <w:rPr>
                <w:rFonts w:ascii="Arial" w:cs="Arial" w:eastAsia="Arial" w:hAnsi="Arial"/>
                <w:sz w:val="18"/>
                <w:szCs w:val="18"/>
                <w:color w:val="auto"/>
              </w:rPr>
              <w:t>1,671,000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 Gail Sandford</w:t>
            </w:r>
          </w:p>
        </w:tc>
        <w:tc>
          <w:tcPr>
            <w:tcW w:w="25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60" w:type="dxa"/>
            <w:vAlign w:val="bottom"/>
            <w:gridSpan w:val="3"/>
          </w:tcPr>
          <w:p>
            <w:pPr>
              <w:spacing w:after="0" w:line="201" w:lineRule="exact"/>
              <w:rPr>
                <w:sz w:val="20"/>
                <w:szCs w:val="20"/>
                <w:color w:val="auto"/>
              </w:rPr>
            </w:pPr>
            <w:r>
              <w:rPr>
                <w:rFonts w:ascii="Arial" w:cs="Arial" w:eastAsia="Arial" w:hAnsi="Arial"/>
                <w:sz w:val="18"/>
                <w:szCs w:val="18"/>
                <w:i w:val="1"/>
                <w:iCs w:val="1"/>
                <w:color w:val="auto"/>
              </w:rPr>
              <w:t>All current executive officers and directors as a group</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3"/>
          </w:tcPr>
          <w:p>
            <w:pPr>
              <w:ind w:left="180"/>
              <w:spacing w:after="0"/>
              <w:rPr>
                <w:sz w:val="20"/>
                <w:szCs w:val="20"/>
                <w:color w:val="auto"/>
              </w:rPr>
            </w:pPr>
            <w:r>
              <w:rPr>
                <w:rFonts w:ascii="Arial" w:cs="Arial" w:eastAsia="Arial" w:hAnsi="Arial"/>
                <w:sz w:val="18"/>
                <w:szCs w:val="18"/>
                <w:i w:val="1"/>
                <w:iCs w:val="1"/>
                <w:color w:val="auto"/>
              </w:rPr>
              <w:t>(8 persons)</w:t>
            </w:r>
          </w:p>
        </w:tc>
        <w:tc>
          <w:tcPr>
            <w:tcW w:w="2580" w:type="dxa"/>
            <w:vAlign w:val="bottom"/>
            <w:gridSpan w:val="2"/>
          </w:tcPr>
          <w:p>
            <w:pPr>
              <w:jc w:val="right"/>
              <w:ind w:right="940"/>
              <w:spacing w:after="0"/>
              <w:rPr>
                <w:sz w:val="20"/>
                <w:szCs w:val="20"/>
                <w:color w:val="auto"/>
              </w:rPr>
            </w:pPr>
            <w:r>
              <w:rPr>
                <w:rFonts w:ascii="Arial" w:cs="Arial" w:eastAsia="Arial" w:hAnsi="Arial"/>
                <w:sz w:val="18"/>
                <w:szCs w:val="18"/>
                <w:color w:val="auto"/>
              </w:rPr>
              <w:t>3,313,527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Five Percent Holders</w:t>
            </w: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line="216" w:lineRule="exact"/>
              <w:rPr>
                <w:sz w:val="20"/>
                <w:szCs w:val="20"/>
                <w:color w:val="auto"/>
              </w:rPr>
            </w:pPr>
            <w:r>
              <w:rPr>
                <w:rFonts w:ascii="Arial" w:cs="Arial" w:eastAsia="Arial" w:hAnsi="Arial"/>
                <w:sz w:val="17"/>
                <w:szCs w:val="17"/>
                <w:color w:val="auto"/>
              </w:rPr>
              <w:t>AVG Entities</w:t>
            </w:r>
            <w:r>
              <w:rPr>
                <w:rFonts w:ascii="Arial" w:cs="Arial" w:eastAsia="Arial" w:hAnsi="Arial"/>
                <w:sz w:val="25"/>
                <w:szCs w:val="25"/>
                <w:color w:val="auto"/>
                <w:vertAlign w:val="superscript"/>
              </w:rPr>
              <w:t>(13)</w:t>
            </w:r>
          </w:p>
        </w:tc>
        <w:tc>
          <w:tcPr>
            <w:tcW w:w="2580" w:type="dxa"/>
            <w:vAlign w:val="bottom"/>
            <w:gridSpan w:val="2"/>
          </w:tcPr>
          <w:p>
            <w:pPr>
              <w:jc w:val="right"/>
              <w:ind w:right="940"/>
              <w:spacing w:after="0"/>
              <w:rPr>
                <w:sz w:val="20"/>
                <w:szCs w:val="20"/>
                <w:color w:val="auto"/>
              </w:rPr>
            </w:pPr>
            <w:r>
              <w:rPr>
                <w:rFonts w:ascii="Arial" w:cs="Arial" w:eastAsia="Arial" w:hAnsi="Arial"/>
                <w:sz w:val="18"/>
                <w:szCs w:val="18"/>
                <w:color w:val="auto"/>
              </w:rPr>
              <w:t>7,588,642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Entities affiliated with Bessemer Venture Partners</w:t>
            </w:r>
            <w:r>
              <w:rPr>
                <w:rFonts w:ascii="Arial" w:cs="Arial" w:eastAsia="Arial" w:hAnsi="Arial"/>
                <w:sz w:val="25"/>
                <w:szCs w:val="25"/>
                <w:color w:val="auto"/>
                <w:vertAlign w:val="superscript"/>
              </w:rPr>
              <w:t>(14)</w:t>
            </w:r>
          </w:p>
        </w:tc>
        <w:tc>
          <w:tcPr>
            <w:tcW w:w="2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21,582,218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353"/>
        </w:trPr>
        <w:tc>
          <w:tcPr>
            <w:tcW w:w="4960" w:type="dxa"/>
            <w:vAlign w:val="bottom"/>
            <w:gridSpan w:val="3"/>
          </w:tcPr>
          <w:p>
            <w:pPr>
              <w:spacing w:after="0"/>
              <w:rPr>
                <w:sz w:val="20"/>
                <w:szCs w:val="20"/>
                <w:color w:val="auto"/>
              </w:rPr>
            </w:pPr>
            <w:r>
              <w:rPr>
                <w:rFonts w:ascii="Arial" w:cs="Arial" w:eastAsia="Arial" w:hAnsi="Arial"/>
                <w:sz w:val="18"/>
                <w:szCs w:val="18"/>
                <w:color w:val="auto"/>
              </w:rPr>
              <w:t>Insurance Company of the West</w:t>
            </w:r>
            <w:r>
              <w:rPr>
                <w:rFonts w:ascii="Arial" w:cs="Arial" w:eastAsia="Arial" w:hAnsi="Arial"/>
                <w:sz w:val="26"/>
                <w:szCs w:val="26"/>
                <w:color w:val="auto"/>
                <w:vertAlign w:val="superscript"/>
              </w:rPr>
              <w:t>(15)</w:t>
            </w:r>
          </w:p>
        </w:tc>
        <w:tc>
          <w:tcPr>
            <w:tcW w:w="2580" w:type="dxa"/>
            <w:vAlign w:val="bottom"/>
            <w:gridSpan w:val="2"/>
          </w:tcPr>
          <w:p>
            <w:pPr>
              <w:jc w:val="right"/>
              <w:ind w:right="940"/>
              <w:spacing w:after="0"/>
              <w:rPr>
                <w:sz w:val="20"/>
                <w:szCs w:val="20"/>
                <w:color w:val="auto"/>
              </w:rPr>
            </w:pPr>
            <w:r>
              <w:rPr>
                <w:rFonts w:ascii="Arial" w:cs="Arial" w:eastAsia="Arial" w:hAnsi="Arial"/>
                <w:sz w:val="18"/>
                <w:szCs w:val="18"/>
                <w:color w:val="auto"/>
              </w:rPr>
              <w:t>9,178,816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Unless otherwise noted, the mailing address of each of those listed in the table above is 775 Heinz Avenue, Berkeley, CA, 94710.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Dr. Kulkarni was appointed President and Chief Executive Officer on December 12, 2022 and as a director of the Board on December 15, 2022.</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86" w:right="49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180" w:hanging="424"/>
        <w:spacing w:after="0" w:line="255"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335,503 shares of common stock, 92,576 shares of common stock subject to outstanding stock options that are exercisable within 60 days of March 1, 2023 and 218,022 shares of common stock issuable upon the settlement of restricted stock units releasable within 60 days of March 1, 2023.</w:t>
      </w:r>
    </w:p>
    <w:p>
      <w:pPr>
        <w:spacing w:after="0" w:line="2"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151,312 shares of common stock and 124,267 shares of common stock issuable upon the settlement of restricted stock units releasable within 60 days of March 1, 2023.</w:t>
      </w:r>
    </w:p>
    <w:p>
      <w:pPr>
        <w:ind w:left="540" w:right="360" w:hanging="424"/>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based on a Schedule 13D/A filed by Dr. Rigetti on January 26, 2023 with the SEC. Includes 2,669,371 shares vested and issuable upon exercise of options as of January 26, 2023.</w:t>
      </w:r>
    </w:p>
    <w:p>
      <w:pPr>
        <w:ind w:left="540" w:right="20" w:hanging="424"/>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provided for Mr. Naidu is as of the date of his termination of April 18, 2022. Consists of 199,075 shares of common stock held by Mr. Naidu, the former Chief Operating Officer of Rigetti, or his affiliated entity AlphaNuma LLC, and 453,135 shares of common stock subject to outstanding stock options that were exercisable at the time of Mr. Naidu’s termination, 121,871 shares of common stock issuable upon the settlement of restricted stock units that were releasable at the time of Mr. Naidu’s termination and 22,245 shares subject to the exercise of warrants of the Company.</w:t>
      </w:r>
    </w:p>
    <w:p>
      <w:pPr>
        <w:spacing w:after="0" w:line="1" w:lineRule="exact"/>
        <w:rPr>
          <w:rFonts w:ascii="Arial" w:cs="Arial" w:eastAsia="Arial" w:hAnsi="Arial"/>
          <w:sz w:val="18"/>
          <w:szCs w:val="18"/>
          <w:color w:val="auto"/>
        </w:rPr>
      </w:pPr>
    </w:p>
    <w:p>
      <w:pPr>
        <w:ind w:left="540" w:right="160" w:hanging="424"/>
        <w:spacing w:after="0" w:line="265"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Information provided for Mr. Harburn is as of his resignation date of February 9, 2022. Consists of 136,368 shares of common stock, 275,607 shares of common stock subject to outstanding stock options that were exercisable at the time of Mr. Harburn’s termination and 33,143 shares of common stock issuable upon the settlement of restricted stock units at the time of Mr. Harburn’s termination.</w:t>
      </w:r>
    </w:p>
    <w:p>
      <w:pPr>
        <w:ind w:left="540" w:hanging="424"/>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David Cowan, a member of the Board, is a partner at Bessemer Venture Partners. Mr. Cowan disclaims beneficial ownership interest of the securities held by the Bessemer Entities (as defined below) referred to in footnote 14 below, except to the extent of his pecuniary interest, if any, in such securities through an indirect interest in the Bessemer Entities.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Consists of 221,097 shares of common stock subject to outstanding stock options that are exercisable within 60 days of March 1, 2023.</w:t>
      </w:r>
    </w:p>
    <w:p>
      <w:pPr>
        <w:spacing w:after="0" w:line="20" w:lineRule="exact"/>
        <w:rPr>
          <w:rFonts w:ascii="Arial" w:cs="Arial" w:eastAsia="Arial" w:hAnsi="Arial"/>
          <w:sz w:val="17"/>
          <w:szCs w:val="17"/>
          <w:color w:val="auto"/>
        </w:rPr>
      </w:pPr>
    </w:p>
    <w:p>
      <w:pPr>
        <w:ind w:left="540" w:right="160" w:hanging="424"/>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22,788 shares of common stock and 224,977 shares of common stock subject to outstanding stock options that are exercisable within 60 days of March 1, 2023.</w:t>
      </w: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73,780 shares of common stock.</w:t>
      </w:r>
    </w:p>
    <w:p>
      <w:pPr>
        <w:spacing w:after="0" w:line="9"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1,114,750 shares of common stock and 556,250 issuable upon the exercise of 556,250 private placement warrants to purchase common stock.</w:t>
      </w:r>
    </w:p>
    <w:p>
      <w:pPr>
        <w:ind w:left="540" w:hanging="424"/>
        <w:spacing w:after="0" w:line="265"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Consists of (i) 860,629 shares of common stock held by AVG - BIV Rigetti Trust1 2020, (ii) 1,022,123 shares of common stock held by AVG - BIV Rigetti Trust2 2020, (iii) 5,585,461 shares of common stock held by AVG - BIV Rigetti Trust3 2020, (iv) 20,429 shares of common stock held by AVGF-BIV 2 Rigetti 2017, LLC, and (v) 100,000 shares of common stock purchased by Alumni Ventures – Rigetti Trust 2022 in the PIPE Financing. Alumni Ventures Group, LLC is the manager of each of the funds, and has power to vote or direct the voting of shares held by each fund. The address of Alumni Ventures Group, LLC and the funds is 670 N. Commercial Street, Suite 403, Manchester, NH 03101.</w:t>
      </w:r>
    </w:p>
    <w:p>
      <w:pPr>
        <w:ind w:left="540" w:hanging="424"/>
        <w:spacing w:after="0" w:line="281"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Consists of (i) 9,481,710 shares of common stock held by Bessemer Venture Partners X Institutional L.P., or Bessemer Institutional, and 10,100,508 shares of common stock held by Bessemer Venture Partners X L.P., or Bessemer X, and together with Bessemer Institutional, the Bessemer Entities, and (ii) 968,400 shares of common stock purchased by Bessemer Institutional and 1,031,600 shares of common stock purchased by Bessemer X in the PIPE Financing. Deer X &amp; Co. L.P., or Deer X L.P., is the general partner of the Bessemer Entities. Deer X &amp; Co. Ltd., or Deer X Ltd., is the general partner of Deer X L.P. Adam Fisher, Robert P. Goodman, David Cowan, Jeremy Levine, Byron Deeter, Ethan Kurzweil, Alex Ferrara, Brian Feinstein and Stephen Kraus are the directors of Deer X Ltd. and hold the voting and dispositive power for the Bessemer Entities. Investment and voting decisions with respect to the securities held by the Bessemer Entities are made by the directors of Deer X Ltd. acting as an investment committee. Mr. Cowan disclaims beneficial ownership interest of the securities of the Company held by the Bessemer Entities except to the extent of his pecuniary interest, if any, in such securities through an indirect interest in the Bessemer Entities. The address for the Bessemer Entities is c/o Bessemer Venture Partners, 1865 Palmer Avenue, Suite 104, Larchmont, NY 10538.</w:t>
      </w:r>
    </w:p>
    <w:p>
      <w:pPr>
        <w:spacing w:after="0" w:line="5" w:lineRule="exact"/>
        <w:rPr>
          <w:rFonts w:ascii="Arial" w:cs="Arial" w:eastAsia="Arial" w:hAnsi="Arial"/>
          <w:sz w:val="16"/>
          <w:szCs w:val="16"/>
          <w:color w:val="auto"/>
        </w:rPr>
      </w:pPr>
    </w:p>
    <w:p>
      <w:pPr>
        <w:ind w:left="540" w:right="60" w:hanging="424"/>
        <w:spacing w:after="0" w:line="26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9,178,816 shares of common stock held by Insurance Company of the West. The address for Insurance Company of the West is 15025 Innovation Drive, San Diego, CA 92128.</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86"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aggregate information of our equity compensation plans in effect as of December 31, 2022.</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Number of securities</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remaining available</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8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3"/>
              </w:rPr>
              <w:t>Number of securities</w:t>
            </w:r>
          </w:p>
        </w:tc>
        <w:tc>
          <w:tcPr>
            <w:tcW w:w="204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0"/>
              </w:rPr>
              <w:t>Weighted-average</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for future issuance under</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8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0"/>
              </w:rPr>
              <w:t>to be issued upon</w:t>
            </w:r>
          </w:p>
        </w:tc>
        <w:tc>
          <w:tcPr>
            <w:tcW w:w="204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4"/>
              </w:rPr>
              <w:t>exercise price of</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equity compensation</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8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w w:val="91"/>
              </w:rPr>
              <w:t>exercise of</w:t>
            </w:r>
          </w:p>
        </w:tc>
        <w:tc>
          <w:tcPr>
            <w:tcW w:w="204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2"/>
              </w:rPr>
              <w:t>outstanding options,</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plans (excluding</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3520" w:type="dxa"/>
            <w:vAlign w:val="bottom"/>
            <w:gridSpan w:val="2"/>
            <w:vMerge w:val="restart"/>
          </w:tcPr>
          <w:p>
            <w:pPr>
              <w:spacing w:after="0"/>
              <w:rPr>
                <w:sz w:val="20"/>
                <w:szCs w:val="20"/>
                <w:color w:val="auto"/>
              </w:rPr>
            </w:pPr>
            <w:r>
              <w:rPr>
                <w:rFonts w:ascii="Arial" w:cs="Arial" w:eastAsia="Arial" w:hAnsi="Arial"/>
                <w:sz w:val="14"/>
                <w:szCs w:val="14"/>
                <w:color w:val="auto"/>
              </w:rPr>
              <w:t>Plan Category</w:t>
            </w:r>
          </w:p>
        </w:tc>
        <w:tc>
          <w:tcPr>
            <w:tcW w:w="208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2"/>
              </w:rPr>
              <w:t>outstanding options,</w:t>
            </w:r>
          </w:p>
        </w:tc>
        <w:tc>
          <w:tcPr>
            <w:tcW w:w="204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w w:val="92"/>
              </w:rPr>
              <w:t>warrants and rights</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securities reflected in</w:t>
            </w:r>
          </w:p>
        </w:tc>
        <w:tc>
          <w:tcPr>
            <w:tcW w:w="0" w:type="dxa"/>
            <w:vAlign w:val="bottom"/>
          </w:tcPr>
          <w:p>
            <w:pPr>
              <w:spacing w:after="0"/>
              <w:rPr>
                <w:sz w:val="1"/>
                <w:szCs w:val="1"/>
                <w:color w:val="auto"/>
              </w:rPr>
            </w:pPr>
          </w:p>
        </w:tc>
      </w:tr>
      <w:tr>
        <w:trPr>
          <w:trHeight w:val="167"/>
        </w:trPr>
        <w:tc>
          <w:tcPr>
            <w:tcW w:w="1880" w:type="dxa"/>
            <w:vAlign w:val="bottom"/>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2080" w:type="dxa"/>
            <w:vAlign w:val="bottom"/>
            <w:gridSpan w:val="2"/>
          </w:tcPr>
          <w:p>
            <w:pPr>
              <w:jc w:val="center"/>
              <w:ind w:right="860"/>
              <w:spacing w:after="0"/>
              <w:rPr>
                <w:sz w:val="20"/>
                <w:szCs w:val="20"/>
                <w:color w:val="auto"/>
              </w:rPr>
            </w:pPr>
            <w:r>
              <w:rPr>
                <w:rFonts w:ascii="Arial" w:cs="Arial" w:eastAsia="Arial" w:hAnsi="Arial"/>
                <w:sz w:val="14"/>
                <w:szCs w:val="14"/>
                <w:color w:val="auto"/>
                <w:w w:val="92"/>
              </w:rPr>
              <w:t>warrants and rights</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880" w:type="dxa"/>
            <w:vAlign w:val="bottom"/>
          </w:tcPr>
          <w:p>
            <w:pPr>
              <w:spacing w:after="0"/>
              <w:rPr>
                <w:sz w:val="14"/>
                <w:szCs w:val="14"/>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column (a))</w:t>
            </w:r>
          </w:p>
        </w:tc>
        <w:tc>
          <w:tcPr>
            <w:tcW w:w="0" w:type="dxa"/>
            <w:vAlign w:val="bottom"/>
          </w:tcPr>
          <w:p>
            <w:pPr>
              <w:spacing w:after="0"/>
              <w:rPr>
                <w:sz w:val="1"/>
                <w:szCs w:val="1"/>
                <w:color w:val="auto"/>
              </w:rPr>
            </w:pPr>
          </w:p>
        </w:tc>
      </w:tr>
      <w:tr>
        <w:trPr>
          <w:trHeight w:val="196"/>
        </w:trPr>
        <w:tc>
          <w:tcPr>
            <w:tcW w:w="1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86"/>
              </w:rPr>
              <w:t>Equity compensation plans</w:t>
            </w:r>
          </w:p>
        </w:tc>
        <w:tc>
          <w:tcPr>
            <w:tcW w:w="820" w:type="dxa"/>
            <w:vAlign w:val="bottom"/>
            <w:tcBorders>
              <w:top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3"/>
              </w:rPr>
              <w:t>approved</w:t>
            </w:r>
          </w:p>
        </w:tc>
        <w:tc>
          <w:tcPr>
            <w:tcW w:w="2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by security holders</w:t>
            </w:r>
          </w:p>
        </w:tc>
        <w:tc>
          <w:tcPr>
            <w:tcW w:w="1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ind w:left="360"/>
              <w:spacing w:after="0" w:line="216" w:lineRule="exact"/>
              <w:rPr>
                <w:sz w:val="20"/>
                <w:szCs w:val="20"/>
                <w:color w:val="auto"/>
              </w:rPr>
            </w:pPr>
            <w:r>
              <w:rPr>
                <w:rFonts w:ascii="Arial" w:cs="Arial" w:eastAsia="Arial" w:hAnsi="Arial"/>
                <w:sz w:val="17"/>
                <w:szCs w:val="17"/>
                <w:color w:val="auto"/>
              </w:rPr>
              <w:t>2013 Plan</w:t>
            </w:r>
            <w:r>
              <w:rPr>
                <w:rFonts w:ascii="Arial" w:cs="Arial" w:eastAsia="Arial" w:hAnsi="Arial"/>
                <w:sz w:val="25"/>
                <w:szCs w:val="25"/>
                <w:color w:val="auto"/>
                <w:vertAlign w:val="superscript"/>
              </w:rPr>
              <w:t>(1)</w:t>
            </w:r>
          </w:p>
        </w:tc>
        <w:tc>
          <w:tcPr>
            <w:tcW w:w="2080" w:type="dxa"/>
            <w:vAlign w:val="bottom"/>
            <w:gridSpan w:val="2"/>
          </w:tcPr>
          <w:p>
            <w:pPr>
              <w:jc w:val="right"/>
              <w:ind w:right="860"/>
              <w:spacing w:after="0"/>
              <w:rPr>
                <w:sz w:val="20"/>
                <w:szCs w:val="20"/>
                <w:color w:val="auto"/>
              </w:rPr>
            </w:pPr>
            <w:r>
              <w:rPr>
                <w:rFonts w:ascii="Arial" w:cs="Arial" w:eastAsia="Arial" w:hAnsi="Arial"/>
                <w:sz w:val="18"/>
                <w:szCs w:val="18"/>
                <w:color w:val="auto"/>
              </w:rPr>
              <w:t>7,089,653</w:t>
            </w: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0.272</w:t>
            </w: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ind w:left="360"/>
              <w:spacing w:after="0" w:line="216" w:lineRule="exact"/>
              <w:rPr>
                <w:sz w:val="20"/>
                <w:szCs w:val="20"/>
                <w:color w:val="auto"/>
              </w:rPr>
            </w:pPr>
            <w:r>
              <w:rPr>
                <w:rFonts w:ascii="Arial" w:cs="Arial" w:eastAsia="Arial" w:hAnsi="Arial"/>
                <w:sz w:val="17"/>
                <w:szCs w:val="17"/>
                <w:color w:val="auto"/>
              </w:rPr>
              <w:t>QxBranch Plan</w:t>
            </w:r>
            <w:r>
              <w:rPr>
                <w:rFonts w:ascii="Arial" w:cs="Arial" w:eastAsia="Arial" w:hAnsi="Arial"/>
                <w:sz w:val="25"/>
                <w:szCs w:val="25"/>
                <w:color w:val="auto"/>
                <w:vertAlign w:val="superscript"/>
              </w:rPr>
              <w:t>(1)</w:t>
            </w:r>
          </w:p>
        </w:tc>
        <w:tc>
          <w:tcPr>
            <w:tcW w:w="20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2,053</w:t>
            </w:r>
          </w:p>
        </w:tc>
        <w:tc>
          <w:tcPr>
            <w:tcW w:w="20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0.272</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ind w:left="360"/>
              <w:spacing w:after="0" w:line="216" w:lineRule="exact"/>
              <w:rPr>
                <w:sz w:val="20"/>
                <w:szCs w:val="20"/>
                <w:color w:val="auto"/>
              </w:rPr>
            </w:pPr>
            <w:r>
              <w:rPr>
                <w:rFonts w:ascii="Arial" w:cs="Arial" w:eastAsia="Arial" w:hAnsi="Arial"/>
                <w:sz w:val="17"/>
                <w:szCs w:val="17"/>
                <w:color w:val="auto"/>
              </w:rPr>
              <w:t>2022 Plan</w:t>
            </w:r>
            <w:r>
              <w:rPr>
                <w:rFonts w:ascii="Arial" w:cs="Arial" w:eastAsia="Arial" w:hAnsi="Arial"/>
                <w:sz w:val="25"/>
                <w:szCs w:val="25"/>
                <w:color w:val="auto"/>
                <w:vertAlign w:val="superscript"/>
              </w:rPr>
              <w:t>(2)</w:t>
            </w:r>
          </w:p>
        </w:tc>
        <w:tc>
          <w:tcPr>
            <w:tcW w:w="2080" w:type="dxa"/>
            <w:vAlign w:val="bottom"/>
            <w:gridSpan w:val="2"/>
          </w:tcPr>
          <w:p>
            <w:pPr>
              <w:jc w:val="right"/>
              <w:ind w:right="860"/>
              <w:spacing w:after="0"/>
              <w:rPr>
                <w:sz w:val="20"/>
                <w:szCs w:val="20"/>
                <w:color w:val="auto"/>
              </w:rPr>
            </w:pPr>
            <w:r>
              <w:rPr>
                <w:rFonts w:ascii="Arial" w:cs="Arial" w:eastAsia="Arial" w:hAnsi="Arial"/>
                <w:sz w:val="18"/>
                <w:szCs w:val="18"/>
                <w:color w:val="auto"/>
              </w:rPr>
              <w:t>1,750,000</w:t>
            </w: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0.964</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4,748,116</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ind w:left="360"/>
              <w:spacing w:after="0" w:line="216" w:lineRule="exact"/>
              <w:rPr>
                <w:sz w:val="20"/>
                <w:szCs w:val="20"/>
                <w:color w:val="auto"/>
              </w:rPr>
            </w:pPr>
            <w:r>
              <w:rPr>
                <w:rFonts w:ascii="Arial" w:cs="Arial" w:eastAsia="Arial" w:hAnsi="Arial"/>
                <w:sz w:val="17"/>
                <w:szCs w:val="17"/>
                <w:color w:val="auto"/>
              </w:rPr>
              <w:t>Employee Stock Purchase Plan</w:t>
            </w:r>
            <w:r>
              <w:rPr>
                <w:rFonts w:ascii="Arial" w:cs="Arial" w:eastAsia="Arial" w:hAnsi="Arial"/>
                <w:sz w:val="25"/>
                <w:szCs w:val="25"/>
                <w:color w:val="auto"/>
                <w:vertAlign w:val="superscript"/>
              </w:rPr>
              <w:t>(3)</w:t>
            </w:r>
          </w:p>
        </w:tc>
        <w:tc>
          <w:tcPr>
            <w:tcW w:w="20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3,055,370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Following the adoption of the 2022 Plan, no additional equity awards have been or will be granted under the 2013 Plan or QxBranch Plan.</w:t>
      </w:r>
    </w:p>
    <w:p>
      <w:pPr>
        <w:spacing w:after="0" w:line="34" w:lineRule="exact"/>
        <w:rPr>
          <w:rFonts w:ascii="Arial" w:cs="Arial" w:eastAsia="Arial" w:hAnsi="Arial"/>
          <w:sz w:val="17"/>
          <w:szCs w:val="17"/>
          <w:color w:val="auto"/>
        </w:rPr>
      </w:pPr>
    </w:p>
    <w:p>
      <w:pPr>
        <w:ind w:left="540" w:right="20" w:hanging="424"/>
        <w:spacing w:after="0" w:line="25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shares of Common Stock reserved for issuance under the 2022 Plan will automatically increase on January 1 of each year, beginning on January 1, 2023 and continuing through and including January 1, 2032, in an amount equal to 5% of the total number of shares of the Company’s Capital Stock (as defined in the 2022 Plan) outstanding on a fully diluted basis on December 31 of the preceding year; provided, however, that the Board may act prior to January 1st of a given year to provide that the increase for such year will be a lesser number of shares of Common Stock (or zero). Pursuant to the terms of the 2022 Plan, the number of shares available under the 2022 Plan was increased by 8,182,781 shares effective January 1, 2023.</w:t>
      </w:r>
    </w:p>
    <w:p>
      <w:pPr>
        <w:spacing w:after="0" w:line="2" w:lineRule="exact"/>
        <w:rPr>
          <w:rFonts w:ascii="Arial" w:cs="Arial" w:eastAsia="Arial" w:hAnsi="Arial"/>
          <w:sz w:val="18"/>
          <w:szCs w:val="18"/>
          <w:color w:val="auto"/>
        </w:rPr>
      </w:pPr>
    </w:p>
    <w:p>
      <w:pPr>
        <w:ind w:left="540" w:right="100" w:hanging="424"/>
        <w:spacing w:after="0" w:line="269"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number of shares of common stock reserved for issuance under the ESPP will automatically increase on January 1 of each year, beginning on January 1, 2023 and continuing through and including January 1, 2032, in an amount equal to the lesser of (i) 1% of the total number of shares of Capital Stock (as defined in the ESPP) of the Company outstanding on a fully diluted basis on December 31st of the preceding calendar year, and (ii) 3,055,370 shares of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Pursuant to the terms of the ESPP, no shares were added to the reserve on January 1, 2023.</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86" w:right="4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is a description of transactions since January 1, 2021 to which Rigetti was a party or will be a party, in which:</w:t>
      </w:r>
    </w:p>
    <w:p>
      <w:pPr>
        <w:spacing w:after="0" w:line="76"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40" w:hanging="424"/>
        <w:spacing w:after="0" w:line="308"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the company’s capital stock, or any member of the immediate family of, or person sharing the household with, the foregoing persons, had or will have a direct or indirect material interest.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Supernova Class B Ordinary Shares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On December 22, 2020, Supernova Sponsor paid $25,000, or approximately $0.004 per share, to cover certain offering and formation costs in consideration of 5,750,000 Supernova Class B ordinary shares. On January 14, 2021, Supernova effected a share dividend, resulting in 7,187,500 Supernova Class B ordinary shares outstanding. On February 22, 2021, the Supernova Sponsor transferred 28,750 Supernova Class B ordinary shares to each of Supernova’s six former independent director nominees. On March 1, 2021, Supernova effected a share dividend, resulting in 8,625,000 Supernova Class B ordinary shares. In connection with the consummation of the Business Combination, the Supernova Class B ordinary shares were converted into 8,625,000 shares of common stock. In August 2022, Supernova Sponsor effected a liquidating pro rata distribution of its shares of common stock to its members, pursuant to which Mr. Clifton, one of our directors, received 1,052,250 of common stock, of which 382,409 shares are subject to vesting conditions.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 Warrants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March 4, 2021, Supernova Sponsor purchased an aggregate of 4,450,000 private placement warrants for a purchase price of $2.00 per whole warrant, or $8,900,000 in the aggregate, in a private placement that occurred simultaneously with the closing of Supernova’s IPO. Each private placement warrant entitles the holder to purchase one share of common stock at $11.50 per share, subject to adjustment. The private placement warrants (including the common stock issuable upon exercise thereof) may not, subject to certain limited exceptions, be transferred, assigned or sold by the holder until 30 days after the completion of the Business Combination. In connection with the consummation of the Business Combination, the Supernova private placement warrants were converted into 4,450,000 Private Warrants of the Company to purchase one share of common stock at an exercise price of $11.50. In August 2022, Supernova Sponsor effected a liquidating pro rata distribution of its Private Warrants to its members, pursuant to which Mr. Clifton, one of our directors, received 556,250 Private Warrants.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 Reimbursement</w:t>
      </w:r>
    </w:p>
    <w:p>
      <w:pPr>
        <w:spacing w:after="0" w:line="121"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On December 22, 2020, Supernova Sponsor agreed to loan Supernova an aggregate of up to $300,000 to cover expenses related to Supernova’s IPO pursuant to a promissory note (the “Note”). This Note was non-interest bearing and payable upon the completion of the IPO. Supernova borrowed $275,000 under the Note and repaid the Note in full on March 4,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Subscription Agreements</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At the closing of the Business Combination, (i) Bessemer Venture Partners X L.P. and Bessemer Venture Partners X Institutional L.P. purchased 9,481,710 and 10,100,508 shares of common stock in the PIPE Financing, for a purchase price of $10.00 per share pursuant to separate Subscription Agreements, each dated October 6, 2021, and (ii) 62,500 shares of common stock were issued to one of our directors, Mr. Clifton, pursuant to the PIPE Financing.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86" w:right="4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Rigetti Holders Support Agreement</w:t>
      </w:r>
    </w:p>
    <w:p>
      <w:pPr>
        <w:spacing w:after="0" w:line="121"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On October 6, 2021, in connection with the execution of the Merger Agreement, Supernova entered into the Rigetti Holders Support Agreement with Legacy Rigetti and certain stockholders of Legacy Rigetti pursuant to which such stockholders agreed to vote to adopt and approve, upon the registration statement on Form S-4 being declared effective, the Merger Agreement and all other documents and transactions contemplated thereby.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Sponsor Support Agreement</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On October 6, 2021, in connection with the execution of the Merger Agreement, Supernova entered into a sponsor support agreement (the “Sponsor Support Agreement”) with the Supernova Sponsor, Legacy Rigetti and Supernova’s directors and officers. Pursuant to the Sponsor Support Agreement, the Supernova Sponsor and Supernova’s directors and officers (“Sponsor Holders”), among other things, agreed to vote all of their shares of Supernova capital stock in favor of the approval of the Business Combination. In addition, pursuant to the Sponsor Support Agreement, (i) 2,479,000 shares of common stock held by the Sponsor Holders became unvested and subject to forfeiture as of the Closing and will only vest if, during the five year period following the Closing, the volume weighted average price of common stock equals or exceeds $12.50 for any twenty trading days within a period of thirty consecutive trading days, and (ii) 580,273 shares of common stock held by the Sponsor Holders became unvested and subject to forfeiture as of the Closing and will only vest if, during the five year period following the Closing, the volume weighted average price of common stock equals or exceeds $15.00 for any twenty trading days within a period of thirty consecutive trading days. Any such shares held by the Sponsor Holders that remain unvested after the fifth anniversary of the Closing will be forfeited.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Arrangements, Stock Option Grants and Indemnification for Executive Officers and Directors</w:t>
      </w:r>
    </w:p>
    <w:p>
      <w:pPr>
        <w:spacing w:after="0" w:line="121"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We have employment arrangements with our executive officers that, among other things, provide for certain change in control benefits, as well as severance benefits for executive officers. For a description of these agreements with our named executive officers, see “Item 11. Executive Compensation.”</w:t>
      </w:r>
    </w:p>
    <w:p>
      <w:pPr>
        <w:spacing w:after="0" w:line="1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We have granted stock options, restricted stock units and stock awards to our executive officers and our directors. For a description of these equity awards to our named executive officers and directors, see “Item 11. Executive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connection with the Closing, we, Supernova Sponsor, Supernova directors and officers, Legacy Rigetti directors and officers and certain of Legacy Rigetti securityholders entered into an amended and restated registration rights agreement. Pursuant to the agreement, we agreed that we would file with the SEC a registration statement registering the resale of certain securities held by or issuable to such holders, and we will use reasonable best efforts to have such registration statement declared effective as soon as practicable after the filing thereof. In certain circumstances, certain holders can demand up to two underwritten offerings in any 12 month period, and certain holders are entitled to piggyback registration rights.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in addition to the indemnification provided in the Bylaws. The indemnification agreements require us to indemnify our directors to the fullest extent permitted by Delaware law. See “Item 10. Directors, Executive Officers and Corporate Governance—Limitation on Liability and Indemnification of Directors and Officers” for information about indemnification agreements and director and officer liability insurance which the Company maintains.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86" w:right="4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 Policy</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Transactions involving compensation for services provided to us by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and entities owned or controlled by any related person.</w:t>
      </w:r>
    </w:p>
    <w:p>
      <w:pPr>
        <w:spacing w:after="0" w:line="187"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Under the policy, the related person in question or, in the case of transactions with a holder of more than 5% of any class of our voting securities, an officer with knowledge of the proposed related person transaction, must present information regarding the proposed related person transaction to our audit committee (or, where review by our audit committee would be inappropriate, to another independent body of our Board)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98"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22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Our audit committee will approve only those transactions that it determines are fair to and in the best interests of the Company. All of the transactions described above were entered into prior to the adoption of such policy.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86" w:right="4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Registrant’s Certifying Accountant.</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previously disclosed in our Current Report on Form 8-K filed on March 7, 2022, in connection with the closing of the Business Combination on March 2, 2022, Marcum LLP (“Marcum”) was dismissed as our independent registered public accounting firm. This decision was approved by the Audit Committee of the Board and the Board. Marcum served as the independent registered public accounting firm for Supernova Partners Acquisition Company II, Ltd. (“Supernova”) prior to the business combination.</w:t>
      </w:r>
    </w:p>
    <w:p>
      <w:pPr>
        <w:spacing w:after="0" w:line="187" w:lineRule="exact"/>
        <w:rPr>
          <w:sz w:val="20"/>
          <w:szCs w:val="20"/>
          <w:color w:val="auto"/>
        </w:rPr>
      </w:pPr>
    </w:p>
    <w:p>
      <w:pPr>
        <w:ind w:left="120" w:right="720"/>
        <w:spacing w:after="0" w:line="263" w:lineRule="auto"/>
        <w:rPr>
          <w:sz w:val="20"/>
          <w:szCs w:val="20"/>
          <w:color w:val="auto"/>
        </w:rPr>
      </w:pPr>
      <w:r>
        <w:rPr>
          <w:rFonts w:ascii="Arial" w:cs="Arial" w:eastAsia="Arial" w:hAnsi="Arial"/>
          <w:sz w:val="18"/>
          <w:szCs w:val="18"/>
          <w:color w:val="auto"/>
        </w:rPr>
        <w:t>The Audit Committee of the Board and the Board approved the appointment of BDO USA, LLP (“BDO”) as our independent registered public accounting firm on March 2, 2022. BDO served as the independent registered public accounting firm for Legacy Rigetti prior to the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tables present the aggregate fees billed by BDO (including Legacy Rigetti) for the fiscal years ended December 31, 2022 and 2021.</w:t>
      </w:r>
    </w:p>
    <w:p>
      <w:pPr>
        <w:spacing w:after="0" w:line="259"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7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Fiscal Year</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78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color w:val="auto"/>
              </w:rPr>
              <w:t>2022</w:t>
            </w: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378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Audit fees</w:t>
            </w:r>
            <w:r>
              <w:rPr>
                <w:rFonts w:ascii="Arial" w:cs="Arial" w:eastAsia="Arial" w:hAnsi="Arial"/>
                <w:sz w:val="24"/>
                <w:szCs w:val="24"/>
                <w:color w:val="auto"/>
                <w:vertAlign w:val="superscript"/>
              </w:rPr>
              <w:t>(1)</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1,031,580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627,100</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Audit-related fees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1,031,580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627,100</w:t>
            </w:r>
          </w:p>
        </w:tc>
      </w:tr>
      <w:tr>
        <w:trPr>
          <w:trHeight w:val="20"/>
        </w:trPr>
        <w:tc>
          <w:tcPr>
            <w:tcW w:w="3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60" w:hanging="424"/>
        <w:spacing w:after="0" w:line="272"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Audit fees in 2022 consisted of fees billed for professional services rendered for the audit of Rigetti’s 2022 consolidated financial statements, the reviews of 2022 interim condensed consolidated financial statements, audit services in connection with the accounting for the business combination, and audit services provided in connection with other regulatory filings and offerings, including the regulatory filings associated with the business combination and related financings. Audit fees for 2021 consisted of fees billed for professional services rendered for the audit of Legacy Rigetti’s consolidated financial statements (2020 and 2021), the reviews of the applicable historical interim condensed consolidated financial statements, and audit services provided in connection with other regulatory filings and offerings, including the regulatory filings associated with the business combination and related financings.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Our Audit Committee approves all audit and pre-approves all non-audit services provided by BDO before it is engaged by us to render non-audit services to ensure that the provision of these services does not impair the auditor’s independence. These services may include audit-related services, tax services and other non-audit services.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pre-approval requirement set forth above does not apply with respect to non-audit services if:</w:t>
      </w:r>
    </w:p>
    <w:p>
      <w:pPr>
        <w:spacing w:after="0" w:line="131" w:lineRule="exact"/>
        <w:rPr>
          <w:sz w:val="20"/>
          <w:szCs w:val="20"/>
          <w:color w:val="auto"/>
        </w:rPr>
      </w:pPr>
    </w:p>
    <w:p>
      <w:pPr>
        <w:ind w:left="1080" w:right="1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such services do not, in the aggregate, amount to more than 5% of the total fees paid by us to BDO during the fiscal year in which the services are provided;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services were not recognized as non-audit services at the time of the relevant engagement;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services are promptly brought to the attention of and approved by the Audit Committee (or its delegate) prior to the completion of the annual audit.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86" w:right="4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Audit Committee elected to delegate pre-approval authority to the chair of the Audit Committee to approve any one or more individual permitted non-audit services. The chair will report any pre-approval granted at the next meeting of the Audit Committee.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880"/>
          </w:cols>
          <w:pgMar w:left="320" w:top="486" w:right="69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financial statements schedules and exhibits filed as part of this Annual Report are as follows: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(a)(1)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See Index to Consolidated Financial Statements on page F-1 of this Annual Report on Form 10-K, which is incorporated into this item by reference.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(a)(2) Financial Statement Schedules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other schedules are omitted because they are not required or the required information is included in the financial statements or notes thereto.</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exhibits required to be filed as part of this report are listed in the Exhibit List attached hereto and are incorporated herein by reference.</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5860" w:type="dxa"/>
            <w:vAlign w:val="bottom"/>
            <w:gridSpan w:val="13"/>
          </w:tcPr>
          <w:p>
            <w:pPr>
              <w:ind w:left="260"/>
              <w:spacing w:after="0"/>
              <w:rPr>
                <w:sz w:val="20"/>
                <w:szCs w:val="20"/>
                <w:color w:val="auto"/>
              </w:rPr>
            </w:pPr>
            <w:r>
              <w:rPr>
                <w:rFonts w:ascii="Arial" w:cs="Arial" w:eastAsia="Arial" w:hAnsi="Arial"/>
                <w:sz w:val="18"/>
                <w:szCs w:val="18"/>
                <w:b w:val="1"/>
                <w:bCs w:val="1"/>
                <w:color w:val="auto"/>
              </w:rPr>
              <w:t>Form 10-K Summary</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None.</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6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4"/>
              </w:rPr>
              <w:t>Exhibit Index</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5"/>
              </w:rPr>
              <w:t>Exhibit No.</w:t>
            </w: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320" w:type="dxa"/>
            <w:vAlign w:val="bottom"/>
            <w:gridSpan w:val="11"/>
            <w:vMerge w:val="restart"/>
          </w:tcPr>
          <w:p>
            <w:pPr>
              <w:ind w:left="1120"/>
              <w:spacing w:after="0"/>
              <w:rPr>
                <w:sz w:val="20"/>
                <w:szCs w:val="20"/>
                <w:color w:val="auto"/>
              </w:rPr>
            </w:pPr>
            <w:r>
              <w:rPr>
                <w:rFonts w:ascii="Arial" w:cs="Arial" w:eastAsia="Arial" w:hAnsi="Arial"/>
                <w:sz w:val="14"/>
                <w:szCs w:val="14"/>
                <w:b w:val="1"/>
                <w:bCs w:val="1"/>
                <w:color w:val="auto"/>
              </w:rPr>
              <w:t>Description</w:t>
            </w:r>
          </w:p>
        </w:tc>
        <w:tc>
          <w:tcPr>
            <w:tcW w:w="9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1"/>
              </w:rPr>
              <w:t>Schedule/</w:t>
            </w: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File No.</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Exhibit</w:t>
            </w:r>
          </w:p>
        </w:tc>
        <w:tc>
          <w:tcPr>
            <w:tcW w:w="200" w:type="dxa"/>
            <w:vAlign w:val="bottom"/>
          </w:tcPr>
          <w:p>
            <w:pPr>
              <w:spacing w:after="0"/>
              <w:rPr>
                <w:sz w:val="10"/>
                <w:szCs w:val="10"/>
                <w:color w:val="auto"/>
              </w:rPr>
            </w:pPr>
          </w:p>
        </w:tc>
        <w:tc>
          <w:tcPr>
            <w:tcW w:w="14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7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320" w:type="dxa"/>
            <w:vAlign w:val="bottom"/>
            <w:gridSpan w:val="11"/>
            <w:vMerge w:val="continue"/>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Form</w:t>
            </w:r>
          </w:p>
        </w:tc>
        <w:tc>
          <w:tcPr>
            <w:tcW w:w="12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520" w:type="dxa"/>
            <w:vAlign w:val="bottom"/>
          </w:tcPr>
          <w:p>
            <w:pPr>
              <w:spacing w:after="0"/>
              <w:rPr>
                <w:sz w:val="14"/>
                <w:szCs w:val="14"/>
                <w:color w:val="auto"/>
              </w:rPr>
            </w:pPr>
          </w:p>
        </w:tc>
        <w:tc>
          <w:tcPr>
            <w:tcW w:w="4880" w:type="dxa"/>
            <w:vAlign w:val="bottom"/>
            <w:tcBorders>
              <w:top w:val="single" w:sz="8" w:color="auto"/>
              <w:bottom w:val="single" w:sz="8" w:color="0000EE"/>
            </w:tcBorders>
            <w:gridSpan w:val="9"/>
          </w:tcPr>
          <w:p>
            <w:pPr>
              <w:spacing w:after="0" w:line="169"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Agreement and Plan of Merger, dated as of October 6, 2021, by and</w:t>
              </w:r>
            </w:hyperlink>
          </w:p>
        </w:tc>
        <w:tc>
          <w:tcPr>
            <w:tcW w:w="120" w:type="dxa"/>
            <w:vAlign w:val="bottom"/>
            <w:tcBorders>
              <w:top w:val="single" w:sz="8" w:color="auto"/>
            </w:tcBorders>
            <w:gridSpan w:val="2"/>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among Supernova Partners Acquisition Company II, Ltd., Supernova</w:t>
              </w:r>
            </w:hyperlink>
          </w:p>
        </w:tc>
        <w:tc>
          <w:tcPr>
            <w:tcW w:w="36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Merger Sub, Inc., Supernova Romeo Merger Sub, LLC and Rigetti</w:t>
              </w:r>
            </w:hyperlink>
          </w:p>
        </w:tc>
        <w:tc>
          <w:tcPr>
            <w:tcW w:w="52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40" w:type="dxa"/>
            <w:vAlign w:val="bottom"/>
            <w:gridSpan w:val="12"/>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Holdings, Inc.</w:t>
              </w:r>
            </w:hyperlink>
          </w:p>
        </w:tc>
        <w:tc>
          <w:tcPr>
            <w:tcW w:w="9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w w:val="95"/>
              </w:rPr>
              <w:t>001-40140</w:t>
            </w:r>
          </w:p>
        </w:tc>
        <w:tc>
          <w:tcPr>
            <w:tcW w:w="6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2.1</w:t>
            </w:r>
          </w:p>
        </w:tc>
        <w:tc>
          <w:tcPr>
            <w:tcW w:w="16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October 6, 2021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520" w:type="dxa"/>
            <w:vAlign w:val="bottom"/>
          </w:tcPr>
          <w:p>
            <w:pPr>
              <w:spacing w:after="0"/>
              <w:rPr>
                <w:sz w:val="17"/>
                <w:szCs w:val="17"/>
                <w:color w:val="auto"/>
              </w:rPr>
            </w:pPr>
          </w:p>
        </w:tc>
        <w:tc>
          <w:tcPr>
            <w:tcW w:w="5340" w:type="dxa"/>
            <w:vAlign w:val="bottom"/>
            <w:gridSpan w:val="12"/>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First Amendment to Agreement and Plan of Merger, dated as of</w:t>
              </w:r>
            </w:hyperlink>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December 23, 2021, by and among Supernova Partners Acquisition</w:t>
              </w:r>
            </w:hyperlink>
          </w:p>
        </w:tc>
        <w:tc>
          <w:tcPr>
            <w:tcW w:w="48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Company II, Ltd., Supernova Merger Sub, Inc., Supernova Romeo</w:t>
              </w:r>
            </w:hyperlink>
          </w:p>
        </w:tc>
        <w:tc>
          <w:tcPr>
            <w:tcW w:w="54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40" w:type="dxa"/>
            <w:vAlign w:val="bottom"/>
            <w:gridSpan w:val="12"/>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Merger Sub, LLC and Rigetti Holdings, Inc.</w:t>
              </w:r>
            </w:hyperlink>
          </w:p>
        </w:tc>
        <w:tc>
          <w:tcPr>
            <w:tcW w:w="9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w w:val="95"/>
              </w:rPr>
              <w:t>001-40140</w:t>
            </w:r>
          </w:p>
        </w:tc>
        <w:tc>
          <w:tcPr>
            <w:tcW w:w="6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2.1</w:t>
            </w:r>
          </w:p>
        </w:tc>
        <w:tc>
          <w:tcPr>
            <w:tcW w:w="1620" w:type="dxa"/>
            <w:vAlign w:val="bottom"/>
            <w:gridSpan w:val="2"/>
          </w:tcPr>
          <w:p>
            <w:pPr>
              <w:ind w:left="200"/>
              <w:spacing w:after="0" w:line="196" w:lineRule="exact"/>
              <w:rPr>
                <w:sz w:val="20"/>
                <w:szCs w:val="20"/>
                <w:color w:val="auto"/>
              </w:rPr>
            </w:pPr>
            <w:r>
              <w:rPr>
                <w:rFonts w:ascii="Arial" w:cs="Arial" w:eastAsia="Arial" w:hAnsi="Arial"/>
                <w:sz w:val="18"/>
                <w:szCs w:val="18"/>
                <w:color w:val="auto"/>
                <w:w w:val="88"/>
              </w:rPr>
              <w:t>December 23, 2021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2.3</w:t>
            </w:r>
          </w:p>
        </w:tc>
        <w:tc>
          <w:tcPr>
            <w:tcW w:w="520" w:type="dxa"/>
            <w:vAlign w:val="bottom"/>
          </w:tcPr>
          <w:p>
            <w:pPr>
              <w:spacing w:after="0"/>
              <w:rPr>
                <w:sz w:val="17"/>
                <w:szCs w:val="17"/>
                <w:color w:val="auto"/>
              </w:rPr>
            </w:pPr>
          </w:p>
        </w:tc>
        <w:tc>
          <w:tcPr>
            <w:tcW w:w="5340" w:type="dxa"/>
            <w:vAlign w:val="bottom"/>
            <w:gridSpan w:val="12"/>
          </w:tcPr>
          <w:p>
            <w:pPr>
              <w:spacing w:after="0" w:line="196" w:lineRule="exact"/>
              <w:rPr>
                <w:rFonts w:ascii="Arial" w:cs="Arial" w:eastAsia="Arial" w:hAnsi="Arial"/>
                <w:sz w:val="18"/>
                <w:szCs w:val="18"/>
                <w:color w:val="0000EE"/>
                <w:w w:val="99"/>
              </w:rPr>
            </w:pPr>
            <w:hyperlink r:id="rId165">
              <w:r>
                <w:rPr>
                  <w:rFonts w:ascii="Arial" w:cs="Arial" w:eastAsia="Arial" w:hAnsi="Arial"/>
                  <w:sz w:val="18"/>
                  <w:szCs w:val="18"/>
                  <w:color w:val="0000EE"/>
                  <w:w w:val="99"/>
                </w:rPr>
                <w:t>Second Amendment to Agreement and Plan of Merger, dated as of</w:t>
              </w:r>
            </w:hyperlink>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January 10, 2022, by and among Supernova Partners Acquisition</w:t>
              </w:r>
            </w:hyperlink>
          </w:p>
        </w:tc>
        <w:tc>
          <w:tcPr>
            <w:tcW w:w="100" w:type="dxa"/>
            <w:vAlign w:val="bottom"/>
            <w:tcBorders>
              <w:top w:val="single" w:sz="8" w:color="0000EE"/>
            </w:tcBorders>
          </w:tcPr>
          <w:p>
            <w:pPr>
              <w:spacing w:after="0"/>
              <w:rPr>
                <w:sz w:val="17"/>
                <w:szCs w:val="17"/>
                <w:color w:val="auto"/>
              </w:rPr>
            </w:pPr>
          </w:p>
        </w:tc>
        <w:tc>
          <w:tcPr>
            <w:tcW w:w="56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Company II, Ltd., Supernova Merger Sub, Inc., Supernova Romeo</w:t>
              </w:r>
            </w:hyperlink>
          </w:p>
        </w:tc>
        <w:tc>
          <w:tcPr>
            <w:tcW w:w="54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40" w:type="dxa"/>
            <w:vAlign w:val="bottom"/>
            <w:gridSpan w:val="12"/>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Merger Sub, LLC and Rigetti Holdings, Inc.</w:t>
              </w:r>
            </w:hyperlink>
          </w:p>
        </w:tc>
        <w:tc>
          <w:tcPr>
            <w:tcW w:w="9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w w:val="95"/>
              </w:rPr>
              <w:t>001-40140</w:t>
            </w:r>
          </w:p>
        </w:tc>
        <w:tc>
          <w:tcPr>
            <w:tcW w:w="6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2.1</w:t>
            </w:r>
          </w:p>
        </w:tc>
        <w:tc>
          <w:tcPr>
            <w:tcW w:w="16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January 10, 2022</w:t>
            </w:r>
          </w:p>
        </w:tc>
        <w:tc>
          <w:tcPr>
            <w:tcW w:w="0" w:type="dxa"/>
            <w:vAlign w:val="bottom"/>
          </w:tcPr>
          <w:p>
            <w:pPr>
              <w:spacing w:after="0"/>
              <w:rPr>
                <w:sz w:val="1"/>
                <w:szCs w:val="1"/>
                <w:color w:val="auto"/>
              </w:rPr>
            </w:pPr>
          </w:p>
        </w:tc>
      </w:tr>
      <w:tr>
        <w:trPr>
          <w:trHeight w:val="385"/>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Borders>
              <w:top w:val="single" w:sz="8" w:color="0000EE"/>
            </w:tcBorders>
            <w:gridSpan w:val="2"/>
          </w:tcPr>
          <w:p>
            <w:pPr>
              <w:spacing w:after="0"/>
              <w:rPr>
                <w:sz w:val="24"/>
                <w:szCs w:val="24"/>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Exhibit No.</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20"/>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76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gridSpan w:val="24"/>
          </w:tcPr>
          <w:p>
            <w:pPr>
              <w:spacing w:after="0" w:line="169" w:lineRule="exact"/>
              <w:rPr>
                <w:rFonts w:ascii="Arial" w:cs="Arial" w:eastAsia="Arial" w:hAnsi="Arial"/>
                <w:sz w:val="18"/>
                <w:szCs w:val="18"/>
                <w:color w:val="0000EE"/>
              </w:rPr>
            </w:pPr>
            <w:hyperlink r:id="rId167">
              <w:r>
                <w:rPr>
                  <w:rFonts w:ascii="Arial" w:cs="Arial" w:eastAsia="Arial" w:hAnsi="Arial"/>
                  <w:sz w:val="18"/>
                  <w:szCs w:val="18"/>
                  <w:color w:val="0000EE"/>
                </w:rPr>
                <w:t>Certificate of Incorporation of Rigetti Computing, Inc.</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4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Amended and Restated Bylaws of Rigetti Computing, Inc.</w:t>
              </w:r>
            </w:hyperlink>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440" w:type="dxa"/>
            <w:vAlign w:val="bottom"/>
          </w:tcPr>
          <w:p>
            <w:pPr>
              <w:spacing w:after="0"/>
              <w:rPr>
                <w:sz w:val="17"/>
                <w:szCs w:val="17"/>
                <w:color w:val="auto"/>
              </w:rPr>
            </w:pPr>
          </w:p>
        </w:tc>
        <w:tc>
          <w:tcPr>
            <w:tcW w:w="4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Specimen Common Stock Certificate.</w:t>
              </w:r>
            </w:hyperlink>
          </w:p>
        </w:tc>
        <w:tc>
          <w:tcPr>
            <w:tcW w:w="760" w:type="dxa"/>
            <w:vAlign w:val="bottom"/>
            <w:gridSpan w:val="12"/>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4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Specimen Warrant Certificate.</w:t>
              </w:r>
            </w:hyperlink>
          </w:p>
        </w:tc>
        <w:tc>
          <w:tcPr>
            <w:tcW w:w="540" w:type="dxa"/>
            <w:vAlign w:val="bottom"/>
            <w:tcBorders>
              <w:top w:val="single" w:sz="8" w:color="0000EE"/>
            </w:tcBorders>
          </w:tcPr>
          <w:p>
            <w:pPr>
              <w:spacing w:after="0"/>
              <w:rPr>
                <w:sz w:val="17"/>
                <w:szCs w:val="17"/>
                <w:color w:val="auto"/>
              </w:rPr>
            </w:pPr>
          </w:p>
        </w:tc>
        <w:tc>
          <w:tcPr>
            <w:tcW w:w="2240" w:type="dxa"/>
            <w:vAlign w:val="bottom"/>
            <w:gridSpan w:val="18"/>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44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w w:val="99"/>
              </w:rPr>
            </w:pPr>
            <w:hyperlink r:id="rId171">
              <w:r>
                <w:rPr>
                  <w:rFonts w:ascii="Arial" w:cs="Arial" w:eastAsia="Arial" w:hAnsi="Arial"/>
                  <w:sz w:val="18"/>
                  <w:szCs w:val="18"/>
                  <w:color w:val="0000EE"/>
                  <w:w w:val="99"/>
                </w:rPr>
                <w:t>Warrant Agreement between American Stock Transfer &amp; Trust</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w w:val="96"/>
              </w:rPr>
            </w:pPr>
            <w:hyperlink r:id="rId171">
              <w:r>
                <w:rPr>
                  <w:rFonts w:ascii="Arial" w:cs="Arial" w:eastAsia="Arial" w:hAnsi="Arial"/>
                  <w:sz w:val="18"/>
                  <w:szCs w:val="18"/>
                  <w:color w:val="0000EE"/>
                  <w:w w:val="96"/>
                </w:rPr>
                <w:t>Company, LLC and Supernova Partners Acquisition Company II,</w:t>
              </w:r>
            </w:hyperlink>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Ltd., dated March 1, 2021.</w:t>
              </w:r>
            </w:hyperlink>
          </w:p>
        </w:tc>
        <w:tc>
          <w:tcPr>
            <w:tcW w:w="2780" w:type="dxa"/>
            <w:vAlign w:val="bottom"/>
            <w:tcBorders>
              <w:top w:val="single" w:sz="8" w:color="0000EE"/>
            </w:tcBorders>
            <w:gridSpan w:val="16"/>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440" w:type="dxa"/>
            <w:vAlign w:val="bottom"/>
          </w:tcPr>
          <w:p>
            <w:pPr>
              <w:spacing w:after="0"/>
              <w:rPr>
                <w:sz w:val="17"/>
                <w:szCs w:val="17"/>
                <w:color w:val="auto"/>
              </w:rPr>
            </w:pPr>
          </w:p>
        </w:tc>
        <w:tc>
          <w:tcPr>
            <w:tcW w:w="29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Description of the Registrant’s Securities</w:t>
            </w:r>
          </w:p>
        </w:tc>
        <w:tc>
          <w:tcPr>
            <w:tcW w:w="2000" w:type="dxa"/>
            <w:vAlign w:val="bottom"/>
            <w:gridSpan w:val="16"/>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44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w w:val="99"/>
              </w:rPr>
            </w:pPr>
            <w:hyperlink r:id="rId172">
              <w:r>
                <w:rPr>
                  <w:rFonts w:ascii="Arial" w:cs="Arial" w:eastAsia="Arial" w:hAnsi="Arial"/>
                  <w:sz w:val="18"/>
                  <w:szCs w:val="18"/>
                  <w:color w:val="0000EE"/>
                  <w:w w:val="99"/>
                </w:rPr>
                <w:t>Amended and Restated Registration Rights Agreement, dated</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March 2, 2022, by and among New Rigetti, the Sponsor and the</w:t>
              </w:r>
            </w:hyperlink>
          </w:p>
        </w:tc>
        <w:tc>
          <w:tcPr>
            <w:tcW w:w="360" w:type="dxa"/>
            <w:vAlign w:val="bottom"/>
            <w:gridSpan w:val="7"/>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other holders party thereto.</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44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Form of Subscription Agreement for PIPE Financing.</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440" w:type="dxa"/>
            <w:vAlign w:val="bottom"/>
          </w:tcPr>
          <w:p>
            <w:pPr>
              <w:spacing w:after="0"/>
              <w:rPr>
                <w:sz w:val="17"/>
                <w:szCs w:val="17"/>
                <w:color w:val="auto"/>
              </w:rPr>
            </w:pPr>
          </w:p>
        </w:tc>
        <w:tc>
          <w:tcPr>
            <w:tcW w:w="470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Sponsor Support Agreement, dated as of October 6, 2021, by and</w:t>
              </w:r>
            </w:hyperlink>
          </w:p>
        </w:tc>
        <w:tc>
          <w:tcPr>
            <w:tcW w:w="260" w:type="dxa"/>
            <w:vAlign w:val="bottom"/>
            <w:gridSpan w:val="5"/>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among Supernova Partners Acquisition Company II, Ltd., Rigetti</w:t>
              </w:r>
            </w:hyperlink>
          </w:p>
        </w:tc>
        <w:tc>
          <w:tcPr>
            <w:tcW w:w="26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Holdings, Inc., Supernova Partners II LLC and certain other parties</w:t>
              </w:r>
            </w:hyperlink>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thereto.</w:t>
              </w:r>
            </w:hyperlink>
          </w:p>
        </w:tc>
        <w:tc>
          <w:tcPr>
            <w:tcW w:w="120" w:type="dxa"/>
            <w:vAlign w:val="bottom"/>
            <w:gridSpan w:val="3"/>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44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Rigetti Holders Support Agreement, dated as of October 6, 2021, by</w:t>
              </w:r>
            </w:hyperlink>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00" w:type="dxa"/>
            <w:vAlign w:val="bottom"/>
            <w:tcBorders>
              <w:top w:val="single" w:sz="8" w:color="0000EE"/>
            </w:tcBorders>
            <w:gridSpan w:val="23"/>
          </w:tcPr>
          <w:p>
            <w:pPr>
              <w:spacing w:after="0" w:line="196"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and among Supernova Partners Acquisition Company II, Ltd.,</w:t>
              </w:r>
            </w:hyperlink>
          </w:p>
        </w:tc>
        <w:tc>
          <w:tcPr>
            <w:tcW w:w="6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Rigetti Holdings, Inc. and certain other parties thereto.</w:t>
              </w:r>
            </w:hyperlink>
          </w:p>
        </w:tc>
        <w:tc>
          <w:tcPr>
            <w:tcW w:w="500" w:type="dxa"/>
            <w:vAlign w:val="bottom"/>
            <w:gridSpan w:val="9"/>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44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Letter Agreement, dated as of March 1, 2021, among Supernova, the</w:t>
              </w:r>
            </w:hyperlink>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Sponsor and Supernova’s officers and directors.</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440" w:type="dxa"/>
            <w:vAlign w:val="bottom"/>
          </w:tcPr>
          <w:p>
            <w:pPr>
              <w:spacing w:after="0"/>
              <w:rPr>
                <w:sz w:val="17"/>
                <w:szCs w:val="17"/>
                <w:color w:val="auto"/>
              </w:rPr>
            </w:pPr>
          </w:p>
        </w:tc>
        <w:tc>
          <w:tcPr>
            <w:tcW w:w="44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77">
              <w:r>
                <w:rPr>
                  <w:rFonts w:ascii="Arial" w:cs="Arial" w:eastAsia="Arial" w:hAnsi="Arial"/>
                  <w:sz w:val="18"/>
                  <w:szCs w:val="18"/>
                  <w:color w:val="0000EE"/>
                  <w:w w:val="90"/>
                </w:rPr>
                <w:t>Loan and Security Agreement dated March 10, 2021, by and</w:t>
              </w:r>
            </w:hyperlink>
          </w:p>
        </w:tc>
        <w:tc>
          <w:tcPr>
            <w:tcW w:w="540" w:type="dxa"/>
            <w:vAlign w:val="bottom"/>
            <w:gridSpan w:val="11"/>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between Rigetti and Trinity Capital Inc.</w:t>
              </w:r>
            </w:hyperlink>
          </w:p>
        </w:tc>
        <w:tc>
          <w:tcPr>
            <w:tcW w:w="2100" w:type="dxa"/>
            <w:vAlign w:val="bottom"/>
            <w:gridSpan w:val="17"/>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440" w:type="dxa"/>
            <w:vAlign w:val="bottom"/>
          </w:tcPr>
          <w:p>
            <w:pPr>
              <w:spacing w:after="0"/>
              <w:rPr>
                <w:sz w:val="17"/>
                <w:szCs w:val="17"/>
                <w:color w:val="auto"/>
              </w:rPr>
            </w:pPr>
          </w:p>
        </w:tc>
        <w:tc>
          <w:tcPr>
            <w:tcW w:w="4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Amendment No. 1 to Trinity Loan and Security Agreement dated</w:t>
              </w:r>
            </w:hyperlink>
          </w:p>
        </w:tc>
        <w:tc>
          <w:tcPr>
            <w:tcW w:w="26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May 18, 2021, by and between Rigetti and Trinity Capital Inc.</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440" w:type="dxa"/>
            <w:vAlign w:val="bottom"/>
          </w:tcPr>
          <w:p>
            <w:pPr>
              <w:spacing w:after="0"/>
              <w:rPr>
                <w:sz w:val="17"/>
                <w:szCs w:val="17"/>
                <w:color w:val="auto"/>
              </w:rPr>
            </w:pPr>
          </w:p>
        </w:tc>
        <w:tc>
          <w:tcPr>
            <w:tcW w:w="4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Amendment No. 2 to Trinity Loan and Security Agreement dated</w:t>
              </w:r>
            </w:hyperlink>
          </w:p>
        </w:tc>
        <w:tc>
          <w:tcPr>
            <w:tcW w:w="26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October 21, 2021, by and between Rigetti and Trinity Capital Inc.</w:t>
              </w:r>
            </w:hyperlink>
          </w:p>
        </w:tc>
        <w:tc>
          <w:tcPr>
            <w:tcW w:w="220" w:type="dxa"/>
            <w:vAlign w:val="bottom"/>
            <w:gridSpan w:val="4"/>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440" w:type="dxa"/>
            <w:vAlign w:val="bottom"/>
          </w:tcPr>
          <w:p>
            <w:pPr>
              <w:spacing w:after="0"/>
              <w:rPr>
                <w:sz w:val="17"/>
                <w:szCs w:val="17"/>
                <w:color w:val="auto"/>
              </w:rPr>
            </w:pPr>
          </w:p>
        </w:tc>
        <w:tc>
          <w:tcPr>
            <w:tcW w:w="4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Amendment No. 3 to Trinity Loan and Security Agreement dated</w:t>
              </w:r>
            </w:hyperlink>
          </w:p>
        </w:tc>
        <w:tc>
          <w:tcPr>
            <w:tcW w:w="26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January 27, 2022, by and between Rigetti &amp; Co. LLC and Trinity</w:t>
              </w:r>
            </w:hyperlink>
          </w:p>
        </w:tc>
        <w:tc>
          <w:tcPr>
            <w:tcW w:w="26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Capital Inc.</w:t>
              </w:r>
            </w:hyperlink>
          </w:p>
        </w:tc>
        <w:tc>
          <w:tcPr>
            <w:tcW w:w="4120" w:type="dxa"/>
            <w:vAlign w:val="bottom"/>
            <w:gridSpan w:val="22"/>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44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Guaranty Agreement dated January 27, 2022, by and between</w:t>
              </w:r>
            </w:hyperlink>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Rigetti Holdings, Inc. and Trinity Capital Inc.</w:t>
              </w:r>
            </w:hyperlink>
          </w:p>
        </w:tc>
        <w:tc>
          <w:tcPr>
            <w:tcW w:w="520" w:type="dxa"/>
            <w:vAlign w:val="bottom"/>
            <w:gridSpan w:val="10"/>
          </w:tcPr>
          <w:p>
            <w:pPr>
              <w:spacing w:after="0"/>
              <w:rPr>
                <w:sz w:val="17"/>
                <w:szCs w:val="17"/>
                <w:color w:val="auto"/>
              </w:rPr>
            </w:pPr>
          </w:p>
        </w:tc>
      </w:tr>
      <w:tr>
        <w:trPr>
          <w:trHeight w:val="385"/>
        </w:trPr>
        <w:tc>
          <w:tcPr>
            <w:tcW w:w="76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3260" w:type="dxa"/>
            <w:vAlign w:val="bottom"/>
            <w:tcBorders>
              <w:top w:val="single" w:sz="8" w:color="0000EE"/>
            </w:tcBorders>
            <w:gridSpan w:val="9"/>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92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7"/>
              </w:rPr>
              <w:t>Schedule/</w:t>
            </w:r>
          </w:p>
        </w:tc>
        <w:tc>
          <w:tcPr>
            <w:tcW w:w="126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76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Exhibit</w:t>
            </w:r>
          </w:p>
        </w:tc>
        <w:tc>
          <w:tcPr>
            <w:tcW w:w="1640" w:type="dxa"/>
            <w:vAlign w:val="bottom"/>
            <w:tcBorders>
              <w:top w:val="single" w:sz="8" w:color="auto"/>
            </w:tcBorders>
            <w:vMerge w:val="restart"/>
          </w:tcPr>
          <w:p>
            <w:pPr>
              <w:jc w:val="right"/>
              <w:ind w:right="391"/>
              <w:spacing w:after="0"/>
              <w:rPr>
                <w:sz w:val="20"/>
                <w:szCs w:val="20"/>
                <w:color w:val="auto"/>
              </w:rPr>
            </w:pPr>
            <w:r>
              <w:rPr>
                <w:rFonts w:ascii="Arial" w:cs="Arial" w:eastAsia="Arial" w:hAnsi="Arial"/>
                <w:sz w:val="14"/>
                <w:szCs w:val="14"/>
                <w:b w:val="1"/>
                <w:bCs w:val="1"/>
                <w:color w:val="auto"/>
              </w:rPr>
              <w:t>Filing Date</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Form</w:t>
            </w:r>
          </w:p>
        </w:tc>
        <w:tc>
          <w:tcPr>
            <w:tcW w:w="12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8-K</w:t>
            </w:r>
          </w:p>
        </w:tc>
        <w:tc>
          <w:tcPr>
            <w:tcW w:w="28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001-40140</w:t>
            </w:r>
          </w:p>
        </w:tc>
        <w:tc>
          <w:tcPr>
            <w:tcW w:w="26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6"/>
                <w:szCs w:val="16"/>
                <w:color w:val="auto"/>
              </w:rPr>
            </w:pPr>
          </w:p>
        </w:tc>
        <w:tc>
          <w:tcPr>
            <w:tcW w:w="1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March 7,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November 14, 2022</w:t>
            </w:r>
          </w:p>
        </w:tc>
        <w:tc>
          <w:tcPr>
            <w:tcW w:w="0" w:type="dxa"/>
            <w:vAlign w:val="bottom"/>
          </w:tcPr>
          <w:p>
            <w:pPr>
              <w:spacing w:after="0"/>
              <w:rPr>
                <w:sz w:val="1"/>
                <w:szCs w:val="1"/>
                <w:color w:val="auto"/>
              </w:rPr>
            </w:pPr>
          </w:p>
        </w:tc>
      </w:tr>
      <w:tr>
        <w:trPr>
          <w:trHeight w:val="216"/>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230"/>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648"/>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March 4, 2021</w:t>
            </w:r>
          </w:p>
        </w:tc>
        <w:tc>
          <w:tcPr>
            <w:tcW w:w="0" w:type="dxa"/>
            <w:vAlign w:val="bottom"/>
          </w:tcPr>
          <w:p>
            <w:pPr>
              <w:spacing w:after="0"/>
              <w:rPr>
                <w:sz w:val="1"/>
                <w:szCs w:val="1"/>
                <w:color w:val="auto"/>
              </w:rPr>
            </w:pPr>
          </w:p>
        </w:tc>
      </w:tr>
      <w:tr>
        <w:trPr>
          <w:trHeight w:val="850"/>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230"/>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October 6, 2021</w:t>
            </w:r>
          </w:p>
        </w:tc>
        <w:tc>
          <w:tcPr>
            <w:tcW w:w="0" w:type="dxa"/>
            <w:vAlign w:val="bottom"/>
          </w:tcPr>
          <w:p>
            <w:pPr>
              <w:spacing w:after="0"/>
              <w:rPr>
                <w:sz w:val="1"/>
                <w:szCs w:val="1"/>
                <w:color w:val="auto"/>
              </w:rPr>
            </w:pPr>
          </w:p>
        </w:tc>
      </w:tr>
      <w:tr>
        <w:trPr>
          <w:trHeight w:val="864"/>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October 6, 2021</w:t>
            </w:r>
          </w:p>
        </w:tc>
        <w:tc>
          <w:tcPr>
            <w:tcW w:w="0" w:type="dxa"/>
            <w:vAlign w:val="bottom"/>
          </w:tcPr>
          <w:p>
            <w:pPr>
              <w:spacing w:after="0"/>
              <w:rPr>
                <w:sz w:val="1"/>
                <w:szCs w:val="1"/>
                <w:color w:val="auto"/>
              </w:rPr>
            </w:pPr>
          </w:p>
        </w:tc>
      </w:tr>
      <w:tr>
        <w:trPr>
          <w:trHeight w:val="648"/>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October 6, 2021</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March 4, 2021</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S-4/A</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10.14</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S-4/A</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10.15</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S-4/A</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10.16</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648"/>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S-4/A</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10.17</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S-4/A</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10.18</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bl>
    <w:p>
      <w:pPr>
        <w:sectPr>
          <w:pgSz w:w="11900" w:h="16838" w:orient="portrait"/>
          <w:cols w:equalWidth="0" w:num="2">
            <w:col w:w="6280" w:space="200"/>
            <w:col w:w="4580"/>
          </w:cols>
          <w:pgMar w:left="320" w:top="486" w:right="51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980" w:type="dxa"/>
            <w:vAlign w:val="bottom"/>
            <w:gridSpan w:val="24"/>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7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10.11</w:t>
            </w:r>
          </w:p>
        </w:tc>
        <w:tc>
          <w:tcPr>
            <w:tcW w:w="440" w:type="dxa"/>
            <w:vAlign w:val="bottom"/>
          </w:tcPr>
          <w:p>
            <w:pPr>
              <w:spacing w:after="0"/>
              <w:rPr>
                <w:sz w:val="14"/>
                <w:szCs w:val="14"/>
                <w:color w:val="auto"/>
              </w:rPr>
            </w:pPr>
          </w:p>
        </w:tc>
        <w:tc>
          <w:tcPr>
            <w:tcW w:w="4800" w:type="dxa"/>
            <w:vAlign w:val="bottom"/>
            <w:tcBorders>
              <w:top w:val="single" w:sz="8" w:color="auto"/>
              <w:bottom w:val="single" w:sz="8" w:color="0000EE"/>
            </w:tcBorders>
            <w:gridSpan w:val="22"/>
          </w:tcPr>
          <w:p>
            <w:pPr>
              <w:spacing w:after="0" w:line="169" w:lineRule="exact"/>
              <w:rPr>
                <w:rFonts w:ascii="Arial" w:cs="Arial" w:eastAsia="Arial" w:hAnsi="Arial"/>
                <w:sz w:val="18"/>
                <w:szCs w:val="18"/>
                <w:color w:val="0000EE"/>
                <w:w w:val="88"/>
              </w:rPr>
            </w:pPr>
            <w:hyperlink r:id="rId183">
              <w:r>
                <w:rPr>
                  <w:rFonts w:ascii="Arial" w:cs="Arial" w:eastAsia="Arial" w:hAnsi="Arial"/>
                  <w:sz w:val="18"/>
                  <w:szCs w:val="18"/>
                  <w:color w:val="0000EE"/>
                  <w:w w:val="88"/>
                </w:rPr>
                <w:t>Amended and Restated Warrant to Purchase Stock, dated March 9,</w:t>
              </w:r>
            </w:hyperlink>
          </w:p>
        </w:tc>
        <w:tc>
          <w:tcPr>
            <w:tcW w:w="260" w:type="dxa"/>
            <w:vAlign w:val="bottom"/>
            <w:tcBorders>
              <w:top w:val="single" w:sz="8" w:color="auto"/>
            </w:tcBorders>
            <w:gridSpan w:val="4"/>
          </w:tcPr>
          <w:p>
            <w:pPr>
              <w:spacing w:after="0"/>
              <w:rPr>
                <w:sz w:val="14"/>
                <w:szCs w:val="14"/>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60" w:type="dxa"/>
            <w:vAlign w:val="bottom"/>
            <w:gridSpan w:val="26"/>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2021, issued to Trinity Capital Inc. by Rigetti &amp; Co, Inc.</w:t>
              </w:r>
            </w:hyperlink>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440" w:type="dxa"/>
            <w:vAlign w:val="bottom"/>
          </w:tcPr>
          <w:p>
            <w:pPr>
              <w:spacing w:after="0"/>
              <w:rPr>
                <w:sz w:val="17"/>
                <w:szCs w:val="17"/>
                <w:color w:val="auto"/>
              </w:rPr>
            </w:pPr>
          </w:p>
        </w:tc>
        <w:tc>
          <w:tcPr>
            <w:tcW w:w="5060" w:type="dxa"/>
            <w:vAlign w:val="bottom"/>
            <w:gridSpan w:val="26"/>
          </w:tcPr>
          <w:p>
            <w:pPr>
              <w:spacing w:after="0" w:line="196" w:lineRule="exact"/>
              <w:rPr>
                <w:rFonts w:ascii="Arial" w:cs="Arial" w:eastAsia="Arial" w:hAnsi="Arial"/>
                <w:sz w:val="18"/>
                <w:szCs w:val="18"/>
                <w:color w:val="0000EE"/>
                <w:w w:val="99"/>
              </w:rPr>
            </w:pPr>
            <w:hyperlink r:id="rId184">
              <w:r>
                <w:rPr>
                  <w:rFonts w:ascii="Arial" w:cs="Arial" w:eastAsia="Arial" w:hAnsi="Arial"/>
                  <w:sz w:val="18"/>
                  <w:szCs w:val="18"/>
                  <w:color w:val="0000EE"/>
                  <w:w w:val="99"/>
                </w:rPr>
                <w:t>Manufacturing Agreement dated May 28, 2020, by and between</w:t>
              </w:r>
            </w:hyperlink>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Rigetti and Sparqtron Corporation.</w:t>
              </w:r>
            </w:hyperlink>
          </w:p>
        </w:tc>
        <w:tc>
          <w:tcPr>
            <w:tcW w:w="2100" w:type="dxa"/>
            <w:vAlign w:val="bottom"/>
            <w:tcBorders>
              <w:top w:val="single" w:sz="8" w:color="0000EE"/>
            </w:tcBorders>
            <w:gridSpan w:val="13"/>
          </w:tcPr>
          <w:p>
            <w:pPr>
              <w:spacing w:after="0"/>
              <w:rPr>
                <w:sz w:val="17"/>
                <w:szCs w:val="17"/>
                <w:color w:val="auto"/>
              </w:rPr>
            </w:pPr>
          </w:p>
        </w:tc>
        <w:tc>
          <w:tcPr>
            <w:tcW w:w="460" w:type="dxa"/>
            <w:vAlign w:val="bottom"/>
            <w:gridSpan w:val="10"/>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440" w:type="dxa"/>
            <w:vAlign w:val="bottom"/>
          </w:tcPr>
          <w:p>
            <w:pPr>
              <w:spacing w:after="0"/>
              <w:rPr>
                <w:sz w:val="17"/>
                <w:szCs w:val="17"/>
                <w:color w:val="auto"/>
              </w:rPr>
            </w:pPr>
          </w:p>
        </w:tc>
        <w:tc>
          <w:tcPr>
            <w:tcW w:w="42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Rigetti &amp; Co, Inc. 2013 Equity Incentive Plan, as amended.</w:t>
              </w:r>
            </w:hyperlink>
          </w:p>
        </w:tc>
        <w:tc>
          <w:tcPr>
            <w:tcW w:w="780" w:type="dxa"/>
            <w:vAlign w:val="bottom"/>
            <w:gridSpan w:val="15"/>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440" w:type="dxa"/>
            <w:vAlign w:val="bottom"/>
          </w:tcPr>
          <w:p>
            <w:pPr>
              <w:spacing w:after="0"/>
              <w:rPr>
                <w:sz w:val="17"/>
                <w:szCs w:val="17"/>
                <w:color w:val="auto"/>
              </w:rPr>
            </w:pPr>
          </w:p>
        </w:tc>
        <w:tc>
          <w:tcPr>
            <w:tcW w:w="45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Form of Stock Option Grant Notice and Form of Stock Option</w:t>
              </w:r>
            </w:hyperlink>
          </w:p>
        </w:tc>
        <w:tc>
          <w:tcPr>
            <w:tcW w:w="560" w:type="dxa"/>
            <w:vAlign w:val="bottom"/>
            <w:gridSpan w:val="12"/>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Agreement under Rigetti &amp; Co, Inc. 2013 Equity Incentive Plan.</w:t>
              </w:r>
            </w:hyperlink>
          </w:p>
        </w:tc>
        <w:tc>
          <w:tcPr>
            <w:tcW w:w="420" w:type="dxa"/>
            <w:vAlign w:val="bottom"/>
            <w:gridSpan w:val="9"/>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440" w:type="dxa"/>
            <w:vAlign w:val="bottom"/>
          </w:tcPr>
          <w:p>
            <w:pPr>
              <w:spacing w:after="0"/>
              <w:rPr>
                <w:sz w:val="17"/>
                <w:szCs w:val="17"/>
                <w:color w:val="auto"/>
              </w:rPr>
            </w:pPr>
          </w:p>
        </w:tc>
        <w:tc>
          <w:tcPr>
            <w:tcW w:w="48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Form of Restricted Stock Unit Grant Notice and Form of Restricted</w:t>
              </w:r>
            </w:hyperlink>
          </w:p>
        </w:tc>
        <w:tc>
          <w:tcPr>
            <w:tcW w:w="180" w:type="dxa"/>
            <w:vAlign w:val="bottom"/>
            <w:gridSpan w:val="2"/>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60" w:type="dxa"/>
            <w:vAlign w:val="bottom"/>
            <w:gridSpan w:val="26"/>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Stock Unit Agreement under Rigetti &amp; Co, Inc. 2013 Equity Incentive</w:t>
              </w:r>
            </w:hyperlink>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2"/>
              </w:rPr>
            </w:pPr>
            <w:hyperlink r:id="rId187">
              <w:r>
                <w:rPr>
                  <w:rFonts w:ascii="Arial" w:cs="Arial" w:eastAsia="Arial" w:hAnsi="Arial"/>
                  <w:sz w:val="18"/>
                  <w:szCs w:val="18"/>
                  <w:color w:val="0000EE"/>
                  <w:w w:val="82"/>
                </w:rPr>
                <w:t>Plan.</w:t>
              </w:r>
            </w:hyperlink>
          </w:p>
        </w:tc>
        <w:tc>
          <w:tcPr>
            <w:tcW w:w="4680" w:type="dxa"/>
            <w:vAlign w:val="bottom"/>
            <w:tcBorders>
              <w:top w:val="single" w:sz="8" w:color="0000EE"/>
            </w:tcBorders>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440" w:type="dxa"/>
            <w:vAlign w:val="bottom"/>
          </w:tcPr>
          <w:p>
            <w:pPr>
              <w:spacing w:after="0"/>
              <w:rPr>
                <w:sz w:val="17"/>
                <w:szCs w:val="17"/>
                <w:color w:val="auto"/>
              </w:rPr>
            </w:pPr>
          </w:p>
        </w:tc>
        <w:tc>
          <w:tcPr>
            <w:tcW w:w="37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Rigetti Computing, Inc. 2022 Equity Incentive Plan.</w:t>
              </w:r>
            </w:hyperlink>
          </w:p>
        </w:tc>
        <w:tc>
          <w:tcPr>
            <w:tcW w:w="1300" w:type="dxa"/>
            <w:vAlign w:val="bottom"/>
            <w:gridSpan w:val="20"/>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440" w:type="dxa"/>
            <w:vAlign w:val="bottom"/>
          </w:tcPr>
          <w:p>
            <w:pPr>
              <w:spacing w:after="0"/>
              <w:rPr>
                <w:sz w:val="17"/>
                <w:szCs w:val="17"/>
                <w:color w:val="auto"/>
              </w:rPr>
            </w:pPr>
          </w:p>
        </w:tc>
        <w:tc>
          <w:tcPr>
            <w:tcW w:w="47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Form of Stock Option Grant Package under 2022 Equity Incentive</w:t>
              </w:r>
            </w:hyperlink>
          </w:p>
        </w:tc>
        <w:tc>
          <w:tcPr>
            <w:tcW w:w="280" w:type="dxa"/>
            <w:vAlign w:val="bottom"/>
            <w:gridSpan w:val="5"/>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2"/>
              </w:rPr>
            </w:pPr>
            <w:hyperlink r:id="rId189">
              <w:r>
                <w:rPr>
                  <w:rFonts w:ascii="Arial" w:cs="Arial" w:eastAsia="Arial" w:hAnsi="Arial"/>
                  <w:sz w:val="18"/>
                  <w:szCs w:val="18"/>
                  <w:color w:val="0000EE"/>
                  <w:w w:val="82"/>
                </w:rPr>
                <w:t>Plan.</w:t>
              </w:r>
            </w:hyperlink>
          </w:p>
        </w:tc>
        <w:tc>
          <w:tcPr>
            <w:tcW w:w="4700" w:type="dxa"/>
            <w:vAlign w:val="bottom"/>
            <w:gridSpan w:val="25"/>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440" w:type="dxa"/>
            <w:vAlign w:val="bottom"/>
          </w:tcPr>
          <w:p>
            <w:pPr>
              <w:spacing w:after="0"/>
              <w:rPr>
                <w:sz w:val="17"/>
                <w:szCs w:val="17"/>
                <w:color w:val="auto"/>
              </w:rPr>
            </w:pPr>
          </w:p>
        </w:tc>
        <w:tc>
          <w:tcPr>
            <w:tcW w:w="45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Form of RSU Grant Package under 2022 Equity Incentive Plan.</w:t>
              </w:r>
            </w:hyperlink>
          </w:p>
        </w:tc>
        <w:tc>
          <w:tcPr>
            <w:tcW w:w="480" w:type="dxa"/>
            <w:vAlign w:val="bottom"/>
            <w:gridSpan w:val="11"/>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440" w:type="dxa"/>
            <w:vAlign w:val="bottom"/>
          </w:tcPr>
          <w:p>
            <w:pPr>
              <w:spacing w:after="0"/>
              <w:rPr>
                <w:sz w:val="17"/>
                <w:szCs w:val="17"/>
                <w:color w:val="auto"/>
              </w:rPr>
            </w:pPr>
          </w:p>
        </w:tc>
        <w:tc>
          <w:tcPr>
            <w:tcW w:w="47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Form of Stock Award Grant Package under 2022 Equity Incentive</w:t>
              </w:r>
            </w:hyperlink>
          </w:p>
        </w:tc>
        <w:tc>
          <w:tcPr>
            <w:tcW w:w="300" w:type="dxa"/>
            <w:vAlign w:val="bottom"/>
            <w:gridSpan w:val="6"/>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2"/>
              </w:rPr>
            </w:pPr>
            <w:hyperlink r:id="rId191">
              <w:r>
                <w:rPr>
                  <w:rFonts w:ascii="Arial" w:cs="Arial" w:eastAsia="Arial" w:hAnsi="Arial"/>
                  <w:sz w:val="18"/>
                  <w:szCs w:val="18"/>
                  <w:color w:val="0000EE"/>
                  <w:w w:val="82"/>
                </w:rPr>
                <w:t>Plan.</w:t>
              </w:r>
            </w:hyperlink>
          </w:p>
        </w:tc>
        <w:tc>
          <w:tcPr>
            <w:tcW w:w="4700" w:type="dxa"/>
            <w:vAlign w:val="bottom"/>
            <w:gridSpan w:val="25"/>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440" w:type="dxa"/>
            <w:vAlign w:val="bottom"/>
          </w:tcPr>
          <w:p>
            <w:pPr>
              <w:spacing w:after="0"/>
              <w:rPr>
                <w:sz w:val="17"/>
                <w:szCs w:val="17"/>
                <w:color w:val="auto"/>
              </w:rPr>
            </w:pPr>
          </w:p>
        </w:tc>
        <w:tc>
          <w:tcPr>
            <w:tcW w:w="44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Rigetti Computing, Inc. 2022 Employee Stock Purchase Plan.</w:t>
              </w:r>
            </w:hyperlink>
          </w:p>
        </w:tc>
        <w:tc>
          <w:tcPr>
            <w:tcW w:w="620" w:type="dxa"/>
            <w:vAlign w:val="bottom"/>
            <w:gridSpan w:val="14"/>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440" w:type="dxa"/>
            <w:vAlign w:val="bottom"/>
          </w:tcPr>
          <w:p>
            <w:pPr>
              <w:spacing w:after="0"/>
              <w:rPr>
                <w:sz w:val="17"/>
                <w:szCs w:val="17"/>
                <w:color w:val="auto"/>
              </w:rPr>
            </w:pPr>
          </w:p>
        </w:tc>
        <w:tc>
          <w:tcPr>
            <w:tcW w:w="48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Form of Indemnification Agreement by and between the Company</w:t>
              </w:r>
            </w:hyperlink>
          </w:p>
        </w:tc>
        <w:tc>
          <w:tcPr>
            <w:tcW w:w="26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60" w:type="dxa"/>
            <w:vAlign w:val="bottom"/>
            <w:gridSpan w:val="26"/>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and its directors and officers.</w:t>
              </w:r>
            </w:hyperlink>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440" w:type="dxa"/>
            <w:vAlign w:val="bottom"/>
          </w:tcPr>
          <w:p>
            <w:pPr>
              <w:spacing w:after="0"/>
              <w:rPr>
                <w:sz w:val="17"/>
                <w:szCs w:val="17"/>
                <w:color w:val="auto"/>
              </w:rPr>
            </w:pPr>
          </w:p>
        </w:tc>
        <w:tc>
          <w:tcPr>
            <w:tcW w:w="33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Non-Employee Director Compensation Policy.</w:t>
              </w:r>
            </w:hyperlink>
          </w:p>
        </w:tc>
        <w:tc>
          <w:tcPr>
            <w:tcW w:w="1700" w:type="dxa"/>
            <w:vAlign w:val="bottom"/>
            <w:gridSpan w:val="21"/>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440" w:type="dxa"/>
            <w:vAlign w:val="bottom"/>
          </w:tcPr>
          <w:p>
            <w:pPr>
              <w:spacing w:after="0"/>
              <w:rPr>
                <w:sz w:val="17"/>
                <w:szCs w:val="17"/>
                <w:color w:val="auto"/>
              </w:rPr>
            </w:pPr>
          </w:p>
        </w:tc>
        <w:tc>
          <w:tcPr>
            <w:tcW w:w="48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Lease Agreement dated August 9, 2016 by and between Rigetti and</w:t>
              </w:r>
            </w:hyperlink>
          </w:p>
        </w:tc>
        <w:tc>
          <w:tcPr>
            <w:tcW w:w="20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Prologis Limited Partnership I, as amended.</w:t>
              </w:r>
            </w:hyperlink>
          </w:p>
        </w:tc>
        <w:tc>
          <w:tcPr>
            <w:tcW w:w="1900" w:type="dxa"/>
            <w:vAlign w:val="bottom"/>
            <w:gridSpan w:val="22"/>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44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Lease Agreement dated April 15, 2015, by and among Rigetti,</w:t>
              </w:r>
            </w:hyperlink>
          </w:p>
        </w:tc>
        <w:tc>
          <w:tcPr>
            <w:tcW w:w="580" w:type="dxa"/>
            <w:vAlign w:val="bottom"/>
            <w:gridSpan w:val="1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Temescal, LP and Contra Costa Industrial Park, Ltd., as amended.</w:t>
              </w:r>
            </w:hyperlink>
          </w:p>
        </w:tc>
        <w:tc>
          <w:tcPr>
            <w:tcW w:w="320" w:type="dxa"/>
            <w:vAlign w:val="bottom"/>
            <w:gridSpan w:val="7"/>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440" w:type="dxa"/>
            <w:vAlign w:val="bottom"/>
          </w:tcPr>
          <w:p>
            <w:pPr>
              <w:spacing w:after="0"/>
              <w:rPr>
                <w:sz w:val="17"/>
                <w:szCs w:val="17"/>
                <w:color w:val="auto"/>
              </w:rPr>
            </w:pPr>
          </w:p>
        </w:tc>
        <w:tc>
          <w:tcPr>
            <w:tcW w:w="4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Amended &amp; Restated Employment Agreement, dated February 2,</w:t>
              </w:r>
            </w:hyperlink>
          </w:p>
        </w:tc>
        <w:tc>
          <w:tcPr>
            <w:tcW w:w="340" w:type="dxa"/>
            <w:vAlign w:val="bottom"/>
            <w:gridSpan w:val="8"/>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2022, between Rigetti Holdings, Inc. and Chad Rigetti.</w:t>
              </w:r>
            </w:hyperlink>
          </w:p>
        </w:tc>
        <w:tc>
          <w:tcPr>
            <w:tcW w:w="1100" w:type="dxa"/>
            <w:vAlign w:val="bottom"/>
            <w:gridSpan w:val="18"/>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440" w:type="dxa"/>
            <w:vAlign w:val="bottom"/>
          </w:tcPr>
          <w:p>
            <w:pPr>
              <w:spacing w:after="0"/>
              <w:rPr>
                <w:sz w:val="17"/>
                <w:szCs w:val="17"/>
                <w:color w:val="auto"/>
              </w:rPr>
            </w:pPr>
          </w:p>
        </w:tc>
        <w:tc>
          <w:tcPr>
            <w:tcW w:w="4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Amended &amp; Restated Employment Agreement, dated February 2,</w:t>
              </w:r>
            </w:hyperlink>
          </w:p>
        </w:tc>
        <w:tc>
          <w:tcPr>
            <w:tcW w:w="340" w:type="dxa"/>
            <w:vAlign w:val="bottom"/>
            <w:gridSpan w:val="8"/>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2022, between Rigetti Holdings, Inc. and Brian Sereda.</w:t>
              </w:r>
            </w:hyperlink>
          </w:p>
        </w:tc>
        <w:tc>
          <w:tcPr>
            <w:tcW w:w="1080" w:type="dxa"/>
            <w:vAlign w:val="bottom"/>
            <w:gridSpan w:val="17"/>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440" w:type="dxa"/>
            <w:vAlign w:val="bottom"/>
          </w:tcPr>
          <w:p>
            <w:pPr>
              <w:spacing w:after="0"/>
              <w:rPr>
                <w:sz w:val="17"/>
                <w:szCs w:val="17"/>
                <w:color w:val="auto"/>
              </w:rPr>
            </w:pPr>
          </w:p>
        </w:tc>
        <w:tc>
          <w:tcPr>
            <w:tcW w:w="4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Amended &amp; Restated Employment Agreement, dated February 2,</w:t>
              </w:r>
            </w:hyperlink>
          </w:p>
        </w:tc>
        <w:tc>
          <w:tcPr>
            <w:tcW w:w="340" w:type="dxa"/>
            <w:vAlign w:val="bottom"/>
            <w:gridSpan w:val="8"/>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60" w:type="dxa"/>
            <w:vAlign w:val="bottom"/>
            <w:gridSpan w:val="26"/>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2022, between Rigetti Holdings, Inc. and Taryn Naidu.</w:t>
              </w:r>
            </w:hyperlink>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gridSpan w:val="7"/>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0" w:type="dxa"/>
            <w:vAlign w:val="bottom"/>
            <w:gridSpan w:val="16"/>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440" w:type="dxa"/>
            <w:vAlign w:val="bottom"/>
          </w:tcPr>
          <w:p>
            <w:pPr>
              <w:spacing w:after="0"/>
              <w:rPr>
                <w:sz w:val="17"/>
                <w:szCs w:val="17"/>
                <w:color w:val="auto"/>
              </w:rPr>
            </w:pPr>
          </w:p>
        </w:tc>
        <w:tc>
          <w:tcPr>
            <w:tcW w:w="4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Amended &amp; Restated Employment Agreement, dated February 2,</w:t>
              </w:r>
            </w:hyperlink>
          </w:p>
        </w:tc>
        <w:tc>
          <w:tcPr>
            <w:tcW w:w="340" w:type="dxa"/>
            <w:vAlign w:val="bottom"/>
            <w:gridSpan w:val="8"/>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60" w:type="dxa"/>
            <w:vAlign w:val="bottom"/>
            <w:gridSpan w:val="26"/>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2022, between Rigetti Holdings, Inc. and Mike Harburn.</w:t>
              </w:r>
            </w:hyperlink>
          </w:p>
        </w:tc>
      </w:tr>
      <w:tr>
        <w:trPr>
          <w:trHeight w:val="385"/>
        </w:trPr>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60" w:type="dxa"/>
            <w:vAlign w:val="bottom"/>
            <w:tcBorders>
              <w:top w:val="single" w:sz="8" w:color="0000EE"/>
            </w:tcBorders>
            <w:gridSpan w:val="10"/>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92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Schedule/</w:t>
            </w:r>
          </w:p>
        </w:tc>
        <w:tc>
          <w:tcPr>
            <w:tcW w:w="104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4"/>
                <w:szCs w:val="14"/>
                <w:b w:val="1"/>
                <w:bCs w:val="1"/>
                <w:color w:val="auto"/>
              </w:rPr>
              <w:t>File No.</w:t>
            </w:r>
          </w:p>
        </w:tc>
        <w:tc>
          <w:tcPr>
            <w:tcW w:w="260" w:type="dxa"/>
            <w:vAlign w:val="bottom"/>
            <w:tcBorders>
              <w:top w:val="single" w:sz="8" w:color="auto"/>
            </w:tcBorders>
            <w:vMerge w:val="restart"/>
          </w:tcPr>
          <w:p>
            <w:pPr>
              <w:spacing w:after="0"/>
              <w:rPr>
                <w:sz w:val="10"/>
                <w:szCs w:val="10"/>
                <w:color w:val="auto"/>
              </w:rPr>
            </w:pPr>
          </w:p>
        </w:tc>
        <w:tc>
          <w:tcPr>
            <w:tcW w:w="5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Borders>
              <w:top w:val="single" w:sz="8" w:color="auto"/>
            </w:tcBorders>
            <w:vMerge w:val="restart"/>
          </w:tcPr>
          <w:p>
            <w:pPr>
              <w:spacing w:after="0"/>
              <w:rPr>
                <w:sz w:val="10"/>
                <w:szCs w:val="10"/>
                <w:color w:val="auto"/>
              </w:rPr>
            </w:pPr>
          </w:p>
        </w:tc>
        <w:tc>
          <w:tcPr>
            <w:tcW w:w="146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Form</w:t>
            </w:r>
          </w:p>
        </w:tc>
        <w:tc>
          <w:tcPr>
            <w:tcW w:w="26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S-4/A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10.21</w:t>
            </w:r>
          </w:p>
        </w:tc>
        <w:tc>
          <w:tcPr>
            <w:tcW w:w="1460" w:type="dxa"/>
            <w:vAlign w:val="bottom"/>
          </w:tcPr>
          <w:p>
            <w:pPr>
              <w:jc w:val="right"/>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418"/>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S-4/A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10.19</w:t>
            </w:r>
          </w:p>
        </w:tc>
        <w:tc>
          <w:tcPr>
            <w:tcW w:w="1460" w:type="dxa"/>
            <w:vAlign w:val="bottom"/>
          </w:tcPr>
          <w:p>
            <w:pPr>
              <w:jc w:val="right"/>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230"/>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10-Q</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10.21</w:t>
            </w:r>
          </w:p>
        </w:tc>
        <w:tc>
          <w:tcPr>
            <w:tcW w:w="1460" w:type="dxa"/>
            <w:vAlign w:val="bottom"/>
          </w:tcPr>
          <w:p>
            <w:pPr>
              <w:jc w:val="right"/>
              <w:spacing w:after="0"/>
              <w:rPr>
                <w:sz w:val="20"/>
                <w:szCs w:val="20"/>
                <w:color w:val="auto"/>
              </w:rPr>
            </w:pPr>
            <w:r>
              <w:rPr>
                <w:rFonts w:ascii="Arial" w:cs="Arial" w:eastAsia="Arial" w:hAnsi="Arial"/>
                <w:sz w:val="18"/>
                <w:szCs w:val="18"/>
                <w:color w:val="auto"/>
              </w:rPr>
              <w:t>May 16,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S-4/A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10.22</w:t>
            </w:r>
          </w:p>
        </w:tc>
        <w:tc>
          <w:tcPr>
            <w:tcW w:w="1460" w:type="dxa"/>
            <w:vAlign w:val="bottom"/>
          </w:tcPr>
          <w:p>
            <w:pPr>
              <w:jc w:val="right"/>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634"/>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S-4/A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10.23</w:t>
            </w:r>
          </w:p>
        </w:tc>
        <w:tc>
          <w:tcPr>
            <w:tcW w:w="1460" w:type="dxa"/>
            <w:vAlign w:val="bottom"/>
          </w:tcPr>
          <w:p>
            <w:pPr>
              <w:jc w:val="right"/>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230"/>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10.16</w:t>
            </w:r>
          </w:p>
        </w:tc>
        <w:tc>
          <w:tcPr>
            <w:tcW w:w="1460" w:type="dxa"/>
            <w:vAlign w:val="bottom"/>
          </w:tcPr>
          <w:p>
            <w:pPr>
              <w:jc w:val="right"/>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418"/>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10.17</w:t>
            </w:r>
          </w:p>
        </w:tc>
        <w:tc>
          <w:tcPr>
            <w:tcW w:w="1460" w:type="dxa"/>
            <w:vAlign w:val="bottom"/>
          </w:tcPr>
          <w:p>
            <w:pPr>
              <w:jc w:val="right"/>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230"/>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10.18</w:t>
            </w:r>
          </w:p>
        </w:tc>
        <w:tc>
          <w:tcPr>
            <w:tcW w:w="1460" w:type="dxa"/>
            <w:vAlign w:val="bottom"/>
          </w:tcPr>
          <w:p>
            <w:pPr>
              <w:jc w:val="right"/>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418"/>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10.19</w:t>
            </w:r>
          </w:p>
        </w:tc>
        <w:tc>
          <w:tcPr>
            <w:tcW w:w="1460" w:type="dxa"/>
            <w:vAlign w:val="bottom"/>
          </w:tcPr>
          <w:p>
            <w:pPr>
              <w:jc w:val="right"/>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230"/>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10.20</w:t>
            </w:r>
          </w:p>
        </w:tc>
        <w:tc>
          <w:tcPr>
            <w:tcW w:w="1460" w:type="dxa"/>
            <w:vAlign w:val="bottom"/>
          </w:tcPr>
          <w:p>
            <w:pPr>
              <w:jc w:val="right"/>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418"/>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10.21</w:t>
            </w:r>
          </w:p>
        </w:tc>
        <w:tc>
          <w:tcPr>
            <w:tcW w:w="1460" w:type="dxa"/>
            <w:vAlign w:val="bottom"/>
          </w:tcPr>
          <w:p>
            <w:pPr>
              <w:jc w:val="right"/>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230"/>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10-Q</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001-40140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460" w:type="dxa"/>
            <w:vAlign w:val="bottom"/>
          </w:tcPr>
          <w:p>
            <w:pPr>
              <w:jc w:val="right"/>
              <w:spacing w:after="0"/>
              <w:rPr>
                <w:sz w:val="20"/>
                <w:szCs w:val="20"/>
                <w:color w:val="auto"/>
              </w:rPr>
            </w:pPr>
            <w:r>
              <w:rPr>
                <w:rFonts w:ascii="Arial" w:cs="Arial" w:eastAsia="Arial" w:hAnsi="Arial"/>
                <w:sz w:val="18"/>
                <w:szCs w:val="18"/>
                <w:color w:val="auto"/>
              </w:rPr>
              <w:t>August 12,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S-4/A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10.12</w:t>
            </w:r>
          </w:p>
        </w:tc>
        <w:tc>
          <w:tcPr>
            <w:tcW w:w="1460" w:type="dxa"/>
            <w:vAlign w:val="bottom"/>
          </w:tcPr>
          <w:p>
            <w:pPr>
              <w:jc w:val="right"/>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S-4/A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10.13</w:t>
            </w:r>
          </w:p>
        </w:tc>
        <w:tc>
          <w:tcPr>
            <w:tcW w:w="1460" w:type="dxa"/>
            <w:vAlign w:val="bottom"/>
          </w:tcPr>
          <w:p>
            <w:pPr>
              <w:jc w:val="right"/>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S-4/A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10.24</w:t>
            </w:r>
          </w:p>
        </w:tc>
        <w:tc>
          <w:tcPr>
            <w:tcW w:w="1460" w:type="dxa"/>
            <w:vAlign w:val="bottom"/>
          </w:tcPr>
          <w:p>
            <w:pPr>
              <w:jc w:val="right"/>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S-4/A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10.25</w:t>
            </w:r>
          </w:p>
        </w:tc>
        <w:tc>
          <w:tcPr>
            <w:tcW w:w="1460" w:type="dxa"/>
            <w:vAlign w:val="bottom"/>
          </w:tcPr>
          <w:p>
            <w:pPr>
              <w:jc w:val="right"/>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S-4/A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10.26</w:t>
            </w:r>
          </w:p>
        </w:tc>
        <w:tc>
          <w:tcPr>
            <w:tcW w:w="1460" w:type="dxa"/>
            <w:vAlign w:val="bottom"/>
          </w:tcPr>
          <w:p>
            <w:pPr>
              <w:jc w:val="right"/>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S-4/A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333-260692</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10.28</w:t>
            </w:r>
          </w:p>
        </w:tc>
        <w:tc>
          <w:tcPr>
            <w:tcW w:w="1460" w:type="dxa"/>
            <w:vAlign w:val="bottom"/>
          </w:tcPr>
          <w:p>
            <w:pPr>
              <w:jc w:val="right"/>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bl>
    <w:p>
      <w:pPr>
        <w:sectPr>
          <w:pgSz w:w="11900" w:h="16838" w:orient="portrait"/>
          <w:cols w:equalWidth="0" w:num="2">
            <w:col w:w="6400" w:space="200"/>
            <w:col w:w="4460"/>
          </w:cols>
          <w:pgMar w:left="320" w:top="486" w:right="51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960" w:type="dxa"/>
            <w:vAlign w:val="bottom"/>
            <w:gridSpan w:val="21"/>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7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10.29#</w:t>
            </w:r>
          </w:p>
        </w:tc>
        <w:tc>
          <w:tcPr>
            <w:tcW w:w="440" w:type="dxa"/>
            <w:vAlign w:val="bottom"/>
          </w:tcPr>
          <w:p>
            <w:pPr>
              <w:spacing w:after="0"/>
              <w:rPr>
                <w:sz w:val="14"/>
                <w:szCs w:val="14"/>
                <w:color w:val="auto"/>
              </w:rPr>
            </w:pPr>
          </w:p>
        </w:tc>
        <w:tc>
          <w:tcPr>
            <w:tcW w:w="4720" w:type="dxa"/>
            <w:vAlign w:val="bottom"/>
            <w:tcBorders>
              <w:top w:val="single" w:sz="8" w:color="auto"/>
              <w:bottom w:val="single" w:sz="8" w:color="0000EE"/>
            </w:tcBorders>
            <w:gridSpan w:val="20"/>
          </w:tcPr>
          <w:p>
            <w:pPr>
              <w:spacing w:after="0" w:line="169"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Amended &amp; Restated Employment Agreement, dated February 2,</w:t>
              </w:r>
            </w:hyperlink>
          </w:p>
        </w:tc>
        <w:tc>
          <w:tcPr>
            <w:tcW w:w="220" w:type="dxa"/>
            <w:vAlign w:val="bottom"/>
            <w:tcBorders>
              <w:top w:val="single" w:sz="8" w:color="auto"/>
            </w:tcBorders>
            <w:gridSpan w:val="7"/>
          </w:tcPr>
          <w:p>
            <w:pPr>
              <w:spacing w:after="0"/>
              <w:rPr>
                <w:sz w:val="14"/>
                <w:szCs w:val="14"/>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40" w:type="dxa"/>
            <w:vAlign w:val="bottom"/>
            <w:gridSpan w:val="27"/>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2022, between Rigetti Holdings, Inc. and Rick Danis.</w:t>
              </w:r>
            </w:hyperlink>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10.30#</w:t>
            </w:r>
          </w:p>
        </w:tc>
        <w:tc>
          <w:tcPr>
            <w:tcW w:w="440" w:type="dxa"/>
            <w:vAlign w:val="bottom"/>
          </w:tcPr>
          <w:p>
            <w:pPr>
              <w:spacing w:after="0"/>
              <w:rPr>
                <w:sz w:val="17"/>
                <w:szCs w:val="17"/>
                <w:color w:val="auto"/>
              </w:rPr>
            </w:pPr>
          </w:p>
        </w:tc>
        <w:tc>
          <w:tcPr>
            <w:tcW w:w="49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Executive Employment Agreement, dated March 14, 2022, between</w:t>
              </w:r>
            </w:hyperlink>
          </w:p>
        </w:tc>
        <w:tc>
          <w:tcPr>
            <w:tcW w:w="40" w:type="dxa"/>
            <w:vAlign w:val="bottom"/>
            <w:gridSpan w:val="2"/>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Rigetti Computing, Inc. and Greg Peters.</w:t>
              </w:r>
            </w:hyperlink>
          </w:p>
        </w:tc>
        <w:tc>
          <w:tcPr>
            <w:tcW w:w="2000" w:type="dxa"/>
            <w:vAlign w:val="bottom"/>
            <w:gridSpan w:val="19"/>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440" w:type="dxa"/>
            <w:vAlign w:val="bottom"/>
          </w:tcPr>
          <w:p>
            <w:pPr>
              <w:spacing w:after="0"/>
              <w:rPr>
                <w:sz w:val="17"/>
                <w:szCs w:val="17"/>
                <w:color w:val="auto"/>
              </w:rPr>
            </w:pPr>
          </w:p>
        </w:tc>
        <w:tc>
          <w:tcPr>
            <w:tcW w:w="4940" w:type="dxa"/>
            <w:vAlign w:val="bottom"/>
            <w:gridSpan w:val="27"/>
          </w:tcPr>
          <w:p>
            <w:pPr>
              <w:spacing w:after="0" w:line="196" w:lineRule="exact"/>
              <w:rPr>
                <w:rFonts w:ascii="Arial" w:cs="Arial" w:eastAsia="Arial" w:hAnsi="Arial"/>
                <w:sz w:val="18"/>
                <w:szCs w:val="18"/>
                <w:color w:val="0000EE"/>
                <w:w w:val="98"/>
              </w:rPr>
            </w:pPr>
            <w:hyperlink r:id="rId204">
              <w:r>
                <w:rPr>
                  <w:rFonts w:ascii="Arial" w:cs="Arial" w:eastAsia="Arial" w:hAnsi="Arial"/>
                  <w:sz w:val="18"/>
                  <w:szCs w:val="18"/>
                  <w:color w:val="0000EE"/>
                  <w:w w:val="98"/>
                </w:rPr>
                <w:t>Warrant Subscription Agreement, dated as of October 6, 2021,</w:t>
              </w:r>
            </w:hyperlink>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80" w:type="dxa"/>
            <w:vAlign w:val="bottom"/>
            <w:tcBorders>
              <w:top w:val="single" w:sz="8" w:color="0000EE"/>
            </w:tcBorders>
            <w:gridSpan w:val="14"/>
          </w:tcPr>
          <w:p>
            <w:pPr>
              <w:spacing w:after="0" w:line="196" w:lineRule="exact"/>
              <w:rPr>
                <w:rFonts w:ascii="Arial" w:cs="Arial" w:eastAsia="Arial" w:hAnsi="Arial"/>
                <w:sz w:val="18"/>
                <w:szCs w:val="18"/>
                <w:color w:val="0000EE"/>
                <w:w w:val="93"/>
              </w:rPr>
            </w:pPr>
            <w:hyperlink r:id="rId204">
              <w:r>
                <w:rPr>
                  <w:rFonts w:ascii="Arial" w:cs="Arial" w:eastAsia="Arial" w:hAnsi="Arial"/>
                  <w:sz w:val="18"/>
                  <w:szCs w:val="18"/>
                  <w:color w:val="0000EE"/>
                  <w:w w:val="93"/>
                </w:rPr>
                <w:t>between Rigetti Holdings, Inc. and Ampere Computing LLC.</w:t>
              </w:r>
            </w:hyperlink>
          </w:p>
        </w:tc>
        <w:tc>
          <w:tcPr>
            <w:tcW w:w="460" w:type="dxa"/>
            <w:vAlign w:val="bottom"/>
            <w:gridSpan w:val="13"/>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10.32</w:t>
            </w:r>
          </w:p>
        </w:tc>
        <w:tc>
          <w:tcPr>
            <w:tcW w:w="440" w:type="dxa"/>
            <w:vAlign w:val="bottom"/>
          </w:tcPr>
          <w:p>
            <w:pPr>
              <w:spacing w:after="0"/>
              <w:rPr>
                <w:sz w:val="17"/>
                <w:szCs w:val="17"/>
                <w:color w:val="auto"/>
              </w:rPr>
            </w:pPr>
          </w:p>
        </w:tc>
        <w:tc>
          <w:tcPr>
            <w:tcW w:w="4940" w:type="dxa"/>
            <w:vAlign w:val="bottom"/>
            <w:gridSpan w:val="27"/>
          </w:tcPr>
          <w:p>
            <w:pPr>
              <w:spacing w:after="0" w:line="196" w:lineRule="exact"/>
              <w:rPr>
                <w:rFonts w:ascii="Arial" w:cs="Arial" w:eastAsia="Arial" w:hAnsi="Arial"/>
                <w:sz w:val="18"/>
                <w:szCs w:val="18"/>
                <w:color w:val="0000EE"/>
                <w:w w:val="99"/>
              </w:rPr>
            </w:pPr>
            <w:hyperlink r:id="rId205">
              <w:r>
                <w:rPr>
                  <w:rFonts w:ascii="Arial" w:cs="Arial" w:eastAsia="Arial" w:hAnsi="Arial"/>
                  <w:sz w:val="18"/>
                  <w:szCs w:val="18"/>
                  <w:color w:val="0000EE"/>
                  <w:w w:val="99"/>
                </w:rPr>
                <w:t>Ampere Warrant, dated as of June 30, 2022, issued by Rigetti</w:t>
              </w:r>
            </w:hyperlink>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Computing, Inc.</w:t>
              </w:r>
            </w:hyperlink>
          </w:p>
        </w:tc>
        <w:tc>
          <w:tcPr>
            <w:tcW w:w="540" w:type="dxa"/>
            <w:vAlign w:val="bottom"/>
            <w:gridSpan w:val="14"/>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440" w:type="dxa"/>
            <w:vAlign w:val="bottom"/>
          </w:tcPr>
          <w:p>
            <w:pPr>
              <w:spacing w:after="0"/>
              <w:rPr>
                <w:sz w:val="17"/>
                <w:szCs w:val="17"/>
                <w:color w:val="auto"/>
              </w:rPr>
            </w:pPr>
          </w:p>
        </w:tc>
        <w:tc>
          <w:tcPr>
            <w:tcW w:w="4940" w:type="dxa"/>
            <w:vAlign w:val="bottom"/>
            <w:gridSpan w:val="27"/>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Common Stock Purchase Agreement, dated as of August 11, 2022,</w:t>
              </w:r>
            </w:hyperlink>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by and between Rigetti Computing, Inc. and B. Riley Capital II,</w:t>
              </w:r>
            </w:hyperlink>
          </w:p>
        </w:tc>
        <w:tc>
          <w:tcPr>
            <w:tcW w:w="200" w:type="dxa"/>
            <w:vAlign w:val="bottom"/>
            <w:tcBorders>
              <w:top w:val="single" w:sz="8" w:color="0000EE"/>
            </w:tcBorders>
            <w:gridSpan w:val="4"/>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206">
              <w:r>
                <w:rPr>
                  <w:rFonts w:ascii="Arial" w:cs="Arial" w:eastAsia="Arial" w:hAnsi="Arial"/>
                  <w:sz w:val="18"/>
                  <w:szCs w:val="18"/>
                  <w:color w:val="0000EE"/>
                  <w:w w:val="94"/>
                </w:rPr>
                <w:t>LLC.</w:t>
              </w:r>
            </w:hyperlink>
          </w:p>
        </w:tc>
        <w:tc>
          <w:tcPr>
            <w:tcW w:w="4560" w:type="dxa"/>
            <w:vAlign w:val="bottom"/>
            <w:gridSpan w:val="25"/>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10.34</w:t>
            </w:r>
          </w:p>
        </w:tc>
        <w:tc>
          <w:tcPr>
            <w:tcW w:w="440" w:type="dxa"/>
            <w:vAlign w:val="bottom"/>
          </w:tcPr>
          <w:p>
            <w:pPr>
              <w:spacing w:after="0"/>
              <w:rPr>
                <w:sz w:val="17"/>
                <w:szCs w:val="17"/>
                <w:color w:val="auto"/>
              </w:rPr>
            </w:pPr>
          </w:p>
        </w:tc>
        <w:tc>
          <w:tcPr>
            <w:tcW w:w="4940" w:type="dxa"/>
            <w:vAlign w:val="bottom"/>
            <w:gridSpan w:val="27"/>
          </w:tcPr>
          <w:p>
            <w:pPr>
              <w:spacing w:after="0" w:line="19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Registration Rights Agreement, dated as of August 11, 2022, by and</w:t>
              </w:r>
            </w:hyperlink>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3"/>
              </w:rPr>
            </w:pPr>
            <w:hyperlink r:id="rId207">
              <w:r>
                <w:rPr>
                  <w:rFonts w:ascii="Arial" w:cs="Arial" w:eastAsia="Arial" w:hAnsi="Arial"/>
                  <w:sz w:val="18"/>
                  <w:szCs w:val="18"/>
                  <w:color w:val="0000EE"/>
                  <w:w w:val="93"/>
                </w:rPr>
                <w:t>between Rigetti Computing, Inc. and B. Riley Capital II, LLC.</w:t>
              </w:r>
            </w:hyperlink>
          </w:p>
        </w:tc>
        <w:tc>
          <w:tcPr>
            <w:tcW w:w="400" w:type="dxa"/>
            <w:vAlign w:val="bottom"/>
            <w:tcBorders>
              <w:top w:val="single" w:sz="8" w:color="0000EE"/>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10.35#</w:t>
            </w:r>
          </w:p>
        </w:tc>
        <w:tc>
          <w:tcPr>
            <w:tcW w:w="440" w:type="dxa"/>
            <w:vAlign w:val="bottom"/>
          </w:tcPr>
          <w:p>
            <w:pPr>
              <w:spacing w:after="0"/>
              <w:rPr>
                <w:sz w:val="17"/>
                <w:szCs w:val="17"/>
                <w:color w:val="auto"/>
              </w:rPr>
            </w:pPr>
          </w:p>
        </w:tc>
        <w:tc>
          <w:tcPr>
            <w:tcW w:w="4940" w:type="dxa"/>
            <w:vAlign w:val="bottom"/>
            <w:gridSpan w:val="27"/>
          </w:tcPr>
          <w:p>
            <w:pPr>
              <w:spacing w:after="0" w:line="196" w:lineRule="exact"/>
              <w:rPr>
                <w:rFonts w:ascii="Arial" w:cs="Arial" w:eastAsia="Arial" w:hAnsi="Arial"/>
                <w:sz w:val="18"/>
                <w:szCs w:val="18"/>
                <w:color w:val="0000EE"/>
                <w:w w:val="92"/>
              </w:rPr>
            </w:pPr>
            <w:hyperlink r:id="rId208">
              <w:r>
                <w:rPr>
                  <w:rFonts w:ascii="Arial" w:cs="Arial" w:eastAsia="Arial" w:hAnsi="Arial"/>
                  <w:sz w:val="18"/>
                  <w:szCs w:val="18"/>
                  <w:color w:val="0000EE"/>
                  <w:w w:val="92"/>
                </w:rPr>
                <w:t>Interim President and Chief Executive Officer Letter Agreement for</w:t>
              </w:r>
            </w:hyperlink>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208">
              <w:r>
                <w:rPr>
                  <w:rFonts w:ascii="Arial" w:cs="Arial" w:eastAsia="Arial" w:hAnsi="Arial"/>
                  <w:sz w:val="18"/>
                  <w:szCs w:val="18"/>
                  <w:color w:val="0000EE"/>
                  <w:w w:val="89"/>
                </w:rPr>
                <w:t>Rick Danis, dated as of December 1, 2022</w:t>
              </w:r>
            </w:hyperlink>
          </w:p>
        </w:tc>
        <w:tc>
          <w:tcPr>
            <w:tcW w:w="1840" w:type="dxa"/>
            <w:vAlign w:val="bottom"/>
            <w:tcBorders>
              <w:top w:val="single" w:sz="8" w:color="0000EE"/>
            </w:tcBorders>
            <w:gridSpan w:val="15"/>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10.36#</w:t>
            </w:r>
          </w:p>
        </w:tc>
        <w:tc>
          <w:tcPr>
            <w:tcW w:w="440" w:type="dxa"/>
            <w:vAlign w:val="bottom"/>
          </w:tcPr>
          <w:p>
            <w:pPr>
              <w:spacing w:after="0"/>
              <w:rPr>
                <w:sz w:val="17"/>
                <w:szCs w:val="17"/>
                <w:color w:val="auto"/>
              </w:rPr>
            </w:pPr>
          </w:p>
        </w:tc>
        <w:tc>
          <w:tcPr>
            <w:tcW w:w="4940" w:type="dxa"/>
            <w:vAlign w:val="bottom"/>
            <w:gridSpan w:val="27"/>
          </w:tcPr>
          <w:p>
            <w:pPr>
              <w:spacing w:after="0" w:line="196" w:lineRule="exact"/>
              <w:rPr>
                <w:rFonts w:ascii="Arial" w:cs="Arial" w:eastAsia="Arial" w:hAnsi="Arial"/>
                <w:sz w:val="18"/>
                <w:szCs w:val="18"/>
                <w:color w:val="0000EE"/>
                <w:w w:val="95"/>
              </w:rPr>
            </w:pPr>
            <w:hyperlink r:id="rId209">
              <w:r>
                <w:rPr>
                  <w:rFonts w:ascii="Arial" w:cs="Arial" w:eastAsia="Arial" w:hAnsi="Arial"/>
                  <w:sz w:val="18"/>
                  <w:szCs w:val="18"/>
                  <w:color w:val="0000EE"/>
                  <w:w w:val="95"/>
                </w:rPr>
                <w:t>Executive Employment Agreement, dated December 7, 2022, by</w:t>
              </w:r>
            </w:hyperlink>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40" w:type="dxa"/>
            <w:vAlign w:val="bottom"/>
            <w:tcBorders>
              <w:top w:val="single" w:sz="8" w:color="0000EE"/>
            </w:tcBorders>
            <w:gridSpan w:val="18"/>
          </w:tcPr>
          <w:p>
            <w:pPr>
              <w:spacing w:after="0" w:line="196" w:lineRule="exact"/>
              <w:rPr>
                <w:rFonts w:ascii="Arial" w:cs="Arial" w:eastAsia="Arial" w:hAnsi="Arial"/>
                <w:sz w:val="18"/>
                <w:szCs w:val="18"/>
                <w:color w:val="0000EE"/>
                <w:w w:val="93"/>
              </w:rPr>
            </w:pPr>
            <w:hyperlink r:id="rId209">
              <w:r>
                <w:rPr>
                  <w:rFonts w:ascii="Arial" w:cs="Arial" w:eastAsia="Arial" w:hAnsi="Arial"/>
                  <w:sz w:val="18"/>
                  <w:szCs w:val="18"/>
                  <w:color w:val="0000EE"/>
                  <w:w w:val="93"/>
                </w:rPr>
                <w:t>and between Rigetti Computing, Inc. and Dr. Subodh Kulkarni.</w:t>
              </w:r>
            </w:hyperlink>
          </w:p>
        </w:tc>
        <w:tc>
          <w:tcPr>
            <w:tcW w:w="300" w:type="dxa"/>
            <w:vAlign w:val="bottom"/>
            <w:gridSpan w:val="9"/>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10.37#</w:t>
            </w:r>
          </w:p>
        </w:tc>
        <w:tc>
          <w:tcPr>
            <w:tcW w:w="440" w:type="dxa"/>
            <w:vAlign w:val="bottom"/>
          </w:tcPr>
          <w:p>
            <w:pPr>
              <w:spacing w:after="0"/>
              <w:rPr>
                <w:sz w:val="17"/>
                <w:szCs w:val="17"/>
                <w:color w:val="auto"/>
              </w:rPr>
            </w:pPr>
          </w:p>
        </w:tc>
        <w:tc>
          <w:tcPr>
            <w:tcW w:w="4940" w:type="dxa"/>
            <w:vAlign w:val="bottom"/>
            <w:gridSpan w:val="27"/>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Executive Employment Agreement, dated February 9, 2023, by and</w:t>
              </w:r>
            </w:hyperlink>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between Rigetti Computing, Inc. and Jeffrey Bertelsen.</w:t>
              </w:r>
            </w:hyperlink>
          </w:p>
        </w:tc>
        <w:tc>
          <w:tcPr>
            <w:tcW w:w="900" w:type="dxa"/>
            <w:vAlign w:val="bottom"/>
            <w:tcBorders>
              <w:top w:val="single" w:sz="8" w:color="0000EE"/>
            </w:tcBorders>
            <w:gridSpan w:val="11"/>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10.38#</w:t>
            </w:r>
          </w:p>
        </w:tc>
        <w:tc>
          <w:tcPr>
            <w:tcW w:w="440" w:type="dxa"/>
            <w:vAlign w:val="bottom"/>
          </w:tcPr>
          <w:p>
            <w:pPr>
              <w:spacing w:after="0"/>
              <w:rPr>
                <w:sz w:val="17"/>
                <w:szCs w:val="17"/>
                <w:color w:val="auto"/>
              </w:rPr>
            </w:pPr>
          </w:p>
        </w:tc>
        <w:tc>
          <w:tcPr>
            <w:tcW w:w="4940" w:type="dxa"/>
            <w:vAlign w:val="bottom"/>
            <w:gridSpan w:val="27"/>
          </w:tcPr>
          <w:p>
            <w:pPr>
              <w:spacing w:after="0" w:line="196" w:lineRule="exact"/>
              <w:rPr>
                <w:rFonts w:ascii="Arial" w:cs="Arial" w:eastAsia="Arial" w:hAnsi="Arial"/>
                <w:sz w:val="18"/>
                <w:szCs w:val="18"/>
                <w:color w:val="0000EE"/>
                <w:w w:val="95"/>
              </w:rPr>
            </w:pPr>
            <w:hyperlink r:id="rId211">
              <w:r>
                <w:rPr>
                  <w:rFonts w:ascii="Arial" w:cs="Arial" w:eastAsia="Arial" w:hAnsi="Arial"/>
                  <w:sz w:val="18"/>
                  <w:szCs w:val="18"/>
                  <w:color w:val="0000EE"/>
                  <w:w w:val="95"/>
                </w:rPr>
                <w:t>Separation Agreement for Chad Rigetti, dated as of February 14,</w:t>
              </w:r>
            </w:hyperlink>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11">
              <w:r>
                <w:rPr>
                  <w:rFonts w:ascii="Arial" w:cs="Arial" w:eastAsia="Arial" w:hAnsi="Arial"/>
                  <w:sz w:val="18"/>
                  <w:szCs w:val="18"/>
                  <w:color w:val="0000EE"/>
                  <w:w w:val="84"/>
                </w:rPr>
                <w:t>2023</w:t>
              </w:r>
            </w:hyperlink>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440" w:type="dxa"/>
            <w:vAlign w:val="bottom"/>
          </w:tcPr>
          <w:p>
            <w:pPr>
              <w:spacing w:after="0"/>
              <w:rPr>
                <w:sz w:val="17"/>
                <w:szCs w:val="17"/>
                <w:color w:val="auto"/>
              </w:rPr>
            </w:pPr>
          </w:p>
        </w:tc>
        <w:tc>
          <w:tcPr>
            <w:tcW w:w="33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212">
              <w:r>
                <w:rPr>
                  <w:rFonts w:ascii="Arial" w:cs="Arial" w:eastAsia="Arial" w:hAnsi="Arial"/>
                  <w:sz w:val="18"/>
                  <w:szCs w:val="18"/>
                  <w:color w:val="0000EE"/>
                  <w:w w:val="92"/>
                </w:rPr>
                <w:t>List of Subsidiaries of Rigetti Computing, Inc.</w:t>
              </w:r>
            </w:hyperlink>
          </w:p>
        </w:tc>
        <w:tc>
          <w:tcPr>
            <w:tcW w:w="1600" w:type="dxa"/>
            <w:vAlign w:val="bottom"/>
            <w:gridSpan w:val="17"/>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440" w:type="dxa"/>
            <w:vAlign w:val="bottom"/>
          </w:tcPr>
          <w:p>
            <w:pPr>
              <w:spacing w:after="0"/>
              <w:rPr>
                <w:sz w:val="17"/>
                <w:szCs w:val="17"/>
                <w:color w:val="auto"/>
              </w:rPr>
            </w:pPr>
          </w:p>
        </w:tc>
        <w:tc>
          <w:tcPr>
            <w:tcW w:w="19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Consent of BDO USA LLP</w:t>
            </w:r>
          </w:p>
        </w:tc>
        <w:tc>
          <w:tcPr>
            <w:tcW w:w="2960" w:type="dxa"/>
            <w:vAlign w:val="bottom"/>
            <w:gridSpan w:val="21"/>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440" w:type="dxa"/>
            <w:vAlign w:val="bottom"/>
          </w:tcPr>
          <w:p>
            <w:pPr>
              <w:spacing w:after="0"/>
              <w:rPr>
                <w:sz w:val="17"/>
                <w:szCs w:val="17"/>
                <w:color w:val="auto"/>
              </w:rPr>
            </w:pPr>
          </w:p>
        </w:tc>
        <w:tc>
          <w:tcPr>
            <w:tcW w:w="4940" w:type="dxa"/>
            <w:vAlign w:val="bottom"/>
            <w:gridSpan w:val="27"/>
          </w:tcPr>
          <w:p>
            <w:pPr>
              <w:spacing w:after="0" w:line="196" w:lineRule="exact"/>
              <w:rPr>
                <w:sz w:val="20"/>
                <w:szCs w:val="20"/>
                <w:color w:val="auto"/>
              </w:rPr>
            </w:pPr>
            <w:r>
              <w:rPr>
                <w:rFonts w:ascii="Arial" w:cs="Arial" w:eastAsia="Arial" w:hAnsi="Arial"/>
                <w:sz w:val="18"/>
                <w:szCs w:val="18"/>
                <w:color w:val="0000EE"/>
                <w:w w:val="92"/>
              </w:rPr>
              <w:t>Power of Attorney (incorporated by reference to the signature page</w:t>
            </w: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of this Annual Report on Form 10-K).</w:t>
            </w:r>
          </w:p>
        </w:tc>
        <w:tc>
          <w:tcPr>
            <w:tcW w:w="2080" w:type="dxa"/>
            <w:vAlign w:val="bottom"/>
            <w:tcBorders>
              <w:top w:val="single" w:sz="8" w:color="0000EE"/>
            </w:tcBorders>
            <w:gridSpan w:val="15"/>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40" w:type="dxa"/>
            <w:vAlign w:val="bottom"/>
          </w:tcPr>
          <w:p>
            <w:pPr>
              <w:spacing w:after="0"/>
              <w:rPr>
                <w:sz w:val="17"/>
                <w:szCs w:val="17"/>
                <w:color w:val="auto"/>
              </w:rPr>
            </w:pPr>
          </w:p>
        </w:tc>
        <w:tc>
          <w:tcPr>
            <w:tcW w:w="4940" w:type="dxa"/>
            <w:vAlign w:val="bottom"/>
            <w:gridSpan w:val="27"/>
          </w:tcPr>
          <w:p>
            <w:pPr>
              <w:spacing w:after="0" w:line="196" w:lineRule="exact"/>
              <w:rPr>
                <w:sz w:val="20"/>
                <w:szCs w:val="20"/>
                <w:color w:val="auto"/>
              </w:rPr>
            </w:pPr>
            <w:r>
              <w:rPr>
                <w:rFonts w:ascii="Arial" w:cs="Arial" w:eastAsia="Arial" w:hAnsi="Arial"/>
                <w:sz w:val="18"/>
                <w:szCs w:val="18"/>
                <w:color w:val="0000EE"/>
              </w:rPr>
              <w:t>Certification of Principal Executive Officer Pursuant to Rules</w:t>
            </w: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980" w:type="dxa"/>
            <w:vAlign w:val="bottom"/>
            <w:tcBorders>
              <w:right w:val="single" w:sz="8" w:color="0000EE"/>
            </w:tcBorders>
            <w:gridSpan w:val="9"/>
            <w:shd w:val="clear" w:color="auto" w:fill="0000EE"/>
          </w:tcPr>
          <w:p>
            <w:pPr>
              <w:spacing w:after="0" w:line="20" w:lineRule="exact"/>
              <w:rPr>
                <w:sz w:val="1"/>
                <w:szCs w:val="1"/>
                <w:color w:val="auto"/>
              </w:rPr>
            </w:pPr>
          </w:p>
        </w:tc>
        <w:tc>
          <w:tcPr>
            <w:tcW w:w="320" w:type="dxa"/>
            <w:vAlign w:val="bottom"/>
            <w:tcBorders>
              <w:left w:val="single" w:sz="8" w:color="0000EE"/>
            </w:tcBorders>
            <w:gridSpan w:val="7"/>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40" w:type="dxa"/>
            <w:vAlign w:val="bottom"/>
            <w:gridSpan w:val="27"/>
          </w:tcPr>
          <w:p>
            <w:pPr>
              <w:spacing w:after="0" w:line="196" w:lineRule="exact"/>
              <w:rPr>
                <w:sz w:val="20"/>
                <w:szCs w:val="20"/>
                <w:color w:val="auto"/>
              </w:rPr>
            </w:pPr>
            <w:r>
              <w:rPr>
                <w:rFonts w:ascii="Arial" w:cs="Arial" w:eastAsia="Arial" w:hAnsi="Arial"/>
                <w:sz w:val="18"/>
                <w:szCs w:val="18"/>
                <w:color w:val="0000EE"/>
                <w:w w:val="89"/>
              </w:rPr>
              <w:t>13a-14(a) and 15d-14(a) under the Securities Exchange Act of 1934,</w:t>
            </w: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2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3"/>
              </w:rPr>
              <w:t>as Adopted Pursuant to Section 302 of the Sarbanes-Oxley Act of</w:t>
            </w:r>
          </w:p>
        </w:tc>
        <w:tc>
          <w:tcPr>
            <w:tcW w:w="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8"/>
              </w:rPr>
              <w:t>2002.</w:t>
            </w:r>
          </w:p>
        </w:tc>
        <w:tc>
          <w:tcPr>
            <w:tcW w:w="7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40" w:type="dxa"/>
            <w:vAlign w:val="bottom"/>
          </w:tcPr>
          <w:p>
            <w:pPr>
              <w:spacing w:after="0"/>
              <w:rPr>
                <w:sz w:val="17"/>
                <w:szCs w:val="17"/>
                <w:color w:val="auto"/>
              </w:rPr>
            </w:pPr>
          </w:p>
        </w:tc>
        <w:tc>
          <w:tcPr>
            <w:tcW w:w="44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2"/>
              </w:rPr>
              <w:t>Certification of Principal Financial Officer Pursuant to Rules</w:t>
            </w:r>
          </w:p>
        </w:tc>
        <w:tc>
          <w:tcPr>
            <w:tcW w:w="540" w:type="dxa"/>
            <w:vAlign w:val="bottom"/>
            <w:gridSpan w:val="1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40" w:type="dxa"/>
            <w:vAlign w:val="bottom"/>
            <w:gridSpan w:val="27"/>
          </w:tcPr>
          <w:p>
            <w:pPr>
              <w:spacing w:after="0" w:line="196" w:lineRule="exact"/>
              <w:rPr>
                <w:sz w:val="20"/>
                <w:szCs w:val="20"/>
                <w:color w:val="auto"/>
              </w:rPr>
            </w:pPr>
            <w:r>
              <w:rPr>
                <w:rFonts w:ascii="Arial" w:cs="Arial" w:eastAsia="Arial" w:hAnsi="Arial"/>
                <w:sz w:val="18"/>
                <w:szCs w:val="18"/>
                <w:color w:val="0000EE"/>
                <w:w w:val="89"/>
              </w:rPr>
              <w:t>13a-14(a) and 15d-14(a) under the Securities Exchange Act of 1934,</w:t>
            </w: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2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3"/>
              </w:rPr>
              <w:t>as Adopted Pursuant to Section 302 of the Sarbanes-Oxley Act of</w:t>
            </w:r>
          </w:p>
        </w:tc>
        <w:tc>
          <w:tcPr>
            <w:tcW w:w="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4"/>
              </w:rPr>
              <w:t>2002.</w:t>
            </w:r>
          </w:p>
        </w:tc>
        <w:tc>
          <w:tcPr>
            <w:tcW w:w="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0" w:type="dxa"/>
            <w:vAlign w:val="bottom"/>
            <w:gridSpan w:val="13"/>
          </w:tcPr>
          <w:p>
            <w:pPr>
              <w:ind w:left="4140"/>
              <w:spacing w:after="0"/>
              <w:rPr>
                <w:sz w:val="20"/>
                <w:szCs w:val="20"/>
                <w:color w:val="auto"/>
              </w:rPr>
            </w:pPr>
            <w:r>
              <w:rPr>
                <w:rFonts w:ascii="Arial" w:cs="Arial" w:eastAsia="Arial" w:hAnsi="Arial"/>
                <w:sz w:val="18"/>
                <w:szCs w:val="18"/>
                <w:color w:val="auto"/>
                <w:w w:val="73"/>
              </w:rPr>
              <w:t>140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92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Schedule/</w:t>
            </w:r>
          </w:p>
        </w:tc>
        <w:tc>
          <w:tcPr>
            <w:tcW w:w="1020" w:type="dxa"/>
            <w:vAlign w:val="bottom"/>
            <w:tcBorders>
              <w:top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File No.</w:t>
            </w:r>
          </w:p>
        </w:tc>
        <w:tc>
          <w:tcPr>
            <w:tcW w:w="280" w:type="dxa"/>
            <w:vAlign w:val="bottom"/>
            <w:tcBorders>
              <w:top w:val="single" w:sz="8" w:color="auto"/>
            </w:tcBorders>
            <w:vMerge w:val="restart"/>
          </w:tcPr>
          <w:p>
            <w:pPr>
              <w:spacing w:after="0"/>
              <w:rPr>
                <w:sz w:val="10"/>
                <w:szCs w:val="10"/>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8"/>
              </w:rPr>
              <w:t>Exhibit</w:t>
            </w:r>
          </w:p>
        </w:tc>
        <w:tc>
          <w:tcPr>
            <w:tcW w:w="260" w:type="dxa"/>
            <w:vAlign w:val="bottom"/>
            <w:tcBorders>
              <w:top w:val="single" w:sz="8" w:color="auto"/>
            </w:tcBorders>
            <w:vMerge w:val="restart"/>
          </w:tcPr>
          <w:p>
            <w:pPr>
              <w:spacing w:after="0"/>
              <w:rPr>
                <w:sz w:val="10"/>
                <w:szCs w:val="10"/>
                <w:color w:val="auto"/>
              </w:rPr>
            </w:pPr>
          </w:p>
        </w:tc>
        <w:tc>
          <w:tcPr>
            <w:tcW w:w="158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28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S-4/A</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333-260692</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10.29</w:t>
            </w:r>
          </w:p>
        </w:tc>
        <w:tc>
          <w:tcPr>
            <w:tcW w:w="1580" w:type="dxa"/>
            <w:vAlign w:val="bottom"/>
          </w:tcPr>
          <w:p>
            <w:pPr>
              <w:jc w:val="right"/>
              <w:spacing w:after="0"/>
              <w:rPr>
                <w:sz w:val="20"/>
                <w:szCs w:val="20"/>
                <w:color w:val="auto"/>
              </w:rPr>
            </w:pPr>
            <w:r>
              <w:rPr>
                <w:rFonts w:ascii="Arial" w:cs="Arial" w:eastAsia="Arial" w:hAnsi="Arial"/>
                <w:sz w:val="18"/>
                <w:szCs w:val="18"/>
                <w:color w:val="auto"/>
              </w:rPr>
              <w:t>February 8,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333-263798</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10.30</w:t>
            </w:r>
          </w:p>
        </w:tc>
        <w:tc>
          <w:tcPr>
            <w:tcW w:w="1580" w:type="dxa"/>
            <w:vAlign w:val="bottom"/>
          </w:tcPr>
          <w:p>
            <w:pPr>
              <w:jc w:val="right"/>
              <w:spacing w:after="0"/>
              <w:rPr>
                <w:sz w:val="20"/>
                <w:szCs w:val="20"/>
                <w:color w:val="auto"/>
              </w:rPr>
            </w:pPr>
            <w:r>
              <w:rPr>
                <w:rFonts w:ascii="Arial" w:cs="Arial" w:eastAsia="Arial" w:hAnsi="Arial"/>
                <w:sz w:val="18"/>
                <w:szCs w:val="18"/>
                <w:color w:val="auto"/>
              </w:rPr>
              <w:t>March 23,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99.2</w:t>
            </w:r>
          </w:p>
        </w:tc>
        <w:tc>
          <w:tcPr>
            <w:tcW w:w="1580" w:type="dxa"/>
            <w:vAlign w:val="bottom"/>
          </w:tcPr>
          <w:p>
            <w:pPr>
              <w:jc w:val="right"/>
              <w:spacing w:after="0"/>
              <w:rPr>
                <w:sz w:val="20"/>
                <w:szCs w:val="20"/>
                <w:color w:val="auto"/>
              </w:rPr>
            </w:pPr>
            <w:r>
              <w:rPr>
                <w:rFonts w:ascii="Arial" w:cs="Arial" w:eastAsia="Arial" w:hAnsi="Arial"/>
                <w:sz w:val="18"/>
                <w:szCs w:val="18"/>
                <w:color w:val="auto"/>
              </w:rPr>
              <w:t>July 6,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99.3</w:t>
            </w:r>
          </w:p>
        </w:tc>
        <w:tc>
          <w:tcPr>
            <w:tcW w:w="1580" w:type="dxa"/>
            <w:vAlign w:val="bottom"/>
          </w:tcPr>
          <w:p>
            <w:pPr>
              <w:jc w:val="right"/>
              <w:spacing w:after="0"/>
              <w:rPr>
                <w:sz w:val="20"/>
                <w:szCs w:val="20"/>
                <w:color w:val="auto"/>
              </w:rPr>
            </w:pPr>
            <w:r>
              <w:rPr>
                <w:rFonts w:ascii="Arial" w:cs="Arial" w:eastAsia="Arial" w:hAnsi="Arial"/>
                <w:sz w:val="18"/>
                <w:szCs w:val="18"/>
                <w:color w:val="auto"/>
              </w:rPr>
              <w:t>July 6, 2022</w:t>
            </w:r>
          </w:p>
        </w:tc>
        <w:tc>
          <w:tcPr>
            <w:tcW w:w="0" w:type="dxa"/>
            <w:vAlign w:val="bottom"/>
          </w:tcPr>
          <w:p>
            <w:pPr>
              <w:spacing w:after="0"/>
              <w:rPr>
                <w:sz w:val="1"/>
                <w:szCs w:val="1"/>
                <w:color w:val="auto"/>
              </w:rPr>
            </w:pPr>
          </w:p>
        </w:tc>
      </w:tr>
      <w:tr>
        <w:trPr>
          <w:trHeight w:val="648"/>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10-Q</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1580" w:type="dxa"/>
            <w:vAlign w:val="bottom"/>
          </w:tcPr>
          <w:p>
            <w:pPr>
              <w:jc w:val="right"/>
              <w:spacing w:after="0"/>
              <w:rPr>
                <w:sz w:val="20"/>
                <w:szCs w:val="20"/>
                <w:color w:val="auto"/>
              </w:rPr>
            </w:pPr>
            <w:r>
              <w:rPr>
                <w:rFonts w:ascii="Arial" w:cs="Arial" w:eastAsia="Arial" w:hAnsi="Arial"/>
                <w:sz w:val="18"/>
                <w:szCs w:val="18"/>
                <w:color w:val="auto"/>
              </w:rPr>
              <w:t>August 11,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10-Q</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1580" w:type="dxa"/>
            <w:vAlign w:val="bottom"/>
          </w:tcPr>
          <w:p>
            <w:pPr>
              <w:jc w:val="right"/>
              <w:spacing w:after="0"/>
              <w:rPr>
                <w:sz w:val="20"/>
                <w:szCs w:val="20"/>
                <w:color w:val="auto"/>
              </w:rPr>
            </w:pPr>
            <w:r>
              <w:rPr>
                <w:rFonts w:ascii="Arial" w:cs="Arial" w:eastAsia="Arial" w:hAnsi="Arial"/>
                <w:sz w:val="18"/>
                <w:szCs w:val="18"/>
                <w:color w:val="auto"/>
              </w:rPr>
              <w:t>August 11,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580" w:type="dxa"/>
            <w:vAlign w:val="bottom"/>
          </w:tcPr>
          <w:p>
            <w:pPr>
              <w:jc w:val="right"/>
              <w:spacing w:after="0"/>
              <w:rPr>
                <w:sz w:val="20"/>
                <w:szCs w:val="20"/>
                <w:color w:val="auto"/>
              </w:rPr>
            </w:pPr>
            <w:r>
              <w:rPr>
                <w:rFonts w:ascii="Arial" w:cs="Arial" w:eastAsia="Arial" w:hAnsi="Arial"/>
                <w:sz w:val="18"/>
                <w:szCs w:val="18"/>
                <w:color w:val="auto"/>
              </w:rPr>
              <w:t>December 2,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580" w:type="dxa"/>
            <w:vAlign w:val="bottom"/>
          </w:tcPr>
          <w:p>
            <w:pPr>
              <w:jc w:val="right"/>
              <w:spacing w:after="0"/>
              <w:rPr>
                <w:sz w:val="20"/>
                <w:szCs w:val="20"/>
                <w:color w:val="auto"/>
              </w:rPr>
            </w:pPr>
            <w:r>
              <w:rPr>
                <w:rFonts w:ascii="Arial" w:cs="Arial" w:eastAsia="Arial" w:hAnsi="Arial"/>
                <w:sz w:val="18"/>
                <w:szCs w:val="18"/>
                <w:color w:val="auto"/>
              </w:rPr>
              <w:t>December 8, 2022</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580" w:type="dxa"/>
            <w:vAlign w:val="bottom"/>
          </w:tcPr>
          <w:p>
            <w:pPr>
              <w:jc w:val="right"/>
              <w:spacing w:after="0"/>
              <w:rPr>
                <w:sz w:val="20"/>
                <w:szCs w:val="20"/>
                <w:color w:val="auto"/>
              </w:rPr>
            </w:pPr>
            <w:r>
              <w:rPr>
                <w:rFonts w:ascii="Arial" w:cs="Arial" w:eastAsia="Arial" w:hAnsi="Arial"/>
                <w:sz w:val="18"/>
                <w:szCs w:val="18"/>
                <w:color w:val="auto"/>
              </w:rPr>
              <w:t>February 10, 2023</w:t>
            </w:r>
          </w:p>
        </w:tc>
        <w:tc>
          <w:tcPr>
            <w:tcW w:w="0" w:type="dxa"/>
            <w:vAlign w:val="bottom"/>
          </w:tcPr>
          <w:p>
            <w:pPr>
              <w:spacing w:after="0"/>
              <w:rPr>
                <w:sz w:val="1"/>
                <w:szCs w:val="1"/>
                <w:color w:val="auto"/>
              </w:rPr>
            </w:pPr>
          </w:p>
        </w:tc>
      </w:tr>
      <w:tr>
        <w:trPr>
          <w:trHeight w:val="418"/>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580" w:type="dxa"/>
            <w:vAlign w:val="bottom"/>
          </w:tcPr>
          <w:p>
            <w:pPr>
              <w:jc w:val="right"/>
              <w:spacing w:after="0"/>
              <w:rPr>
                <w:sz w:val="20"/>
                <w:szCs w:val="20"/>
                <w:color w:val="auto"/>
              </w:rPr>
            </w:pPr>
            <w:r>
              <w:rPr>
                <w:rFonts w:ascii="Arial" w:cs="Arial" w:eastAsia="Arial" w:hAnsi="Arial"/>
                <w:sz w:val="18"/>
                <w:szCs w:val="18"/>
                <w:color w:val="auto"/>
              </w:rPr>
              <w:t>February 16, 2023</w:t>
            </w:r>
          </w:p>
        </w:tc>
        <w:tc>
          <w:tcPr>
            <w:tcW w:w="0" w:type="dxa"/>
            <w:vAlign w:val="bottom"/>
          </w:tcPr>
          <w:p>
            <w:pPr>
              <w:spacing w:after="0"/>
              <w:rPr>
                <w:sz w:val="1"/>
                <w:szCs w:val="1"/>
                <w:color w:val="auto"/>
              </w:rPr>
            </w:pPr>
          </w:p>
        </w:tc>
      </w:tr>
      <w:tr>
        <w:trPr>
          <w:trHeight w:val="230"/>
        </w:trPr>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001-40140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21.1</w:t>
            </w:r>
          </w:p>
        </w:tc>
        <w:tc>
          <w:tcPr>
            <w:tcW w:w="1580" w:type="dxa"/>
            <w:vAlign w:val="bottom"/>
          </w:tcPr>
          <w:p>
            <w:pPr>
              <w:jc w:val="right"/>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bl>
    <w:p>
      <w:pPr>
        <w:sectPr>
          <w:pgSz w:w="11900" w:h="16838" w:orient="portrait"/>
          <w:cols w:equalWidth="0" w:num="2">
            <w:col w:w="6280" w:space="220"/>
            <w:col w:w="4560"/>
          </w:cols>
          <w:pgMar w:left="320" w:top="486" w:right="51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00"/>
          </w:cols>
          <w:pgMar w:left="320" w:top="48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6020" w:type="dxa"/>
            <w:vAlign w:val="bottom"/>
            <w:gridSpan w:val="4"/>
          </w:tcPr>
          <w:p>
            <w:pPr>
              <w:ind w:left="266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7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32.1**</w:t>
            </w:r>
          </w:p>
        </w:tc>
        <w:tc>
          <w:tcPr>
            <w:tcW w:w="620" w:type="dxa"/>
            <w:vAlign w:val="bottom"/>
          </w:tcPr>
          <w:p>
            <w:pPr>
              <w:spacing w:after="0"/>
              <w:rPr>
                <w:sz w:val="14"/>
                <w:szCs w:val="14"/>
                <w:color w:val="auto"/>
              </w:rPr>
            </w:pPr>
          </w:p>
        </w:tc>
        <w:tc>
          <w:tcPr>
            <w:tcW w:w="5980" w:type="dxa"/>
            <w:vAlign w:val="bottom"/>
            <w:tcBorders>
              <w:top w:val="single" w:sz="8" w:color="auto"/>
              <w:bottom w:val="single" w:sz="8" w:color="0000EE"/>
            </w:tcBorders>
            <w:gridSpan w:val="3"/>
          </w:tcPr>
          <w:p>
            <w:pPr>
              <w:spacing w:after="0" w:line="169" w:lineRule="exact"/>
              <w:rPr>
                <w:sz w:val="20"/>
                <w:szCs w:val="20"/>
                <w:color w:val="auto"/>
              </w:rPr>
            </w:pPr>
            <w:r>
              <w:rPr>
                <w:rFonts w:ascii="Arial" w:cs="Arial" w:eastAsia="Arial" w:hAnsi="Arial"/>
                <w:sz w:val="18"/>
                <w:szCs w:val="18"/>
                <w:color w:val="0000EE"/>
                <w:w w:val="91"/>
              </w:rPr>
              <w:t>Certification of Principal Executive Officer Pursuant to 18 U.S.C. Section 1350, as</w:t>
            </w:r>
          </w:p>
        </w:tc>
        <w:tc>
          <w:tcPr>
            <w:tcW w:w="40" w:type="dxa"/>
            <w:vAlign w:val="bottom"/>
            <w:tcBorders>
              <w:top w:val="single" w:sz="8" w:color="auto"/>
            </w:tcBorders>
          </w:tcPr>
          <w:p>
            <w:pPr>
              <w:spacing w:after="0"/>
              <w:rPr>
                <w:sz w:val="14"/>
                <w:szCs w:val="1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20" w:type="dxa"/>
            <w:vAlign w:val="bottom"/>
            <w:gridSpan w:val="4"/>
          </w:tcPr>
          <w:p>
            <w:pPr>
              <w:spacing w:after="0" w:line="196" w:lineRule="exact"/>
              <w:rPr>
                <w:sz w:val="20"/>
                <w:szCs w:val="20"/>
                <w:color w:val="auto"/>
              </w:rPr>
            </w:pPr>
            <w:r>
              <w:rPr>
                <w:rFonts w:ascii="Arial" w:cs="Arial" w:eastAsia="Arial" w:hAnsi="Arial"/>
                <w:sz w:val="18"/>
                <w:szCs w:val="18"/>
                <w:color w:val="0000EE"/>
              </w:rPr>
              <w:t>Adopted Pursuant to Section 906 of the Sarbanes-Oxley Act of 2002.</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620" w:type="dxa"/>
            <w:vAlign w:val="bottom"/>
          </w:tcPr>
          <w:p>
            <w:pPr>
              <w:spacing w:after="0"/>
              <w:rPr>
                <w:sz w:val="17"/>
                <w:szCs w:val="17"/>
                <w:color w:val="auto"/>
              </w:rPr>
            </w:pPr>
          </w:p>
        </w:tc>
        <w:tc>
          <w:tcPr>
            <w:tcW w:w="6020" w:type="dxa"/>
            <w:vAlign w:val="bottom"/>
            <w:gridSpan w:val="4"/>
          </w:tcPr>
          <w:p>
            <w:pPr>
              <w:spacing w:after="0" w:line="196" w:lineRule="exact"/>
              <w:rPr>
                <w:sz w:val="20"/>
                <w:szCs w:val="20"/>
                <w:color w:val="auto"/>
              </w:rPr>
            </w:pPr>
            <w:r>
              <w:rPr>
                <w:rFonts w:ascii="Arial" w:cs="Arial" w:eastAsia="Arial" w:hAnsi="Arial"/>
                <w:sz w:val="18"/>
                <w:szCs w:val="18"/>
                <w:color w:val="0000EE"/>
                <w:w w:val="93"/>
              </w:rPr>
              <w:t>Certification of Principal Financial Officer Pursuant to 18 U.S.C. Section 1350, as</w:t>
            </w: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92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Adopted Pursuant to Section 906 of the Sarbanes-Oxley Act of 2002.</w:t>
            </w:r>
          </w:p>
        </w:tc>
        <w:tc>
          <w:tcPr>
            <w:tcW w:w="100" w:type="dxa"/>
            <w:vAlign w:val="bottom"/>
            <w:gridSpan w:val="2"/>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222"/>
        </w:trPr>
        <w:tc>
          <w:tcPr>
            <w:tcW w:w="13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20" w:type="dxa"/>
            <w:vAlign w:val="bottom"/>
            <w:gridSpan w:val="4"/>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w:t>
            </w:r>
          </w:p>
        </w:tc>
      </w:tr>
      <w:tr>
        <w:trPr>
          <w:trHeight w:val="216"/>
        </w:trPr>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w w:val="95"/>
              </w:rPr>
              <w:t>Interactive Data File because XBRL tags are embedded within the Inline XBRL</w:t>
            </w:r>
          </w:p>
        </w:tc>
      </w:tr>
      <w:tr>
        <w:trPr>
          <w:trHeight w:val="216"/>
        </w:trPr>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document.</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2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2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2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2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2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0"/>
                <w:szCs w:val="20"/>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w w:val="95"/>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4"/>
              </w:rPr>
              <w:t>Schedule/</w:t>
            </w:r>
          </w:p>
        </w:tc>
        <w:tc>
          <w:tcPr>
            <w:tcW w:w="7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File</w:t>
            </w:r>
          </w:p>
        </w:tc>
        <w:tc>
          <w:tcPr>
            <w:tcW w:w="9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0" w:type="dxa"/>
            <w:vAlign w:val="bottom"/>
          </w:tcPr>
          <w:p>
            <w:pPr>
              <w:spacing w:after="0"/>
              <w:rPr>
                <w:sz w:val="1"/>
                <w:szCs w:val="1"/>
                <w:color w:val="auto"/>
              </w:rPr>
            </w:pPr>
          </w:p>
        </w:tc>
      </w:tr>
      <w:tr>
        <w:trPr>
          <w:trHeight w:val="171"/>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5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w w:val="88"/>
              </w:rPr>
              <w:t>No.</w:t>
            </w:r>
          </w:p>
        </w:tc>
        <w:tc>
          <w:tcPr>
            <w:tcW w:w="5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5" w:lineRule="exact"/>
        <w:rPr>
          <w:sz w:val="20"/>
          <w:szCs w:val="20"/>
          <w:color w:val="auto"/>
        </w:rPr>
      </w:pPr>
    </w:p>
    <w:p>
      <w:pPr>
        <w:sectPr>
          <w:pgSz w:w="11900" w:h="16838" w:orient="portrait"/>
          <w:cols w:equalWidth="0" w:num="2">
            <w:col w:w="7480" w:space="460"/>
            <w:col w:w="3160"/>
          </w:cols>
          <w:pgMar w:left="320" w:top="486" w:right="479" w:bottom="1440" w:gutter="0" w:footer="0" w:header="0"/>
          <w:type w:val="continuous"/>
        </w:sect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w:t>
      </w:r>
    </w:p>
    <w:p>
      <w:pPr>
        <w:spacing w:after="0" w:line="32" w:lineRule="exact"/>
        <w:rPr>
          <w:sz w:val="20"/>
          <w:szCs w:val="20"/>
          <w:color w:val="auto"/>
        </w:rPr>
      </w:pPr>
    </w:p>
    <w:p>
      <w:pPr>
        <w:ind w:left="540" w:right="80"/>
        <w:spacing w:after="0" w:line="281" w:lineRule="auto"/>
        <w:rPr>
          <w:sz w:val="20"/>
          <w:szCs w:val="20"/>
          <w:color w:val="auto"/>
        </w:rPr>
      </w:pPr>
      <w:r>
        <w:rPr>
          <w:rFonts w:ascii="Arial" w:cs="Arial" w:eastAsia="Arial" w:hAnsi="Arial"/>
          <w:sz w:val="16"/>
          <w:szCs w:val="16"/>
          <w:color w:val="auto"/>
        </w:rPr>
        <w:t>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spacing w:after="0" w:line="1" w:lineRule="exact"/>
        <w:rPr>
          <w:sz w:val="20"/>
          <w:szCs w:val="20"/>
          <w:color w:val="auto"/>
        </w:rPr>
      </w:pPr>
    </w:p>
    <w:p>
      <w:pPr>
        <w:ind w:left="540" w:right="260" w:hanging="424"/>
        <w:spacing w:after="0" w:line="250"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schedules and exhibits to this agreement have been omitted pursuant to Item 601(a)(5) of Regulation S-K. A copy of any omitted schedule and/or exhibit will be furnished to the SEC upon request.</w:t>
      </w:r>
    </w:p>
    <w:p>
      <w:pPr>
        <w:spacing w:after="0" w:line="1"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11"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86" w:right="47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360" w:type="dxa"/>
            <w:vAlign w:val="bottom"/>
            <w:gridSpan w:val="2"/>
          </w:tcPr>
          <w:p>
            <w:pPr>
              <w:ind w:left="2080"/>
              <w:spacing w:after="0"/>
              <w:rPr>
                <w:sz w:val="20"/>
                <w:szCs w:val="20"/>
                <w:color w:val="auto"/>
              </w:rPr>
            </w:pPr>
            <w:r>
              <w:rPr>
                <w:rFonts w:ascii="Arial" w:cs="Arial" w:eastAsia="Arial" w:hAnsi="Arial"/>
                <w:sz w:val="18"/>
                <w:szCs w:val="18"/>
                <w:color w:val="auto"/>
              </w:rPr>
              <w:t>RIGETTI COMPUTING,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27, 2023</w:t>
            </w:r>
          </w:p>
        </w:tc>
        <w:tc>
          <w:tcPr>
            <w:tcW w:w="2400" w:type="dxa"/>
            <w:vAlign w:val="bottom"/>
          </w:tcPr>
          <w:p>
            <w:pPr>
              <w:ind w:left="20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Dr. Subodh Kulkarni</w:t>
            </w:r>
          </w:p>
        </w:tc>
      </w:tr>
      <w:tr>
        <w:trPr>
          <w:trHeight w:val="195"/>
        </w:trPr>
        <w:tc>
          <w:tcPr>
            <w:tcW w:w="3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9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3"/>
              </w:rPr>
              <w:t>Dr. Subodh Kulkarni</w:t>
            </w:r>
          </w:p>
        </w:tc>
      </w:tr>
      <w:tr>
        <w:trPr>
          <w:trHeight w:val="230"/>
        </w:trPr>
        <w:tc>
          <w:tcPr>
            <w:tcW w:w="3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60" w:type="dxa"/>
            <w:vAlign w:val="bottom"/>
          </w:tcPr>
          <w:p>
            <w:pPr>
              <w:jc w:val="center"/>
              <w:ind w:left="10"/>
              <w:spacing w:after="0"/>
              <w:rPr>
                <w:sz w:val="20"/>
                <w:szCs w:val="20"/>
                <w:color w:val="auto"/>
              </w:rPr>
            </w:pPr>
            <w:r>
              <w:rPr>
                <w:rFonts w:ascii="Arial" w:cs="Arial" w:eastAsia="Arial" w:hAnsi="Arial"/>
                <w:sz w:val="18"/>
                <w:szCs w:val="18"/>
                <w:color w:val="auto"/>
                <w:w w:val="95"/>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Each person whose individual signature appears below hereby authorizes and appoints Dr. Subodh Kulkarni, Jeffrey Bertelsen and Rick Danis, and each of them, with full power of substitution and resubstitution and full power to act without the other, as his true and lawful attorney-in-fact and agent to act in his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7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on Form 10-K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30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Subodh Kulkarni</w:t>
            </w:r>
          </w:p>
        </w:tc>
        <w:tc>
          <w:tcPr>
            <w:tcW w:w="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188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March 27, 2023</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Subodh Kulkarni</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45"/>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Jeffrey Bertelsen</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88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March 27, 2023</w:t>
            </w:r>
          </w:p>
        </w:tc>
      </w:tr>
      <w:tr>
        <w:trPr>
          <w:trHeight w:val="209"/>
        </w:trPr>
        <w:tc>
          <w:tcPr>
            <w:tcW w:w="4960" w:type="dxa"/>
            <w:vAlign w:val="bottom"/>
            <w:gridSpan w:val="3"/>
          </w:tcPr>
          <w:p>
            <w:pPr>
              <w:spacing w:after="0"/>
              <w:rPr>
                <w:sz w:val="20"/>
                <w:szCs w:val="20"/>
                <w:color w:val="auto"/>
              </w:rPr>
            </w:pPr>
            <w:r>
              <w:rPr>
                <w:rFonts w:ascii="Arial" w:cs="Arial" w:eastAsia="Arial" w:hAnsi="Arial"/>
                <w:sz w:val="18"/>
                <w:szCs w:val="18"/>
                <w:color w:val="auto"/>
              </w:rPr>
              <w:t>Jeffrey Bertelsen</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 and Principal</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Accounting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Clifton</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March 27, 2023</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Michael Clifton</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Cowan</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March 27, 2023</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David Cowan</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Alissa Fitzgerald</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March 27, 2023</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Alissa Fitzgerald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Ray Johnson</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March 27, 2023</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Ray Johnson</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Cathy McCarthy</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Chair of the Board of Directors</w:t>
            </w:r>
          </w:p>
        </w:tc>
        <w:tc>
          <w:tcPr>
            <w:tcW w:w="188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March 27, 2023</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Cathy McCarthy</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H. Gail Sandford</w:t>
            </w:r>
          </w:p>
        </w:tc>
        <w:tc>
          <w:tcPr>
            <w:tcW w:w="3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March 27, 2023</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H. Gail Sandford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64"/>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00" w:type="dxa"/>
            <w:vAlign w:val="bottom"/>
          </w:tcPr>
          <w:p>
            <w:pPr>
              <w:ind w:left="40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44" w:name="page145"/>
    <w:bookmarkEnd w:id="1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60" w:type="dxa"/>
            <w:vAlign w:val="bottom"/>
            <w:gridSpan w:val="12"/>
          </w:tcPr>
          <w:p>
            <w:pPr>
              <w:spacing w:after="0"/>
              <w:rPr>
                <w:sz w:val="20"/>
                <w:szCs w:val="20"/>
                <w:color w:val="auto"/>
              </w:rPr>
            </w:pPr>
            <w:r>
              <w:rPr>
                <w:rFonts w:ascii="Arial" w:cs="Arial" w:eastAsia="Arial" w:hAnsi="Arial"/>
                <w:sz w:val="18"/>
                <w:szCs w:val="18"/>
                <w:b w:val="1"/>
                <w:bCs w:val="1"/>
                <w:color w:val="0000EE"/>
              </w:rPr>
              <w:t>Table of Contents</w:t>
            </w:r>
          </w:p>
        </w:tc>
        <w:tc>
          <w:tcPr>
            <w:tcW w:w="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7400" w:type="dxa"/>
            <w:vAlign w:val="bottom"/>
            <w:gridSpan w:val="8"/>
          </w:tcPr>
          <w:p>
            <w:pPr>
              <w:jc w:val="center"/>
              <w:ind w:right="2680"/>
              <w:spacing w:after="0"/>
              <w:rPr>
                <w:sz w:val="20"/>
                <w:szCs w:val="20"/>
                <w:color w:val="auto"/>
              </w:rPr>
            </w:pPr>
            <w:r>
              <w:rPr>
                <w:rFonts w:ascii="Arial" w:cs="Arial" w:eastAsia="Arial" w:hAnsi="Arial"/>
                <w:sz w:val="18"/>
                <w:szCs w:val="18"/>
                <w:b w:val="1"/>
                <w:bCs w:val="1"/>
                <w:color w:val="auto"/>
              </w:rPr>
              <w:t>INDEX TO CONSOLIDATED FINANCIAL STATEMENTS</w:t>
            </w:r>
          </w:p>
        </w:tc>
        <w:tc>
          <w:tcPr>
            <w:tcW w:w="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Report of Independent Registered Public Accounting Firm (BDO USA, LLP, Spokane, Washington, PCAOB ID #243)</w:t>
            </w:r>
          </w:p>
        </w:tc>
        <w:tc>
          <w:tcPr>
            <w:tcW w:w="2000" w:type="dxa"/>
            <w:vAlign w:val="bottom"/>
            <w:gridSpan w:val="5"/>
          </w:tcPr>
          <w:p>
            <w:pPr>
              <w:spacing w:after="0"/>
              <w:rPr>
                <w:sz w:val="24"/>
                <w:szCs w:val="24"/>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88"/>
              </w:rPr>
              <w:t>F-2</w:t>
            </w:r>
          </w:p>
        </w:tc>
      </w:tr>
      <w:tr>
        <w:trPr>
          <w:trHeight w:val="196"/>
        </w:trPr>
        <w:tc>
          <w:tcPr>
            <w:tcW w:w="120" w:type="dxa"/>
            <w:vAlign w:val="bottom"/>
          </w:tcPr>
          <w:p>
            <w:pPr>
              <w:spacing w:after="0"/>
              <w:rPr>
                <w:sz w:val="17"/>
                <w:szCs w:val="17"/>
                <w:color w:val="auto"/>
              </w:rPr>
            </w:pPr>
          </w:p>
        </w:tc>
        <w:tc>
          <w:tcPr>
            <w:tcW w:w="10540" w:type="dxa"/>
            <w:vAlign w:val="bottom"/>
            <w:gridSpan w:val="11"/>
          </w:tcPr>
          <w:p>
            <w:pPr>
              <w:spacing w:after="0" w:line="196" w:lineRule="exact"/>
              <w:rPr>
                <w:sz w:val="20"/>
                <w:szCs w:val="20"/>
                <w:color w:val="auto"/>
              </w:rPr>
            </w:pPr>
            <w:r>
              <w:rPr>
                <w:rFonts w:ascii="Arial" w:cs="Arial" w:eastAsia="Arial" w:hAnsi="Arial"/>
                <w:sz w:val="18"/>
                <w:szCs w:val="18"/>
                <w:color w:val="0000EE"/>
              </w:rPr>
              <w:t>Consolidated Balance Sheets as of December 31, 2022 and 2021</w:t>
            </w:r>
          </w:p>
        </w:tc>
        <w:tc>
          <w:tcPr>
            <w:tcW w:w="420" w:type="dxa"/>
            <w:vAlign w:val="bottom"/>
          </w:tcPr>
          <w:p>
            <w:pPr>
              <w:ind w:left="160"/>
              <w:spacing w:after="0" w:line="196" w:lineRule="exact"/>
              <w:rPr>
                <w:sz w:val="20"/>
                <w:szCs w:val="20"/>
                <w:color w:val="auto"/>
              </w:rPr>
            </w:pPr>
            <w:r>
              <w:rPr>
                <w:rFonts w:ascii="Arial" w:cs="Arial" w:eastAsia="Arial" w:hAnsi="Arial"/>
                <w:sz w:val="18"/>
                <w:szCs w:val="18"/>
                <w:color w:val="auto"/>
                <w:w w:val="88"/>
              </w:rPr>
              <w:t>F-3</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Consolidated Statements of Operations for the Year Ended December 31, 2022 and for the Eleven Months Ended December 31, 2021</w:t>
            </w:r>
          </w:p>
        </w:tc>
        <w:tc>
          <w:tcPr>
            <w:tcW w:w="940" w:type="dxa"/>
            <w:vAlign w:val="bottom"/>
            <w:gridSpan w:val="4"/>
          </w:tcPr>
          <w:p>
            <w:pPr>
              <w:spacing w:after="0"/>
              <w:rPr>
                <w:sz w:val="17"/>
                <w:szCs w:val="17"/>
                <w:color w:val="auto"/>
              </w:rPr>
            </w:pPr>
          </w:p>
        </w:tc>
        <w:tc>
          <w:tcPr>
            <w:tcW w:w="420" w:type="dxa"/>
            <w:vAlign w:val="bottom"/>
          </w:tcPr>
          <w:p>
            <w:pPr>
              <w:ind w:left="160"/>
              <w:spacing w:after="0" w:line="196" w:lineRule="exact"/>
              <w:rPr>
                <w:sz w:val="20"/>
                <w:szCs w:val="20"/>
                <w:color w:val="auto"/>
              </w:rPr>
            </w:pPr>
            <w:r>
              <w:rPr>
                <w:rFonts w:ascii="Arial" w:cs="Arial" w:eastAsia="Arial" w:hAnsi="Arial"/>
                <w:sz w:val="18"/>
                <w:szCs w:val="18"/>
                <w:color w:val="auto"/>
                <w:w w:val="88"/>
              </w:rPr>
              <w:t>F-4</w:t>
            </w:r>
          </w:p>
        </w:tc>
      </w:tr>
      <w:tr>
        <w:trPr>
          <w:trHeight w:val="196"/>
        </w:trPr>
        <w:tc>
          <w:tcPr>
            <w:tcW w:w="120" w:type="dxa"/>
            <w:vAlign w:val="bottom"/>
          </w:tcPr>
          <w:p>
            <w:pPr>
              <w:spacing w:after="0"/>
              <w:rPr>
                <w:sz w:val="17"/>
                <w:szCs w:val="17"/>
                <w:color w:val="auto"/>
              </w:rPr>
            </w:pPr>
          </w:p>
        </w:tc>
        <w:tc>
          <w:tcPr>
            <w:tcW w:w="10540" w:type="dxa"/>
            <w:vAlign w:val="bottom"/>
            <w:gridSpan w:val="11"/>
          </w:tcPr>
          <w:p>
            <w:pPr>
              <w:spacing w:after="0" w:line="196" w:lineRule="exact"/>
              <w:rPr>
                <w:sz w:val="20"/>
                <w:szCs w:val="20"/>
                <w:color w:val="auto"/>
              </w:rPr>
            </w:pPr>
            <w:r>
              <w:rPr>
                <w:rFonts w:ascii="Arial" w:cs="Arial" w:eastAsia="Arial" w:hAnsi="Arial"/>
                <w:sz w:val="18"/>
                <w:szCs w:val="18"/>
                <w:color w:val="0000EE"/>
                <w:w w:val="91"/>
              </w:rPr>
              <w:t>Consolidated Statements of Comprehensive Loss for the Year Ended December 31, 2022 and for the Eleven Months Ended December 31, 2021</w:t>
            </w:r>
          </w:p>
        </w:tc>
        <w:tc>
          <w:tcPr>
            <w:tcW w:w="420" w:type="dxa"/>
            <w:vAlign w:val="bottom"/>
          </w:tcPr>
          <w:p>
            <w:pPr>
              <w:ind w:left="160"/>
              <w:spacing w:after="0" w:line="196" w:lineRule="exact"/>
              <w:rPr>
                <w:sz w:val="20"/>
                <w:szCs w:val="20"/>
                <w:color w:val="auto"/>
              </w:rPr>
            </w:pPr>
            <w:r>
              <w:rPr>
                <w:rFonts w:ascii="Arial" w:cs="Arial" w:eastAsia="Arial" w:hAnsi="Arial"/>
                <w:sz w:val="18"/>
                <w:szCs w:val="18"/>
                <w:color w:val="auto"/>
                <w:w w:val="88"/>
              </w:rPr>
              <w:t>F-5</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Consolidated Statements of Redeemable Convertible Preferred Stock and Stockholders’ Equity (Deficit) for the Year Ended December 31, 2022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and for the Eleven Months Ended December 31, 2021</w:t>
            </w:r>
          </w:p>
        </w:tc>
        <w:tc>
          <w:tcPr>
            <w:tcW w:w="6480" w:type="dxa"/>
            <w:vAlign w:val="bottom"/>
            <w:gridSpan w:val="7"/>
          </w:tcPr>
          <w:p>
            <w:pPr>
              <w:spacing w:after="0"/>
              <w:rPr>
                <w:sz w:val="17"/>
                <w:szCs w:val="17"/>
                <w:color w:val="auto"/>
              </w:rPr>
            </w:pPr>
          </w:p>
        </w:tc>
        <w:tc>
          <w:tcPr>
            <w:tcW w:w="420" w:type="dxa"/>
            <w:vAlign w:val="bottom"/>
          </w:tcPr>
          <w:p>
            <w:pPr>
              <w:ind w:left="16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120" w:type="dxa"/>
            <w:vAlign w:val="bottom"/>
          </w:tcPr>
          <w:p>
            <w:pPr>
              <w:spacing w:after="0"/>
              <w:rPr>
                <w:sz w:val="17"/>
                <w:szCs w:val="17"/>
                <w:color w:val="auto"/>
              </w:rPr>
            </w:pPr>
          </w:p>
        </w:tc>
        <w:tc>
          <w:tcPr>
            <w:tcW w:w="96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Consolidated Statements of Cash Flows for the Year Ended December 31, 2022 and for the Eleven Months Ended December 31, 2021</w:t>
            </w:r>
          </w:p>
        </w:tc>
        <w:tc>
          <w:tcPr>
            <w:tcW w:w="880" w:type="dxa"/>
            <w:vAlign w:val="bottom"/>
            <w:gridSpan w:val="3"/>
          </w:tcPr>
          <w:p>
            <w:pPr>
              <w:spacing w:after="0"/>
              <w:rPr>
                <w:sz w:val="17"/>
                <w:szCs w:val="17"/>
                <w:color w:val="auto"/>
              </w:rPr>
            </w:pPr>
          </w:p>
        </w:tc>
        <w:tc>
          <w:tcPr>
            <w:tcW w:w="420" w:type="dxa"/>
            <w:vAlign w:val="bottom"/>
          </w:tcPr>
          <w:p>
            <w:pPr>
              <w:ind w:left="16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120" w:type="dxa"/>
            <w:vAlign w:val="bottom"/>
          </w:tcPr>
          <w:p>
            <w:pPr>
              <w:spacing w:after="0"/>
              <w:rPr>
                <w:sz w:val="17"/>
                <w:szCs w:val="17"/>
                <w:color w:val="auto"/>
              </w:rPr>
            </w:pPr>
          </w:p>
        </w:tc>
        <w:tc>
          <w:tcPr>
            <w:tcW w:w="10540" w:type="dxa"/>
            <w:vAlign w:val="bottom"/>
            <w:gridSpan w:val="11"/>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420" w:type="dxa"/>
            <w:vAlign w:val="bottom"/>
          </w:tcPr>
          <w:p>
            <w:pPr>
              <w:ind w:left="160"/>
              <w:spacing w:after="0" w:line="196" w:lineRule="exact"/>
              <w:rPr>
                <w:sz w:val="20"/>
                <w:szCs w:val="20"/>
                <w:color w:val="auto"/>
              </w:rPr>
            </w:pPr>
            <w:r>
              <w:rPr>
                <w:rFonts w:ascii="Arial" w:cs="Arial" w:eastAsia="Arial" w:hAnsi="Arial"/>
                <w:sz w:val="18"/>
                <w:szCs w:val="18"/>
                <w:color w:val="auto"/>
                <w:w w:val="88"/>
              </w:rPr>
              <w:t>F-8</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00" w:type="dxa"/>
            <w:vAlign w:val="bottom"/>
            <w:gridSpan w:val="6"/>
          </w:tcPr>
          <w:p>
            <w:pPr>
              <w:jc w:val="center"/>
              <w:ind w:right="4180"/>
              <w:spacing w:after="0"/>
              <w:rPr>
                <w:sz w:val="20"/>
                <w:szCs w:val="20"/>
                <w:color w:val="auto"/>
              </w:rPr>
            </w:pPr>
            <w:r>
              <w:rPr>
                <w:rFonts w:ascii="Arial" w:cs="Arial" w:eastAsia="Arial" w:hAnsi="Arial"/>
                <w:sz w:val="18"/>
                <w:szCs w:val="18"/>
                <w:color w:val="auto"/>
                <w:w w:val="88"/>
              </w:rPr>
              <w:t>F-1</w:t>
            </w:r>
          </w:p>
        </w:tc>
        <w:tc>
          <w:tcPr>
            <w:tcW w:w="420" w:type="dxa"/>
            <w:vAlign w:val="bottom"/>
          </w:tcPr>
          <w:p>
            <w:pPr>
              <w:spacing w:after="0"/>
              <w:rPr>
                <w:sz w:val="24"/>
                <w:szCs w:val="24"/>
                <w:color w:val="auto"/>
              </w:rPr>
            </w:pPr>
          </w:p>
        </w:tc>
      </w:tr>
    </w:tbl>
    <w:p>
      <w:pPr>
        <w:sectPr>
          <w:pgSz w:w="11900" w:h="16838" w:orient="portrait"/>
          <w:cols w:equalWidth="0" w:num="1">
            <w:col w:w="11080"/>
          </w:cols>
          <w:pgMar w:left="320" w:top="472" w:right="49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Rigetti Computing,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Berkeley, California</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audited the accompanying consolidated balance sheets of Rigetti Computing, Inc. (the “Company”) as of December 31, 2022 and 2021, the related consolidated statements of operations, comprehensive loss, redeemable convertible preferred stock and stockholders’ equity (deficit), and cash flows for the year ended December 31, 2022 and for the eleven months ended December 31, 2021,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 ended December 31, 2022 and the eleven months ended December 31, 2021</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As discussed in Notes 2 and 8 to the consolidated financial statements, the Company has changed its accounting method for accounting for leases in 2022 due to the adoption of Topic 842: Leases.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Spokane, Washington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27, 2023</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86" w:right="4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RIGETTI COMPUTING, INC.</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CONSOLIDATED BALANCE SHEETS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57,888</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11,729</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rPr>
                <w:sz w:val="20"/>
                <w:szCs w:val="20"/>
                <w:color w:val="auto"/>
              </w:rPr>
            </w:pPr>
            <w:r>
              <w:rPr>
                <w:rFonts w:ascii="Arial" w:cs="Arial" w:eastAsia="Arial" w:hAnsi="Arial"/>
                <w:sz w:val="17"/>
                <w:szCs w:val="17"/>
                <w:color w:val="auto"/>
              </w:rPr>
              <w:t>Available-for-sale investments</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84,923</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6,235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2,450</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1,351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Forward contract - assets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2,229</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rPr>
                <w:sz w:val="20"/>
                <w:szCs w:val="20"/>
                <w:color w:val="auto"/>
              </w:rPr>
            </w:pPr>
            <w:r>
              <w:rPr>
                <w:rFonts w:ascii="Arial" w:cs="Arial" w:eastAsia="Arial" w:hAnsi="Arial"/>
                <w:sz w:val="17"/>
                <w:szCs w:val="17"/>
                <w:color w:val="auto"/>
              </w:rPr>
              <w:t>Deferred offering costs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742</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3,449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154,467</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18,072</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39,530</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22,497</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right-of-use assets, net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9,316</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7"/>
                <w:szCs w:val="17"/>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129</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5,377</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203,442</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46,428</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redeemable convertible preferred stock and stockholders’ equity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1,938</w:t>
            </w:r>
          </w:p>
        </w:tc>
        <w:tc>
          <w:tcPr>
            <w:tcW w:w="5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1,971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8,205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3,806</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961</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Debt - current portion</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8,303</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rPr>
                <w:sz w:val="20"/>
                <w:szCs w:val="20"/>
                <w:color w:val="auto"/>
              </w:rPr>
            </w:pPr>
            <w:r>
              <w:rPr>
                <w:rFonts w:ascii="Arial" w:cs="Arial" w:eastAsia="Arial" w:hAnsi="Arial"/>
                <w:sz w:val="17"/>
                <w:szCs w:val="17"/>
                <w:color w:val="auto"/>
              </w:rPr>
              <w:t>Operating lease liabilities - current</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2,345</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Forward contract - liabilities</w:t>
            </w:r>
          </w:p>
        </w:tc>
        <w:tc>
          <w:tcPr>
            <w:tcW w:w="1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21,752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Debt - net of current portion</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20,635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24,216</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Arial" w:cs="Arial" w:eastAsia="Arial" w:hAnsi="Arial"/>
                <w:sz w:val="17"/>
                <w:szCs w:val="17"/>
                <w:color w:val="auto"/>
              </w:rPr>
              <w:t>Operating lease liabilities - noncurrent</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7,858</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Derivative warrant liabilities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1,767</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4,355</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Arial" w:cs="Arial" w:eastAsia="Arial" w:hAnsi="Arial"/>
                <w:sz w:val="17"/>
                <w:szCs w:val="17"/>
                <w:color w:val="auto"/>
              </w:rPr>
              <w:t>Earn-out liabilities</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1,206</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53,218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36,433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9)</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680" w:type="dxa"/>
            <w:vAlign w:val="bottom"/>
          </w:tcPr>
          <w:p>
            <w:pPr>
              <w:spacing w:after="0" w:line="185" w:lineRule="exact"/>
              <w:rPr>
                <w:sz w:val="20"/>
                <w:szCs w:val="20"/>
                <w:color w:val="auto"/>
              </w:rPr>
            </w:pPr>
            <w:r>
              <w:rPr>
                <w:rFonts w:ascii="Arial" w:cs="Arial" w:eastAsia="Arial" w:hAnsi="Arial"/>
                <w:sz w:val="17"/>
                <w:szCs w:val="17"/>
                <w:color w:val="auto"/>
                <w:w w:val="97"/>
              </w:rPr>
              <w:t>Redeemable convertible preferred stock*, par value $0.0001 per share; 0 shares and 80,974,757 shares authorized at</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60"/>
              <w:spacing w:after="0"/>
              <w:rPr>
                <w:sz w:val="20"/>
                <w:szCs w:val="20"/>
                <w:color w:val="auto"/>
              </w:rPr>
            </w:pPr>
            <w:r>
              <w:rPr>
                <w:rFonts w:ascii="Arial" w:cs="Arial" w:eastAsia="Arial" w:hAnsi="Arial"/>
                <w:sz w:val="17"/>
                <w:szCs w:val="17"/>
                <w:color w:val="auto"/>
                <w:w w:val="95"/>
              </w:rPr>
              <w:t>December 31, 2022 and December 31, 2021, respectively; 0 shares and 77,696,679 shares issued and outstanding at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680" w:type="dxa"/>
            <w:vAlign w:val="bottom"/>
          </w:tcPr>
          <w:p>
            <w:pPr>
              <w:ind w:left="160"/>
              <w:spacing w:after="0"/>
              <w:rPr>
                <w:sz w:val="20"/>
                <w:szCs w:val="20"/>
                <w:color w:val="auto"/>
              </w:rPr>
            </w:pPr>
            <w:r>
              <w:rPr>
                <w:rFonts w:ascii="Arial" w:cs="Arial" w:eastAsia="Arial" w:hAnsi="Arial"/>
                <w:sz w:val="17"/>
                <w:szCs w:val="17"/>
                <w:color w:val="auto"/>
              </w:rPr>
              <w:t>December 31, 2022 and December 31, 2021, respectively</w:t>
            </w:r>
          </w:p>
        </w:tc>
        <w:tc>
          <w:tcPr>
            <w:tcW w:w="160" w:type="dxa"/>
            <w:vAlign w:val="bottom"/>
          </w:tcPr>
          <w:p>
            <w:pPr>
              <w:spacing w:after="0"/>
              <w:rPr>
                <w:sz w:val="18"/>
                <w:szCs w:val="18"/>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81,523</w:t>
            </w: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 (deficit):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680" w:type="dxa"/>
            <w:vAlign w:val="bottom"/>
          </w:tcPr>
          <w:p>
            <w:pPr>
              <w:spacing w:after="0" w:line="185" w:lineRule="exact"/>
              <w:rPr>
                <w:sz w:val="20"/>
                <w:szCs w:val="20"/>
                <w:color w:val="auto"/>
              </w:rPr>
            </w:pPr>
            <w:r>
              <w:rPr>
                <w:rFonts w:ascii="Arial" w:cs="Arial" w:eastAsia="Arial" w:hAnsi="Arial"/>
                <w:sz w:val="17"/>
                <w:szCs w:val="17"/>
                <w:color w:val="auto"/>
                <w:w w:val="98"/>
              </w:rPr>
              <w:t>Preferred Stock, par value $0.0001 per share; 10,000,000 shares and 0 shares authorized at December 31, 2022 and</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60"/>
              <w:spacing w:after="0"/>
              <w:rPr>
                <w:sz w:val="20"/>
                <w:szCs w:val="20"/>
                <w:color w:val="auto"/>
              </w:rPr>
            </w:pPr>
            <w:r>
              <w:rPr>
                <w:rFonts w:ascii="Arial" w:cs="Arial" w:eastAsia="Arial" w:hAnsi="Arial"/>
                <w:sz w:val="17"/>
                <w:szCs w:val="17"/>
                <w:color w:val="auto"/>
              </w:rPr>
              <w:t>December 31, 2021, respectively; 0 shares and 0 shares issued and outstanding at December 31, 2022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680" w:type="dxa"/>
            <w:vAlign w:val="bottom"/>
          </w:tcPr>
          <w:p>
            <w:pPr>
              <w:ind w:left="160"/>
              <w:spacing w:after="0"/>
              <w:rPr>
                <w:sz w:val="20"/>
                <w:szCs w:val="20"/>
                <w:color w:val="auto"/>
              </w:rPr>
            </w:pPr>
            <w:r>
              <w:rPr>
                <w:rFonts w:ascii="Arial" w:cs="Arial" w:eastAsia="Arial" w:hAnsi="Arial"/>
                <w:sz w:val="17"/>
                <w:szCs w:val="17"/>
                <w:color w:val="auto"/>
              </w:rPr>
              <w:t>December 31, 2021, respectively</w:t>
            </w:r>
          </w:p>
        </w:tc>
        <w:tc>
          <w:tcPr>
            <w:tcW w:w="160" w:type="dxa"/>
            <w:vAlign w:val="bottom"/>
          </w:tcPr>
          <w:p>
            <w:pPr>
              <w:spacing w:after="0"/>
              <w:rPr>
                <w:sz w:val="18"/>
                <w:szCs w:val="18"/>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86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4"/>
              </w:rPr>
              <w:t>Common stock*, par value $0.0001 per share; 1,000,000,000 shares and 134,050,472 shares authorized at December 31,</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8"/>
              </w:rPr>
              <w:t>2022 and December 31, 2021, respectively; 125,257,233 shares and 18,221,069 shares issued and outstanding at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21, 2022 and December 31, 2021, respectively</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429,025</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135,549</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gain (loss)</w:t>
            </w:r>
          </w:p>
        </w:tc>
        <w:tc>
          <w:tcPr>
            <w:tcW w:w="1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(161)</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7"/>
                <w:szCs w:val="17"/>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7"/>
                <w:szCs w:val="17"/>
                <w:color w:val="auto"/>
                <w:w w:val="98"/>
              </w:rPr>
              <w:t>(278,652)</w:t>
            </w: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(207,131)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 (deficit)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150,224</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(71,528)</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7"/>
                <w:szCs w:val="17"/>
                <w:b w:val="1"/>
                <w:bCs w:val="1"/>
                <w:color w:val="auto"/>
              </w:rPr>
              <w:t>Total liabilities, redeemable convertible preferred stock and stockholders’ equity (deficit)</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203,442</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right="20" w:hanging="224"/>
        <w:spacing w:after="0" w:line="274"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Shares of legacy Redeemable Convertible Series C Preferred Stock, Redeemable Convertible Series C-1 Preferred Stock, legacy Class A Common Stock, and legacy Class B Common Stock have been retroactively restated to give effect to the Business Combination.</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86" w:right="4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for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11 Months Ended</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18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13,102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2,873</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gross profit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324"/>
        </w:trPr>
        <w:tc>
          <w:tcPr>
            <w:tcW w:w="80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59,952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26,928</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6,348</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47,632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11,299</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119,309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40,702</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(109,080)</w:t>
            </w:r>
          </w:p>
        </w:tc>
        <w:tc>
          <w:tcPr>
            <w:tcW w:w="8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(5,286)</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80" w:type="dxa"/>
            <w:vAlign w:val="bottom"/>
          </w:tcPr>
          <w:p>
            <w:pPr>
              <w:spacing w:after="0"/>
              <w:rPr>
                <w:sz w:val="18"/>
                <w:szCs w:val="18"/>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22,132</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earn-out liability</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19,207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02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37,559</w:t>
            </w: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for income taxes</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(71,521)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(38,241)</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(71,521)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(38,241)</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 average shares used in computing net loss per share attributable to common stockholders –</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9"/>
              </w:rPr>
              <w:t>102,300,852</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23,337,127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Weighted-average shares have been retroactively restated to give effect to the Business Combination.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86" w:right="4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6"/>
              </w:rPr>
              <w:t>Year Ended</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11 Months Ended</w:t>
            </w:r>
          </w:p>
        </w:tc>
      </w:tr>
      <w:tr>
        <w:trPr>
          <w:trHeight w:val="148"/>
        </w:trPr>
        <w:tc>
          <w:tcPr>
            <w:tcW w:w="6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6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(71,521)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(38,241)</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gain (loss)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Change in unrealized loss on available-for-sale securities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1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(71,734)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(38,246)</w:t>
            </w:r>
          </w:p>
        </w:tc>
      </w:tr>
      <w:tr>
        <w:trPr>
          <w:trHeight w:val="20"/>
        </w:trPr>
        <w:tc>
          <w:tcPr>
            <w:tcW w:w="6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86" w:right="4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7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Redeemable Convertible</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1760" w:type="dxa"/>
            <w:vAlign w:val="bottom"/>
            <w:gridSpan w:val="6"/>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7"/>
                <w:szCs w:val="7"/>
                <w:color w:val="auto"/>
              </w:rPr>
            </w:pPr>
          </w:p>
        </w:tc>
        <w:tc>
          <w:tcPr>
            <w:tcW w:w="10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1540" w:type="dxa"/>
            <w:vAlign w:val="bottom"/>
            <w:gridSpan w:val="4"/>
            <w:vMerge w:val="restart"/>
          </w:tcPr>
          <w:p>
            <w:pPr>
              <w:jc w:val="right"/>
              <w:ind w:right="168"/>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gridSpan w:val="2"/>
            <w:vMerge w:val="restart"/>
          </w:tcPr>
          <w:p>
            <w:pPr>
              <w:spacing w:after="0"/>
              <w:rPr>
                <w:sz w:val="5"/>
                <w:szCs w:val="5"/>
                <w:color w:val="auto"/>
              </w:rPr>
            </w:pPr>
          </w:p>
        </w:tc>
        <w:tc>
          <w:tcPr>
            <w:tcW w:w="1400" w:type="dxa"/>
            <w:vAlign w:val="bottom"/>
            <w:gridSpan w:val="5"/>
            <w:vMerge w:val="restart"/>
          </w:tcPr>
          <w:p>
            <w:pPr>
              <w:jc w:val="right"/>
              <w:ind w:right="1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820" w:type="dxa"/>
            <w:vAlign w:val="bottom"/>
          </w:tcPr>
          <w:p>
            <w:pPr>
              <w:spacing w:after="0"/>
              <w:rPr>
                <w:sz w:val="9"/>
                <w:szCs w:val="9"/>
                <w:color w:val="auto"/>
              </w:rPr>
            </w:pPr>
          </w:p>
        </w:tc>
        <w:tc>
          <w:tcPr>
            <w:tcW w:w="1540" w:type="dxa"/>
            <w:vAlign w:val="bottom"/>
            <w:tcBorders>
              <w:bottom w:val="single" w:sz="8" w:color="auto"/>
            </w:tcBorders>
            <w:gridSpan w:val="4"/>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400" w:type="dxa"/>
            <w:vAlign w:val="bottom"/>
            <w:tcBorders>
              <w:bottom w:val="single" w:sz="8" w:color="auto"/>
            </w:tcBorders>
            <w:gridSpan w:val="5"/>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3820" w:type="dxa"/>
            <w:vAlign w:val="bottom"/>
          </w:tcPr>
          <w:p>
            <w:pPr>
              <w:spacing w:after="0"/>
              <w:rPr>
                <w:sz w:val="2"/>
                <w:szCs w:val="2"/>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
                <w:szCs w:val="2"/>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12"/>
          </w:tcPr>
          <w:p>
            <w:pPr>
              <w:jc w:val="right"/>
              <w:ind w:right="240"/>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January 31, 2021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77,696,679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81,523</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16,582,525</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133,406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(168,890)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(35,425)</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1,404,966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375</w:t>
            </w:r>
          </w:p>
        </w:tc>
        <w:tc>
          <w:tcPr>
            <w:tcW w:w="60" w:type="dxa"/>
            <w:vAlign w:val="bottom"/>
          </w:tcPr>
          <w:p>
            <w:pPr>
              <w:spacing w:after="0"/>
              <w:rPr>
                <w:sz w:val="14"/>
                <w:szCs w:val="14"/>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43"/>
        </w:trPr>
        <w:tc>
          <w:tcPr>
            <w:tcW w:w="3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common stock upon exercise of common stock</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233,578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1,765</w:t>
            </w:r>
          </w:p>
        </w:tc>
        <w:tc>
          <w:tcPr>
            <w:tcW w:w="60" w:type="dxa"/>
            <w:vAlign w:val="bottom"/>
          </w:tcPr>
          <w:p>
            <w:pPr>
              <w:spacing w:after="0"/>
              <w:rPr>
                <w:sz w:val="14"/>
                <w:szCs w:val="14"/>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 loss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(38,241)</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(38,241)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December 31, 2021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77,696,679</w:t>
            </w: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81,523</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18,221,069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135,549</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(207,131)</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(71,528)</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4"/>
                <w:szCs w:val="14"/>
                <w:color w:val="auto"/>
                <w:w w:val="97"/>
              </w:rPr>
              <w:t>Issuance of common stock upon conversion of legacy Series C</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rPr>
                <w:sz w:val="20"/>
                <w:szCs w:val="20"/>
                <w:color w:val="auto"/>
              </w:rPr>
            </w:pPr>
            <w:r>
              <w:rPr>
                <w:rFonts w:ascii="Arial" w:cs="Arial" w:eastAsia="Arial" w:hAnsi="Arial"/>
                <w:sz w:val="14"/>
                <w:szCs w:val="14"/>
                <w:color w:val="auto"/>
              </w:rPr>
              <w:t>and Series C-1 preferred stock in connection with the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140"/>
              <w:spacing w:after="0"/>
              <w:rPr>
                <w:sz w:val="20"/>
                <w:szCs w:val="20"/>
                <w:color w:val="auto"/>
              </w:rPr>
            </w:pPr>
            <w:r>
              <w:rPr>
                <w:rFonts w:ascii="Arial" w:cs="Arial" w:eastAsia="Arial" w:hAnsi="Arial"/>
                <w:sz w:val="14"/>
                <w:szCs w:val="14"/>
                <w:color w:val="auto"/>
              </w:rPr>
              <w:t>Business Combination (Note 3)</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(77,696,679)</w:t>
            </w: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99"/>
              </w:rPr>
              <w:t>(81,523)</w:t>
            </w: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57,380,563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81,517</w:t>
            </w:r>
          </w:p>
        </w:tc>
        <w:tc>
          <w:tcPr>
            <w:tcW w:w="60" w:type="dxa"/>
            <w:vAlign w:val="bottom"/>
          </w:tcPr>
          <w:p>
            <w:pPr>
              <w:spacing w:after="0"/>
              <w:rPr>
                <w:sz w:val="15"/>
                <w:szCs w:val="15"/>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81,523</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2,768,568</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1,020</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43"/>
        </w:trPr>
        <w:tc>
          <w:tcPr>
            <w:tcW w:w="3820" w:type="dxa"/>
            <w:vAlign w:val="bottom"/>
          </w:tcPr>
          <w:p>
            <w:pPr>
              <w:spacing w:after="0" w:line="143" w:lineRule="exact"/>
              <w:rPr>
                <w:sz w:val="20"/>
                <w:szCs w:val="20"/>
                <w:color w:val="auto"/>
              </w:rPr>
            </w:pPr>
            <w:r>
              <w:rPr>
                <w:rFonts w:ascii="Arial" w:cs="Arial" w:eastAsia="Arial" w:hAnsi="Arial"/>
                <w:sz w:val="14"/>
                <w:szCs w:val="14"/>
                <w:color w:val="auto"/>
              </w:rPr>
              <w:t>Issuance of common stock upon exercise of common stock</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140"/>
              <w:spacing w:after="0"/>
              <w:rPr>
                <w:sz w:val="20"/>
                <w:szCs w:val="20"/>
                <w:color w:val="auto"/>
              </w:rPr>
            </w:pPr>
            <w:r>
              <w:rPr>
                <w:rFonts w:ascii="Arial" w:cs="Arial" w:eastAsia="Arial" w:hAnsi="Arial"/>
                <w:sz w:val="14"/>
                <w:szCs w:val="14"/>
                <w:color w:val="auto"/>
              </w:rPr>
              <w:t>warrants</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4,818,630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5,048</w:t>
            </w:r>
          </w:p>
        </w:tc>
        <w:tc>
          <w:tcPr>
            <w:tcW w:w="60" w:type="dxa"/>
            <w:vAlign w:val="bottom"/>
          </w:tcPr>
          <w:p>
            <w:pPr>
              <w:spacing w:after="0"/>
              <w:rPr>
                <w:sz w:val="15"/>
                <w:szCs w:val="15"/>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5,048</w:t>
            </w:r>
          </w:p>
        </w:tc>
        <w:tc>
          <w:tcPr>
            <w:tcW w:w="0" w:type="dxa"/>
            <w:vAlign w:val="bottom"/>
          </w:tcPr>
          <w:p>
            <w:pPr>
              <w:spacing w:after="0"/>
              <w:rPr>
                <w:sz w:val="1"/>
                <w:szCs w:val="1"/>
                <w:color w:val="auto"/>
              </w:rPr>
            </w:pPr>
          </w:p>
        </w:tc>
      </w:tr>
      <w:tr>
        <w:trPr>
          <w:trHeight w:val="143"/>
        </w:trPr>
        <w:tc>
          <w:tcPr>
            <w:tcW w:w="3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8"/>
              </w:rPr>
              <w:t>Issuance of common stock through Business Combination and</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PIPE financing, net of transaction costs and derivative</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liabilities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34,850,706</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159,535</w:t>
            </w:r>
          </w:p>
        </w:tc>
        <w:tc>
          <w:tcPr>
            <w:tcW w:w="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159,538</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Issuance of common stock upon release of RSUs</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7,046,689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Reclassification of loan and security agreement warrants to</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6,370</w:t>
            </w:r>
          </w:p>
        </w:tc>
        <w:tc>
          <w:tcPr>
            <w:tcW w:w="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6,370</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Settlement of the first tranche of forward contract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(3,305)</w:t>
            </w:r>
          </w:p>
        </w:tc>
        <w:tc>
          <w:tcPr>
            <w:tcW w:w="60" w:type="dxa"/>
            <w:vAlign w:val="bottom"/>
          </w:tcPr>
          <w:p>
            <w:pPr>
              <w:spacing w:after="0"/>
              <w:rPr>
                <w:sz w:val="14"/>
                <w:szCs w:val="14"/>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w w:val="99"/>
              </w:rPr>
              <w:t>Capitalization of deferred costs to equity upon share issuance</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(1,520)</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143"/>
        </w:trPr>
        <w:tc>
          <w:tcPr>
            <w:tcW w:w="3820" w:type="dxa"/>
            <w:vAlign w:val="bottom"/>
          </w:tcPr>
          <w:p>
            <w:pPr>
              <w:spacing w:after="0" w:line="143" w:lineRule="exact"/>
              <w:rPr>
                <w:sz w:val="20"/>
                <w:szCs w:val="20"/>
                <w:color w:val="auto"/>
              </w:rPr>
            </w:pPr>
            <w:r>
              <w:rPr>
                <w:rFonts w:ascii="Arial" w:cs="Arial" w:eastAsia="Arial" w:hAnsi="Arial"/>
                <w:sz w:val="14"/>
                <w:szCs w:val="14"/>
                <w:color w:val="auto"/>
              </w:rPr>
              <w:t>Issuance of common stock pursuant to the Common Stock</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140"/>
              <w:spacing w:after="0"/>
              <w:rPr>
                <w:sz w:val="20"/>
                <w:szCs w:val="20"/>
                <w:color w:val="auto"/>
              </w:rPr>
            </w:pPr>
            <w:r>
              <w:rPr>
                <w:rFonts w:ascii="Arial" w:cs="Arial" w:eastAsia="Arial" w:hAnsi="Arial"/>
                <w:sz w:val="14"/>
                <w:szCs w:val="14"/>
                <w:color w:val="auto"/>
              </w:rPr>
              <w:t>Purchase Agreement - B. Riley</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171,008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44,812</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44,812</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Foreign currency translation gain</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Change in unrealized loss on available-for-sale securities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(314)</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(71,521)</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(71,521)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2022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125,257,233</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429,025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(278,652)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150,224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260" w:hanging="224"/>
        <w:spacing w:after="0" w:line="30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Shares of legacy Redeemable Convertible Series C Preferred Stock, Redeemable Convertible Series C-1 Preferred Stock, legacy Class A Common Stock, and legacy Class B Common Stock have been retroactively restated to give effect to the Business Combination.</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86" w:right="4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11 Months Ended</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line="149" w:lineRule="exact"/>
              <w:rPr>
                <w:sz w:val="20"/>
                <w:szCs w:val="20"/>
                <w:color w:val="auto"/>
              </w:rPr>
            </w:pPr>
            <w:r>
              <w:rPr>
                <w:rFonts w:ascii="Arial" w:cs="Arial" w:eastAsia="Arial" w:hAnsi="Arial"/>
                <w:sz w:val="14"/>
                <w:szCs w:val="14"/>
                <w:color w:val="auto"/>
              </w:rPr>
              <w:t>Net loss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(71,521)</w:t>
            </w:r>
          </w:p>
        </w:tc>
        <w:tc>
          <w:tcPr>
            <w:tcW w:w="8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(38,241)</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7,017</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4,651</w:t>
            </w:r>
          </w:p>
        </w:tc>
        <w:tc>
          <w:tcPr>
            <w:tcW w:w="0" w:type="dxa"/>
            <w:vAlign w:val="bottom"/>
          </w:tcPr>
          <w:p>
            <w:pPr>
              <w:spacing w:after="0"/>
              <w:rPr>
                <w:sz w:val="1"/>
                <w:szCs w:val="1"/>
                <w:color w:val="auto"/>
              </w:rPr>
            </w:pPr>
          </w:p>
        </w:tc>
      </w:tr>
      <w:tr>
        <w:trPr>
          <w:trHeight w:val="149"/>
        </w:trPr>
        <w:tc>
          <w:tcPr>
            <w:tcW w:w="82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44,812</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148"/>
        </w:trPr>
        <w:tc>
          <w:tcPr>
            <w:tcW w:w="82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Change in fair value of earnout liability</w:t>
            </w:r>
          </w:p>
        </w:tc>
        <w:tc>
          <w:tcPr>
            <w:tcW w:w="18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(19,207)</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 in fair value of derivative warrant liabilities</w:t>
            </w: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(22,132)</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48"/>
        </w:trPr>
        <w:tc>
          <w:tcPr>
            <w:tcW w:w="82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Change in fair value of forward contract</w:t>
            </w:r>
          </w:p>
        </w:tc>
        <w:tc>
          <w:tcPr>
            <w:tcW w:w="18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(5,764)</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Accretion of available-for-sale securities</w:t>
            </w: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(949)</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Amortization of debt issuance costs</w:t>
            </w: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917</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debt commitment fee asset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8"/>
        </w:trPr>
        <w:tc>
          <w:tcPr>
            <w:tcW w:w="82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Accretion of debt end of term liabilities</w:t>
            </w: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285</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Non-cash lease expense</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537</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Goodwill impairment</w:t>
            </w: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5,377</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(4,692)</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(1,099)</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48"/>
        </w:trPr>
        <w:tc>
          <w:tcPr>
            <w:tcW w:w="8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Deferred revenue</w:t>
            </w: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48"/>
        </w:trPr>
        <w:tc>
          <w:tcPr>
            <w:tcW w:w="8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(707)</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49"/>
        </w:trPr>
        <w:tc>
          <w:tcPr>
            <w:tcW w:w="8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4,456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155"/>
        </w:trPr>
        <w:tc>
          <w:tcPr>
            <w:tcW w:w="8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3"/>
                <w:szCs w:val="13"/>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(295)</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(62,689)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(29,044)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(22,737)</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(7,008)</w:t>
            </w:r>
          </w:p>
        </w:tc>
        <w:tc>
          <w:tcPr>
            <w:tcW w:w="0" w:type="dxa"/>
            <w:vAlign w:val="bottom"/>
          </w:tcPr>
          <w:p>
            <w:pPr>
              <w:spacing w:after="0"/>
              <w:rPr>
                <w:sz w:val="1"/>
                <w:szCs w:val="1"/>
                <w:color w:val="auto"/>
              </w:rPr>
            </w:pPr>
          </w:p>
        </w:tc>
      </w:tr>
      <w:tr>
        <w:trPr>
          <w:trHeight w:val="156"/>
        </w:trPr>
        <w:tc>
          <w:tcPr>
            <w:tcW w:w="8200" w:type="dxa"/>
            <w:vAlign w:val="bottom"/>
            <w:gridSpan w:val="2"/>
          </w:tcPr>
          <w:p>
            <w:pPr>
              <w:spacing w:after="0" w:line="149" w:lineRule="exact"/>
              <w:rPr>
                <w:sz w:val="20"/>
                <w:szCs w:val="20"/>
                <w:color w:val="auto"/>
              </w:rPr>
            </w:pPr>
            <w:r>
              <w:rPr>
                <w:rFonts w:ascii="Arial" w:cs="Arial" w:eastAsia="Arial" w:hAnsi="Arial"/>
                <w:sz w:val="14"/>
                <w:szCs w:val="14"/>
                <w:color w:val="auto"/>
              </w:rPr>
              <w:t>Purchases of available-for-sale securities</w:t>
            </w:r>
          </w:p>
        </w:tc>
        <w:tc>
          <w:tcPr>
            <w:tcW w:w="180" w:type="dxa"/>
            <w:vAlign w:val="bottom"/>
          </w:tcPr>
          <w:p>
            <w:pPr>
              <w:spacing w:after="0"/>
              <w:rPr>
                <w:sz w:val="13"/>
                <w:szCs w:val="13"/>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(84,287)</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(107,024)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Proceeds from Business Combination, net of transaction costs paid</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225,604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0" w:type="dxa"/>
            <w:vAlign w:val="bottom"/>
            <w:gridSpan w:val="2"/>
          </w:tcPr>
          <w:p>
            <w:pPr>
              <w:spacing w:after="0" w:line="149" w:lineRule="exact"/>
              <w:rPr>
                <w:sz w:val="20"/>
                <w:szCs w:val="20"/>
                <w:color w:val="auto"/>
              </w:rPr>
            </w:pPr>
            <w:r>
              <w:rPr>
                <w:rFonts w:ascii="Arial" w:cs="Arial" w:eastAsia="Arial" w:hAnsi="Arial"/>
                <w:sz w:val="14"/>
                <w:szCs w:val="14"/>
                <w:color w:val="auto"/>
              </w:rPr>
              <w:t>Transaction costs paid directly by Rigetti</w:t>
            </w:r>
          </w:p>
        </w:tc>
        <w:tc>
          <w:tcPr>
            <w:tcW w:w="18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(18,842)</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notes payable</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27,000</w:t>
            </w:r>
          </w:p>
        </w:tc>
        <w:tc>
          <w:tcPr>
            <w:tcW w:w="0" w:type="dxa"/>
            <w:vAlign w:val="bottom"/>
          </w:tcPr>
          <w:p>
            <w:pPr>
              <w:spacing w:after="0"/>
              <w:rPr>
                <w:sz w:val="1"/>
                <w:szCs w:val="1"/>
                <w:color w:val="auto"/>
              </w:rPr>
            </w:pPr>
          </w:p>
        </w:tc>
      </w:tr>
      <w:tr>
        <w:trPr>
          <w:trHeight w:val="149"/>
        </w:trPr>
        <w:tc>
          <w:tcPr>
            <w:tcW w:w="8200" w:type="dxa"/>
            <w:vAlign w:val="bottom"/>
            <w:gridSpan w:val="2"/>
          </w:tcPr>
          <w:p>
            <w:pPr>
              <w:spacing w:after="0" w:line="149" w:lineRule="exact"/>
              <w:rPr>
                <w:sz w:val="20"/>
                <w:szCs w:val="20"/>
                <w:color w:val="auto"/>
              </w:rPr>
            </w:pPr>
            <w:r>
              <w:rPr>
                <w:rFonts w:ascii="Arial" w:cs="Arial" w:eastAsia="Arial" w:hAnsi="Arial"/>
                <w:sz w:val="14"/>
                <w:szCs w:val="14"/>
                <w:color w:val="auto"/>
              </w:rPr>
              <w:t>Payments on principal of notes payable</w:t>
            </w:r>
          </w:p>
        </w:tc>
        <w:tc>
          <w:tcPr>
            <w:tcW w:w="18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(1,291)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Payments on debt issuance costs</w:t>
            </w: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line="149" w:lineRule="exact"/>
              <w:rPr>
                <w:sz w:val="20"/>
                <w:szCs w:val="20"/>
                <w:color w:val="auto"/>
              </w:rPr>
            </w:pPr>
            <w:r>
              <w:rPr>
                <w:rFonts w:ascii="Arial" w:cs="Arial" w:eastAsia="Arial" w:hAnsi="Arial"/>
                <w:sz w:val="14"/>
                <w:szCs w:val="14"/>
                <w:color w:val="auto"/>
              </w:rPr>
              <w:t>Payment on loan and security agreement exit fees</w:t>
            </w:r>
          </w:p>
        </w:tc>
        <w:tc>
          <w:tcPr>
            <w:tcW w:w="18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Payments on deferred offering costs</w:t>
            </w: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line="149" w:lineRule="exact"/>
              <w:rPr>
                <w:sz w:val="20"/>
                <w:szCs w:val="20"/>
                <w:color w:val="auto"/>
              </w:rPr>
            </w:pPr>
            <w:r>
              <w:rPr>
                <w:rFonts w:ascii="Arial" w:cs="Arial" w:eastAsia="Arial" w:hAnsi="Arial"/>
                <w:sz w:val="14"/>
                <w:szCs w:val="14"/>
                <w:color w:val="auto"/>
              </w:rPr>
              <w:t>Proceeds from issuance of common stock upon exercise of stock options and warrants</w:t>
            </w:r>
          </w:p>
        </w:tc>
        <w:tc>
          <w:tcPr>
            <w:tcW w:w="1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6,068</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55"/>
        </w:trPr>
        <w:tc>
          <w:tcPr>
            <w:tcW w:w="74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7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215,454</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25,583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Effect of changes in exchange rate on cash and restricted cash</w:t>
            </w:r>
          </w:p>
        </w:tc>
        <w:tc>
          <w:tcPr>
            <w:tcW w:w="1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45,842</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(10,474)</w:t>
            </w:r>
          </w:p>
        </w:tc>
        <w:tc>
          <w:tcPr>
            <w:tcW w:w="0" w:type="dxa"/>
            <w:vAlign w:val="bottom"/>
          </w:tcPr>
          <w:p>
            <w:pPr>
              <w:spacing w:after="0"/>
              <w:rPr>
                <w:sz w:val="1"/>
                <w:szCs w:val="1"/>
                <w:color w:val="auto"/>
              </w:rPr>
            </w:pPr>
          </w:p>
        </w:tc>
      </w:tr>
      <w:tr>
        <w:trPr>
          <w:trHeight w:val="155"/>
        </w:trPr>
        <w:tc>
          <w:tcPr>
            <w:tcW w:w="8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180" w:type="dxa"/>
            <w:vAlign w:val="bottom"/>
          </w:tcPr>
          <w:p>
            <w:pPr>
              <w:spacing w:after="0"/>
              <w:rPr>
                <w:sz w:val="13"/>
                <w:szCs w:val="13"/>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12,046</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22,520</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cash equivalents, and restricted cash at end of period</w:t>
            </w:r>
          </w:p>
        </w:tc>
        <w:tc>
          <w:tcPr>
            <w:tcW w:w="1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57,888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3,819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Supplemental disclosure of non-cash financing activity:</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Initial fair value of earn-out liability acquired in merger</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20,413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0" w:type="dxa"/>
            <w:vAlign w:val="bottom"/>
            <w:gridSpan w:val="2"/>
          </w:tcPr>
          <w:p>
            <w:pPr>
              <w:spacing w:after="0" w:line="149" w:lineRule="exact"/>
              <w:rPr>
                <w:sz w:val="20"/>
                <w:szCs w:val="20"/>
                <w:color w:val="auto"/>
              </w:rPr>
            </w:pPr>
            <w:r>
              <w:rPr>
                <w:rFonts w:ascii="Arial" w:cs="Arial" w:eastAsia="Arial" w:hAnsi="Arial"/>
                <w:sz w:val="14"/>
                <w:szCs w:val="14"/>
                <w:color w:val="auto"/>
              </w:rPr>
              <w:t>Deferred offering costs in accounts payable and accrued expenses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Fair value of loan and security agreement warrant liability</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2,691</w:t>
            </w: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line="149" w:lineRule="exact"/>
              <w:rPr>
                <w:sz w:val="20"/>
                <w:szCs w:val="20"/>
                <w:color w:val="auto"/>
              </w:rPr>
            </w:pPr>
            <w:r>
              <w:rPr>
                <w:rFonts w:ascii="Arial" w:cs="Arial" w:eastAsia="Arial" w:hAnsi="Arial"/>
                <w:sz w:val="14"/>
                <w:szCs w:val="14"/>
                <w:color w:val="auto"/>
              </w:rPr>
              <w:t>Initial fair value of private placement and public warrants liability acquired in merger</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22,932</w:t>
            </w:r>
          </w:p>
        </w:tc>
        <w:tc>
          <w:tcPr>
            <w:tcW w:w="80" w:type="dxa"/>
            <w:vAlign w:val="bottom"/>
          </w:tcPr>
          <w:p>
            <w:pPr>
              <w:spacing w:after="0"/>
              <w:rPr>
                <w:sz w:val="12"/>
                <w:szCs w:val="12"/>
                <w:color w:val="auto"/>
              </w:rPr>
            </w:pPr>
          </w:p>
        </w:tc>
        <w:tc>
          <w:tcPr>
            <w:tcW w:w="8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loan and security agreement warrants to equity</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6,370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line="149" w:lineRule="exact"/>
              <w:rPr>
                <w:sz w:val="20"/>
                <w:szCs w:val="20"/>
                <w:color w:val="auto"/>
              </w:rPr>
            </w:pPr>
            <w:r>
              <w:rPr>
                <w:rFonts w:ascii="Arial" w:cs="Arial" w:eastAsia="Arial" w:hAnsi="Arial"/>
                <w:sz w:val="14"/>
                <w:szCs w:val="14"/>
                <w:color w:val="auto"/>
              </w:rPr>
              <w:t>Settlement of the first tranche of forward contract</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3,305</w:t>
            </w:r>
          </w:p>
        </w:tc>
        <w:tc>
          <w:tcPr>
            <w:tcW w:w="80" w:type="dxa"/>
            <w:vAlign w:val="bottom"/>
          </w:tcPr>
          <w:p>
            <w:pPr>
              <w:spacing w:after="0"/>
              <w:rPr>
                <w:sz w:val="12"/>
                <w:szCs w:val="12"/>
                <w:color w:val="auto"/>
              </w:rPr>
            </w:pPr>
          </w:p>
        </w:tc>
        <w:tc>
          <w:tcPr>
            <w:tcW w:w="8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Capitalization of deferred costs to equity upon share issuance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1,520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line="149" w:lineRule="exact"/>
              <w:rPr>
                <w:sz w:val="20"/>
                <w:szCs w:val="20"/>
                <w:color w:val="auto"/>
              </w:rPr>
            </w:pPr>
            <w:r>
              <w:rPr>
                <w:rFonts w:ascii="Arial" w:cs="Arial" w:eastAsia="Arial" w:hAnsi="Arial"/>
                <w:sz w:val="14"/>
                <w:szCs w:val="14"/>
                <w:color w:val="auto"/>
              </w:rPr>
              <w:t>Purchases of property and equipment recorded in accounts payable</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673</w:t>
            </w:r>
          </w:p>
        </w:tc>
        <w:tc>
          <w:tcPr>
            <w:tcW w:w="80" w:type="dxa"/>
            <w:vAlign w:val="bottom"/>
          </w:tcPr>
          <w:p>
            <w:pPr>
              <w:spacing w:after="0"/>
              <w:rPr>
                <w:sz w:val="12"/>
                <w:szCs w:val="12"/>
                <w:color w:val="auto"/>
              </w:rPr>
            </w:pPr>
          </w:p>
        </w:tc>
        <w:tc>
          <w:tcPr>
            <w:tcW w:w="8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 recorded in accrued expense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0" w:type="dxa"/>
            <w:vAlign w:val="bottom"/>
            <w:gridSpan w:val="2"/>
          </w:tcPr>
          <w:p>
            <w:pPr>
              <w:spacing w:after="0" w:line="149" w:lineRule="exact"/>
              <w:rPr>
                <w:sz w:val="20"/>
                <w:szCs w:val="20"/>
                <w:color w:val="auto"/>
              </w:rPr>
            </w:pPr>
            <w:r>
              <w:rPr>
                <w:rFonts w:ascii="Arial" w:cs="Arial" w:eastAsia="Arial" w:hAnsi="Arial"/>
                <w:sz w:val="14"/>
                <w:szCs w:val="14"/>
                <w:color w:val="auto"/>
              </w:rPr>
              <w:t>Unrealized loss on short term investments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314</w:t>
            </w:r>
          </w:p>
        </w:tc>
        <w:tc>
          <w:tcPr>
            <w:tcW w:w="80" w:type="dxa"/>
            <w:vAlign w:val="bottom"/>
          </w:tcPr>
          <w:p>
            <w:pPr>
              <w:spacing w:after="0"/>
              <w:rPr>
                <w:sz w:val="12"/>
                <w:szCs w:val="12"/>
                <w:color w:val="auto"/>
              </w:rPr>
            </w:pPr>
          </w:p>
        </w:tc>
        <w:tc>
          <w:tcPr>
            <w:tcW w:w="8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Right-of-use assets recorded on adoption of ASU 2016-02</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6,270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line="149" w:lineRule="exact"/>
              <w:rPr>
                <w:sz w:val="20"/>
                <w:szCs w:val="20"/>
                <w:color w:val="auto"/>
              </w:rPr>
            </w:pPr>
            <w:r>
              <w:rPr>
                <w:rFonts w:ascii="Arial" w:cs="Arial" w:eastAsia="Arial" w:hAnsi="Arial"/>
                <w:sz w:val="14"/>
                <w:szCs w:val="14"/>
                <w:color w:val="auto"/>
              </w:rPr>
              <w:t>Operating lease liabilities recorded on adoption of ASU 2016-02</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6,620</w:t>
            </w:r>
          </w:p>
        </w:tc>
        <w:tc>
          <w:tcPr>
            <w:tcW w:w="80" w:type="dxa"/>
            <w:vAlign w:val="bottom"/>
          </w:tcPr>
          <w:p>
            <w:pPr>
              <w:spacing w:after="0"/>
              <w:rPr>
                <w:sz w:val="12"/>
                <w:szCs w:val="12"/>
                <w:color w:val="auto"/>
              </w:rPr>
            </w:pPr>
          </w:p>
        </w:tc>
        <w:tc>
          <w:tcPr>
            <w:tcW w:w="8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Lease liabilities arising from obtaining right-of-use assets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4,892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86" w:right="4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Rigetti Computing, Inc. and its subsidiaries (collectively, the “Company” or “Rigetti”), builds quantum computers and the superconducting quantum processors that power them. Through the Company’s Quantum Computing as a Service (“QCaaS”) platform, the Company’s machines can be integrated into any public, private or hybrid cloud. The Company offers product types of Platform, Research and Software Tools usage in application areas of benchmarking, chemical simulation, education/entertainment, machine learning, and optimization.</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is located and headquartered in Berkeley, California. The Company also operates in Fremont, California; London, United Kingdom; Adelaide, Australia; British Columbia, Canada and Munich, Germany. The Company’s revenue is derived primarily from operations in the United States and the United Kingdom.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On March 2, 2022 (the “Closing Date”), a merger transaction between Rigetti Holdings, Inc. (“Legacy Rigetti”) and Supernova Partners Acquisition Company II, Ltd. (“SNII”) was completed (the “Business Combination”, see Note 3).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The SNII Public Warrants and the Private Warrants held by SNII became warrants for Common Stock. The Company’s Common Stock and Public Warrants trade on the Nasdaq Capital Market under the ticker symbols “RGTI” and “RGTIW,” respectively. For more information on this transaction, see Note 3.</w:t>
      </w:r>
    </w:p>
    <w:p>
      <w:pPr>
        <w:spacing w:after="0" w:line="16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determined that Legacy Rigetti was the accounting acquirer in the Business Combination based on an analysis of the criteria outlined in Accounting Standards Codification (ASC) 805, Business Combination.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determination was primarily based on the following facts:</w:t>
      </w:r>
    </w:p>
    <w:p>
      <w:pPr>
        <w:spacing w:after="0" w:line="131"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Former Legacy Rigetti stockholders have a controlling voting interest in the Company;</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Company’s board of directors as of immediately after the closing is comprised of eight board members, six seats occupied by previous Rigetti board members and one seat being occupied by a previous Supernova representative. The final eighth seat was filled by an individual who did not have ties to either Rigetti or Supernova pre-merger; and</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Legacy Rigetti management continues to hold executive management roles for the post-combination company and be responsible for the day-to-day operations.</w:t>
      </w:r>
    </w:p>
    <w:p>
      <w:pPr>
        <w:spacing w:after="0" w:line="170"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Accordingly, for accounting purposes, the Business Combination was treated as the equivalent of Legacy Rigetti issuing stock for the net assets of SNII, accompanied by a recapitalization. The primary asset acquired from SNII was cash. Separately, the Company also assumed warrants that were deemed to be derivatives and meet liability classification subject to fair value adjustment measurements upon closing of the Business Combination (the “Closing”). No goodwill or other intangible assets were recorded as a result of the Business Combination.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86" w:right="47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 As a result, the financial statements included in this report reflect (i) the historical operating results of Legacy Rigetti prior to the Business Combination;</w:t>
      </w:r>
    </w:p>
    <w:p>
      <w:pPr>
        <w:spacing w:after="0" w:line="2" w:lineRule="exact"/>
        <w:rPr>
          <w:sz w:val="20"/>
          <w:szCs w:val="20"/>
          <w:color w:val="auto"/>
        </w:rPr>
      </w:pPr>
    </w:p>
    <w:p>
      <w:pPr>
        <w:ind w:left="120" w:right="140" w:hanging="4"/>
        <w:spacing w:after="0" w:line="260" w:lineRule="auto"/>
        <w:tabs>
          <w:tab w:leader="none" w:pos="3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combined results of SNII and Legacy Rigetti following the closing of the Business Combination; (iii) the assets and liabilities of Legacy Rigetti at their historical cost; and (iv) the Company’s equity structure for all periods presented.</w:t>
      </w:r>
    </w:p>
    <w:p>
      <w:pPr>
        <w:spacing w:after="0" w:line="18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equity structure has been retroactively restated in all comparative periods up to the Closing Date, to reflect the number of shares of the Company’s Common Stock, $0.0001 par value per share, issued to Legacy Rigetti shareholders and Legacy Rigetti convertible preferred shareholders in connection with the Business Combination. As such, the shares and corresponding capital amounts and earnings per share related to Legacy Rigetti redeemable convertible preferred stock and Legacy Rigetti Common Stock prior to the Business Combination have been retroactively restated as shares reflecting the exchange ratio established in the Business Combination.</w:t>
      </w:r>
    </w:p>
    <w:p>
      <w:pPr>
        <w:spacing w:after="0" w:line="18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accompanying consolidated financial statements of the Company and its subsidiaries have been prepared in accordance with accounting principles generally accepted in the United States (“U.S. GAAP”) and applicable rules and regulations of the U.S. Securities and Exchange Commission (“SEC”). The consolidated financial statements include the accounts of the Company and its wholly-owned subsidiaries. All intercompany transactions and balances have been eliminated in consolidation. All dollar amounts in tables, except share and per share amounts, in the notes to the consolidated financial statements are presented in thousands unless otherwise noted.</w:t>
      </w:r>
    </w:p>
    <w:p>
      <w:pPr>
        <w:spacing w:after="0" w:line="184" w:lineRule="exact"/>
        <w:rPr>
          <w:sz w:val="20"/>
          <w:szCs w:val="20"/>
          <w:color w:val="auto"/>
        </w:rPr>
      </w:pPr>
    </w:p>
    <w:p>
      <w:pPr>
        <w:ind w:left="120" w:right="100"/>
        <w:spacing w:after="0" w:line="261" w:lineRule="auto"/>
        <w:rPr>
          <w:sz w:val="20"/>
          <w:szCs w:val="20"/>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The Company is subject to a number of risks similar to those of other companies of similar size in its industry,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Based on our forecasts, we believe that our existing cash and cash equivalents and available for sale investments will be sufficient to meet our anticipated operating cash needs for at least the next 12 months from the issuance of these financial statements based on our current business plan and expectations and assumptions considering current macroeconomic conditions.</w:t>
      </w:r>
    </w:p>
    <w:p>
      <w:pPr>
        <w:spacing w:after="0" w:line="180"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b w:val="1"/>
          <w:bCs w:val="1"/>
          <w:color w:val="auto"/>
        </w:rPr>
        <w:t xml:space="preserve">COVID-19 and Macroeconomic Conditions </w:t>
      </w:r>
      <w:r>
        <w:rPr>
          <w:rFonts w:ascii="Arial" w:cs="Arial" w:eastAsia="Arial" w:hAnsi="Arial"/>
          <w:sz w:val="17"/>
          <w:szCs w:val="17"/>
          <w:color w:val="auto"/>
        </w:rPr>
        <w:t>— As of December 31, 2022, and December 31, 2021, the Company’s financial position was not</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significantly impacted by the effects of COVID-19. However, the duration and intensity of the COVID-19 pandemic and any resulting disruption to the Company’s operations remains somewhat uncertain. Global economic conditions have been worsening, with disruptions to, and volatility in, the credit and financial markets, disruption to banking systems, and rising inflation and interest rates in the U.S. and worldwide resulting from the effects of COVID-19 and otherwise. If these conditions persist and deepen, the Company could experience an inability to access additional capital or our liquidity could otherwise be impacted. If the Company is unable to raise capital when needed or on attractive terms, it would be forced to delay, reduce or eliminate its research and development programs and other efforts.</w:t>
      </w:r>
    </w:p>
    <w:p>
      <w:pPr>
        <w:spacing w:after="0" w:line="172"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b w:val="1"/>
          <w:bCs w:val="1"/>
          <w:color w:val="auto"/>
        </w:rPr>
        <w:t xml:space="preserve">Change in Fiscal Year </w:t>
      </w:r>
      <w:r>
        <w:rPr>
          <w:rFonts w:ascii="Arial" w:cs="Arial" w:eastAsia="Arial" w:hAnsi="Arial"/>
          <w:sz w:val="18"/>
          <w:szCs w:val="18"/>
          <w:color w:val="auto"/>
        </w:rPr>
        <w:t>— In October 2021, the board of directors of Rigetti approved a change to Rigetti’s fiscal year-end from January 31 to</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effective December 31, 2021. The Company believes the year-end change is important and useful to its financial statement users to allow for increased comparability with its industry peers. As a result of this change, the Company’s fiscal year now begins on January 1 and ends on December 31 of each year, starting on January 1, 2022. Rigetti’s fiscal year 2021 covers a period of 11 months starting from February 1, 2021 and ending on December 31, 2021.</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86" w:right="4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left="120" w:right="20"/>
        <w:spacing w:after="0" w:line="292" w:lineRule="auto"/>
        <w:rPr>
          <w:sz w:val="20"/>
          <w:szCs w:val="20"/>
          <w:color w:val="auto"/>
        </w:rPr>
      </w:pPr>
      <w:r>
        <w:rPr>
          <w:rFonts w:ascii="Arial" w:cs="Arial" w:eastAsia="Arial" w:hAnsi="Arial"/>
          <w:sz w:val="16"/>
          <w:szCs w:val="16"/>
          <w:b w:val="1"/>
          <w:bCs w:val="1"/>
          <w:color w:val="auto"/>
        </w:rPr>
        <w:t xml:space="preserve">Emerging Growth Company </w:t>
      </w:r>
      <w:r>
        <w:rPr>
          <w:rFonts w:ascii="Arial" w:cs="Arial" w:eastAsia="Arial" w:hAnsi="Arial"/>
          <w:sz w:val="16"/>
          <w:szCs w:val="16"/>
          <w:color w:val="auto"/>
        </w:rPr>
        <w:t>— Following the Business Combination, the Company qualifies as an emerging growth company (‘‘EGC’’)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Jumpstart our Business Startups (‘‘JOBS’’) Act. The JOBS Act permits companies with EGC status to take advantage of an extended transition period to comply with new or revised accounting standards, delaying the adoption of these accounting standards until they would apply to private companies. The Company intends to use this extended transition period to enable us to comply with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consolidated financial statements may not be comparable to companies that comply with the new or revised accounting standards as of public company effective dates.</w:t>
      </w:r>
    </w:p>
    <w:p>
      <w:pPr>
        <w:spacing w:after="0" w:line="16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the consolidated financial statements in accordance with U.S. GAAP requires management to make estimates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assumptions that affect reported amounts and disclosures. Such management estimates include, but are not limited to, the fair value of share-based awards, the fair value of the convertible preferred stock warrants, the fair value of the Forward Warrant Agreement (as defined below) , the fair value of derivative warrant liabilities, the fair value of Sponsor Vesting Shares issued in connection with the business combination (See Note 3), goodwill and intangible assets,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consolidated financial statements; therefore, actual results could differ from those estimates.</w:t>
      </w:r>
    </w:p>
    <w:p>
      <w:pPr>
        <w:spacing w:after="0" w:line="159" w:lineRule="exact"/>
        <w:rPr>
          <w:sz w:val="20"/>
          <w:szCs w:val="20"/>
          <w:color w:val="auto"/>
        </w:rPr>
      </w:pPr>
    </w:p>
    <w:p>
      <w:pPr>
        <w:ind w:left="120" w:right="880"/>
        <w:spacing w:after="0" w:line="282" w:lineRule="auto"/>
        <w:rPr>
          <w:sz w:val="20"/>
          <w:szCs w:val="20"/>
          <w:color w:val="auto"/>
        </w:rPr>
      </w:pPr>
      <w:r>
        <w:rPr>
          <w:rFonts w:ascii="Arial" w:cs="Arial" w:eastAsia="Arial" w:hAnsi="Arial"/>
          <w:sz w:val="18"/>
          <w:szCs w:val="18"/>
          <w:b w:val="1"/>
          <w:bCs w:val="1"/>
          <w:color w:val="auto"/>
        </w:rPr>
        <w:t xml:space="preserve">Principals of Consolidation </w:t>
      </w:r>
      <w:r>
        <w:rPr>
          <w:rFonts w:ascii="Arial" w:cs="Arial" w:eastAsia="Arial" w:hAnsi="Arial"/>
          <w:sz w:val="18"/>
          <w:szCs w:val="18"/>
          <w:color w:val="auto"/>
        </w:rPr>
        <w:t>—The consolidated financial statements include the accounts of Rigetti and its wholly owned subsidiaries.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intercompany balances and transactions have been eliminated in consolidation.</w:t>
      </w:r>
    </w:p>
    <w:p>
      <w:pPr>
        <w:spacing w:after="0" w:line="162"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 Certain amounts reported previously have been reclassified to conform to current presentation, with no effect on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or net loss as previously presented.</w:t>
      </w:r>
    </w:p>
    <w:p>
      <w:pPr>
        <w:spacing w:after="0" w:line="162" w:lineRule="exact"/>
        <w:rPr>
          <w:sz w:val="20"/>
          <w:szCs w:val="20"/>
          <w:color w:val="auto"/>
        </w:rPr>
      </w:pPr>
    </w:p>
    <w:p>
      <w:pPr>
        <w:ind w:left="120" w:right="140"/>
        <w:spacing w:after="0" w:line="256" w:lineRule="auto"/>
        <w:rPr>
          <w:sz w:val="20"/>
          <w:szCs w:val="20"/>
          <w:color w:val="auto"/>
        </w:rPr>
      </w:pPr>
      <w:r>
        <w:rPr>
          <w:rFonts w:ascii="Arial" w:cs="Arial" w:eastAsia="Arial" w:hAnsi="Arial"/>
          <w:sz w:val="18"/>
          <w:szCs w:val="18"/>
          <w:b w:val="1"/>
          <w:bCs w:val="1"/>
          <w:color w:val="auto"/>
        </w:rPr>
        <w:t xml:space="preserve">Segments </w:t>
      </w:r>
      <w:r>
        <w:rPr>
          <w:rFonts w:ascii="Arial" w:cs="Arial" w:eastAsia="Arial" w:hAnsi="Arial"/>
          <w:sz w:val="18"/>
          <w:szCs w:val="18"/>
          <w:color w:val="auto"/>
        </w:rPr>
        <w:t>— Operating segments are defined as components of an entity for which discrete financial information is available and that information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regularly reviewed by the Chief Operating Decision Maker (“CODM”) in deciding how to allocate resources and in assessing performance. The Company’s Chief Executive Officer is its CODM, who has ultimate responsibility for the operating performance of the Company and the allocation of resources.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 The Company’s reporting currency is the US dollar. The functional currencies of the Company’s foreign subsidiaries are the local</w:t>
      </w:r>
      <w:r>
        <w:rPr>
          <w:rFonts w:ascii="Arial" w:cs="Arial" w:eastAsia="Arial" w:hAnsi="Arial"/>
          <w:sz w:val="16"/>
          <w:szCs w:val="16"/>
          <w:b w:val="1"/>
          <w:bCs w:val="1"/>
          <w:color w:val="auto"/>
        </w:rPr>
        <w:t xml:space="preserve"> </w:t>
      </w:r>
      <w:r>
        <w:rPr>
          <w:rFonts w:ascii="Arial" w:cs="Arial" w:eastAsia="Arial" w:hAnsi="Arial"/>
          <w:sz w:val="16"/>
          <w:szCs w:val="16"/>
          <w:color w:val="auto"/>
        </w:rPr>
        <w:t>currencies (UK pounds sterling, Australian dollar and Canadian Dollar), which are the monetary unit of account of the principal economic environment in which the Company’s foreign subsidiaries operate. All assets and liabilities of the foreign subsidiaries are translated at the current exchange rate as of the end of the period, and revenue and expenses are translated at average exchange rates in effect during the period. The gain or loss resulting from the process of translating foreign currency financial statements into US dollars is reflected as a foreign currency cumulative translation adjustment and reported as a component of accumulated other comprehensive gain (loss). Foreign currency transaction gains and losses resulting from or expected to result from transactions denominated in a currency other than the functional currency are recognized in other income (expense), net in the consolidated statements of operations and are de minimis for the year ended December 31, 2022 and 11 months ended December 31, 2021.</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80"/>
          </w:cols>
          <w:pgMar w:left="320" w:top="486" w:right="49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66" w:lineRule="auto"/>
        <w:rPr>
          <w:sz w:val="20"/>
          <w:szCs w:val="20"/>
          <w:color w:val="auto"/>
        </w:rPr>
      </w:pPr>
      <w:r>
        <w:rPr>
          <w:rFonts w:ascii="Arial" w:cs="Arial" w:eastAsia="Arial" w:hAnsi="Arial"/>
          <w:sz w:val="18"/>
          <w:szCs w:val="18"/>
          <w:b w:val="1"/>
          <w:bCs w:val="1"/>
          <w:color w:val="auto"/>
        </w:rPr>
        <w:t xml:space="preserve">Comprehensive Loss </w:t>
      </w:r>
      <w:r>
        <w:rPr>
          <w:rFonts w:ascii="Arial" w:cs="Arial" w:eastAsia="Arial" w:hAnsi="Arial"/>
          <w:sz w:val="18"/>
          <w:szCs w:val="18"/>
          <w:color w:val="auto"/>
        </w:rPr>
        <w:t>— Comprehensive loss consists of two components including net loss and other comprehensive loss. The Company’s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loss consists of foreign currency translation adjustments that result from consolidation of its foreign subsidiaries and unrealized loss on available-for-sale securities.</w:t>
      </w:r>
    </w:p>
    <w:p>
      <w:pPr>
        <w:spacing w:after="0" w:line="176" w:lineRule="exact"/>
        <w:rPr>
          <w:sz w:val="20"/>
          <w:szCs w:val="20"/>
          <w:color w:val="auto"/>
        </w:rPr>
      </w:pPr>
    </w:p>
    <w:p>
      <w:pPr>
        <w:ind w:left="120" w:right="40"/>
        <w:spacing w:after="0" w:line="261" w:lineRule="auto"/>
        <w:rPr>
          <w:sz w:val="20"/>
          <w:szCs w:val="20"/>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color w:val="auto"/>
        </w:rPr>
        <w:t>— As of December 31, 2022 and December 31, 2021, cash consists primarily of checking and savings</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As of December 31, 2022, cash equivalents consist primarily of money market funds. There were no cash equivalents as of December 31, 2021. The Company considers all highly liquid investment securities with remaining maturities at the date of purchase of three months or less to be cash equivalents. These cash equivalents are stated at cost, which approximates fair value.</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Company’s restricted cash balance includes cash whose use is limited by contractual provisions. As of December 31, 2022, there was no restricted cash. As of December 31, 2021, restricted cash consists of cash secured as collateral for letters of credit in favor of the Company’s landlord and its corporate credit card program.</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in the consolidated balance sheets to the total amount shown in the consolidated statements of cash flows: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0"/>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21,542</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4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36,346</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r>
      <w:tr>
        <w:trPr>
          <w:trHeight w:val="223"/>
        </w:trPr>
        <w:tc>
          <w:tcPr>
            <w:tcW w:w="588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57,888</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12,046</w:t>
            </w:r>
          </w:p>
        </w:tc>
        <w:tc>
          <w:tcPr>
            <w:tcW w:w="4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 The Company classifies its investments in fixed income securities as available-for-sale debt investments. The Company’s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consist of U.S Treasury securities, commercial paper, and corporate bonds that have a maturity of one year or less. These investments are recorded in the consolidated balance sheets at fair value. The fair value of our underlying investments is based on observable inputs and classified as Level 1 and Level 2. Unrealized gains and losses on these investments are included as a separate component of Accumulated Other Comprehensive Loss. The Company evaluates its investments to assess whether those with unrealized loss positions are other than temporarily impaired. Impairments are considered other than temporary if they are related to deterioration in credit risk or if it is likely the Company will sell the securities before the recovery of the cost basis. Realized gains and losses and declines in value determined to be other than temporary are determined based on the specific identification method and are reported in other income (expense), net in the statements of operations. See Note 15 for further information on fair value.</w:t>
      </w:r>
    </w:p>
    <w:p>
      <w:pPr>
        <w:spacing w:after="0" w:line="159"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Accounts receivable are recorded at invoice value, net of allowance for doubtful accounts. Unbilled receivables are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and include amounts that were invoiced subsequent to the period end for which revenue was recognized in advance of the right to invoice.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As of December 31, 2022 and December 31, 2021, the Company does not have any allowances for doubtful accounts.</w:t>
      </w:r>
    </w:p>
    <w:p>
      <w:pPr>
        <w:spacing w:after="0" w:line="187"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 xml:space="preserve">Prepaid Expenses and Other Current Assets </w:t>
      </w:r>
      <w:r>
        <w:rPr>
          <w:rFonts w:ascii="Arial" w:cs="Arial" w:eastAsia="Arial" w:hAnsi="Arial"/>
          <w:sz w:val="18"/>
          <w:szCs w:val="18"/>
          <w:color w:val="auto"/>
        </w:rPr>
        <w:t>— Prepaid expenses and other current assets include prepaid software, prepaid insurance, other prepaid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all of which are expected to be recognized or realized within the next 12 months.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86" w:right="4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61" w:lineRule="auto"/>
        <w:rPr>
          <w:sz w:val="20"/>
          <w:szCs w:val="20"/>
          <w:color w:val="auto"/>
        </w:rPr>
      </w:pPr>
      <w:r>
        <w:rPr>
          <w:rFonts w:ascii="Arial" w:cs="Arial" w:eastAsia="Arial" w:hAnsi="Arial"/>
          <w:sz w:val="18"/>
          <w:szCs w:val="18"/>
          <w:b w:val="1"/>
          <w:bCs w:val="1"/>
          <w:color w:val="auto"/>
        </w:rPr>
        <w:t xml:space="preserve">Deferred Offering Costs </w:t>
      </w:r>
      <w:r>
        <w:rPr>
          <w:rFonts w:ascii="Arial" w:cs="Arial" w:eastAsia="Arial" w:hAnsi="Arial"/>
          <w:sz w:val="18"/>
          <w:szCs w:val="18"/>
          <w:color w:val="auto"/>
        </w:rPr>
        <w:t>—The Company capitalizes certain legal, accounting and other third-party fees that are directly associated with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or issuance of shares under a registration statement filed with the SEC. After consummation of the Business Combination or issuance of shares, costs allocated to equity-classified instruments are recorded as a reduction to additional paid-in capital. Costs allocated to liability-classified instruments are expensed.</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incurred $2.3 million of offering costs for the year ended December 31, 2022, which related to filing new registration statements with the SEC after the close of the Business Combination. These costs are incremental to those disclosed in Note 3. A portion of the offering costs amounting to $0.7 million relates to the Common Stock Purchase Agreement with B. Riley Principal Capital II, LLC. As of December 31, 2022, while the registration statement related to the Common Stock Purchase Agreement with B. Riley Principal Capital II, LLC was filed with the SEC, there were no shares issued other than the commitment shares referred to in Note 12. As such $0.7 million of the offering costs were classified as deferred offering costs. As of December 31, 2021, the Company had recorded deferred offering costs of $3.4 million, all of which are related to the Business Combination as discussed in Note 3.</w:t>
      </w:r>
    </w:p>
    <w:p>
      <w:pPr>
        <w:spacing w:after="0" w:line="191" w:lineRule="exact"/>
        <w:rPr>
          <w:sz w:val="20"/>
          <w:szCs w:val="20"/>
          <w:color w:val="auto"/>
        </w:rPr>
      </w:pPr>
    </w:p>
    <w:p>
      <w:pPr>
        <w:ind w:left="120" w:right="20"/>
        <w:spacing w:after="0" w:line="294" w:lineRule="auto"/>
        <w:rPr>
          <w:sz w:val="20"/>
          <w:szCs w:val="20"/>
          <w:color w:val="auto"/>
        </w:rPr>
      </w:pPr>
      <w:r>
        <w:rPr>
          <w:rFonts w:ascii="Arial" w:cs="Arial" w:eastAsia="Arial" w:hAnsi="Arial"/>
          <w:sz w:val="16"/>
          <w:szCs w:val="16"/>
          <w:b w:val="1"/>
          <w:bCs w:val="1"/>
          <w:color w:val="auto"/>
        </w:rPr>
        <w:t xml:space="preserve">Property and Equipment, Net </w:t>
      </w:r>
      <w:r>
        <w:rPr>
          <w:rFonts w:ascii="Arial" w:cs="Arial" w:eastAsia="Arial" w:hAnsi="Arial"/>
          <w:sz w:val="16"/>
          <w:szCs w:val="16"/>
          <w:color w:val="auto"/>
        </w:rPr>
        <w:t>— Property and equipment are stated at cost less accumulated depreciation and amortization. Depreciation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are calculated using the straight-line method over the estimated useful lives of the assets. The Company uses an estimated useful life of three years for furniture and other assets and information technology hardware (“IT hardware”), seven years for process equipment, and three to ten years for quantum computing fridges. Leasehold improvements are amortized over the shorter of the lease-term or the estimated useful life of the related asset. Expenditures for repairs and maintenance are expensed as incurred. Upon disposition, the cost and related accumulated depreciation are removed and any resulting gain or loss is reflected in other income (expense) in the consolidated statements of operations.</w:t>
      </w:r>
    </w:p>
    <w:p>
      <w:pPr>
        <w:spacing w:after="0" w:line="16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Long-lived assets, which consist of property and equipment, are reviewed for impairment whenever events or changes in circumstances indicate that the carrying amount of the asset (asset group) may not be recoverable. When such events or changes in circumstances occur, the Company performs an undiscounted cash flow analysis to determine if an impairment exists and, if so, an impairment loss would be recorded based on the excess of the carrying amount of the asset (asset group) over its fair value. During the year ended December 31, 2022 the Company determined there was a triggering event and an undiscounted cash flow analysis was performed. Based on the results of this analysis, the Company’s long-lived assets were not impaired and no impairment charge was recorded. During the 11 months ended December 31, 2021 no triggering events were noted.</w:t>
      </w:r>
    </w:p>
    <w:p>
      <w:pPr>
        <w:spacing w:after="0" w:line="16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 Goodwill represents the excess of the purchase price over the fair value of assets acquired and liabilities assumed in 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Goodwill has an indefinite useful life and is not amortized. The Company reviews its goodwill for impairment at least annually or whenever events or changes in circumstances indicate that the carrying value of the Company may exceed its fair value. The Company first assesses qualitative factors to determine whether it is more likely than not that the fair value of the Company is less than its carrying amount, including goodwill. If that is the case, the Company performs a quantitative impairment test, and, if the carrying amount of the Company exceeds its fair value, then the Company will recognize an impairment charge for the amount by which its carrying amount exceeds its fair value, not to exceed the carrying amount of the goodwill.</w:t>
      </w:r>
    </w:p>
    <w:p>
      <w:pPr>
        <w:spacing w:after="0" w:line="193"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Company determined a triggering event existed in the fourth quarter of 2022 resulting from the sustained decline in the Company’s stock price. A quantitative impairment test was performed and as a result, the Company recognized a $5.4 million goodwill impairment charge for the year ended December 31, 2022.</w:t>
      </w:r>
    </w:p>
    <w:p>
      <w:pPr>
        <w:spacing w:after="0" w:line="180" w:lineRule="exact"/>
        <w:rPr>
          <w:sz w:val="20"/>
          <w:szCs w:val="20"/>
          <w:color w:val="auto"/>
        </w:rPr>
      </w:pPr>
    </w:p>
    <w:p>
      <w:pPr>
        <w:ind w:left="120" w:right="60"/>
        <w:spacing w:after="0" w:line="303" w:lineRule="auto"/>
        <w:rPr>
          <w:sz w:val="20"/>
          <w:szCs w:val="20"/>
          <w:color w:val="auto"/>
        </w:rPr>
      </w:pPr>
      <w:r>
        <w:rPr>
          <w:rFonts w:ascii="Arial" w:cs="Arial" w:eastAsia="Arial" w:hAnsi="Arial"/>
          <w:sz w:val="16"/>
          <w:szCs w:val="16"/>
          <w:b w:val="1"/>
          <w:bCs w:val="1"/>
          <w:color w:val="auto"/>
        </w:rPr>
        <w:t xml:space="preserve">Deferred Financing Costs </w:t>
      </w:r>
      <w:r>
        <w:rPr>
          <w:rFonts w:ascii="Arial" w:cs="Arial" w:eastAsia="Arial" w:hAnsi="Arial"/>
          <w:sz w:val="16"/>
          <w:szCs w:val="16"/>
          <w:color w:val="auto"/>
        </w:rPr>
        <w:t>— The incremental cost, including the fair value of warrants, directly associated with obtaining debt financing is capitalized</w:t>
      </w:r>
      <w:r>
        <w:rPr>
          <w:rFonts w:ascii="Arial" w:cs="Arial" w:eastAsia="Arial" w:hAnsi="Arial"/>
          <w:sz w:val="16"/>
          <w:szCs w:val="16"/>
          <w:b w:val="1"/>
          <w:bCs w:val="1"/>
          <w:color w:val="auto"/>
        </w:rPr>
        <w:t xml:space="preserve"> </w:t>
      </w:r>
      <w:r>
        <w:rPr>
          <w:rFonts w:ascii="Arial" w:cs="Arial" w:eastAsia="Arial" w:hAnsi="Arial"/>
          <w:sz w:val="16"/>
          <w:szCs w:val="16"/>
          <w:color w:val="auto"/>
        </w:rPr>
        <w:t>as deferred financing costs upon the issuance of the debt and amortized over the term of the related debt agreement using the effective-interest method with such amortized amounts included as a component of interest expense in the consolidated statements of operations. Unamortized deferred financing costs are presented on the consolidated balance sheets as a direct deduction from the carrying amount of the related debt obligation.</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86" w:right="4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340"/>
        <w:spacing w:after="0" w:line="289" w:lineRule="auto"/>
        <w:rPr>
          <w:sz w:val="20"/>
          <w:szCs w:val="20"/>
          <w:color w:val="auto"/>
        </w:rPr>
      </w:pPr>
      <w:r>
        <w:rPr>
          <w:rFonts w:ascii="Arial" w:cs="Arial" w:eastAsia="Arial" w:hAnsi="Arial"/>
          <w:sz w:val="17"/>
          <w:szCs w:val="17"/>
          <w:b w:val="1"/>
          <w:bCs w:val="1"/>
          <w:color w:val="auto"/>
        </w:rPr>
        <w:t xml:space="preserve">Public and Private Warrants </w:t>
      </w:r>
      <w:r>
        <w:rPr>
          <w:rFonts w:ascii="Arial" w:cs="Arial" w:eastAsia="Arial" w:hAnsi="Arial"/>
          <w:sz w:val="17"/>
          <w:szCs w:val="17"/>
          <w:color w:val="auto"/>
        </w:rPr>
        <w:t>— At the Closing Date of the Business Combination, SNII had 4,450,000 Private Warrants and 8,625,000 Public</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outstanding. Each whole warrant entitles the holder to purchase one share of the Company’s Common Stock at a price of $11.50 per share, subject to adjustments, and will expire five years after the Business Combination or earlier upon redemption or liquidation.</w:t>
      </w:r>
    </w:p>
    <w:p>
      <w:pPr>
        <w:spacing w:after="0" w:line="16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in the consolidated balance sheet at fair value upon the closing, with subsequent changes in the fair value recognized in the consolidated statements of operations at each reporting date. The fair value of the Private Warrants are measured using the Black-Scholes option-pricing model.</w:t>
      </w:r>
    </w:p>
    <w:p>
      <w:pPr>
        <w:spacing w:after="0" w:line="164"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Public Warrants also fail to meet the indexation guidance in ASC 815 and are accounted for as liabilities because they include a provision whereby if there is not an effective registration statement, the warrant holders have a cap of 0.361 shares of Common Stock per warrant (subject to adjustment), on the issuable number of shares in a cashless exercise. Subsequent to the separate listing and trading of the Public Warrants, their fair value has been measured based on the observable listed prices for such warrants. Upon consummation of the Business Combination, the Company recorded a liability related to the Public Warrants of $16.3 million, with an offsetting entry to additional paid-in capital. On December 31, 2022, the fair value of the Public Warrants decreased to $0.7 million with the corresponding gain from the change in fair value recorded in the consolidated statement of operations for the year ended December 31, 2022.</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13 and 15 for further information on fair value.</w:t>
      </w:r>
    </w:p>
    <w:p>
      <w:pPr>
        <w:spacing w:after="0" w:line="221" w:lineRule="exact"/>
        <w:rPr>
          <w:sz w:val="20"/>
          <w:szCs w:val="20"/>
          <w:color w:val="auto"/>
        </w:rPr>
      </w:pPr>
    </w:p>
    <w:p>
      <w:pPr>
        <w:ind w:left="120" w:right="80"/>
        <w:spacing w:after="0" w:line="314" w:lineRule="auto"/>
        <w:rPr>
          <w:sz w:val="20"/>
          <w:szCs w:val="20"/>
          <w:color w:val="auto"/>
        </w:rPr>
      </w:pPr>
      <w:r>
        <w:rPr>
          <w:rFonts w:ascii="Arial" w:cs="Arial" w:eastAsia="Arial" w:hAnsi="Arial"/>
          <w:sz w:val="16"/>
          <w:szCs w:val="16"/>
          <w:b w:val="1"/>
          <w:bCs w:val="1"/>
          <w:color w:val="auto"/>
        </w:rPr>
        <w:t xml:space="preserve">Derivative Warrant Liabilities </w:t>
      </w:r>
      <w:r>
        <w:rPr>
          <w:rFonts w:ascii="Arial" w:cs="Arial" w:eastAsia="Arial" w:hAnsi="Arial"/>
          <w:sz w:val="16"/>
          <w:szCs w:val="16"/>
          <w:color w:val="auto"/>
        </w:rPr>
        <w:t>— The Company does not use derivative instruments to hedge exposures to cash flow, market, or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risks. The Company evaluates all of its financial instruments, including issued stock purchase warrants, to determine if such instruments are derivatives or contain features that qualify as embedded derivatives, pursuant to ASC 815, “Derivatives and Hedging” (“ASC 815”) at the initial recognition date.</w:t>
      </w:r>
    </w:p>
    <w:p>
      <w:pPr>
        <w:spacing w:after="0" w:line="14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Other than the Public and Private Warrants noted above, the Company also issued warrants to Trinity Capital which are recognized as derivative liabilities in accordance with ASC 815. Accordingly, the Company recognizes the warrant instruments as liabilities at fair value and adjusts the instruments to fair value at each reporting period until exercised. The fair value of the warrant liabilities issued were initially measured using the Black-Scholes model and are subsequently remeasured at each reporting period with changes recorded as a component of other (expense) income in the Company’s consolidated statements of operations. During the year ended December 31, 2022 these warrants were exercised and are no longer outstanding.</w:t>
      </w:r>
    </w:p>
    <w:p>
      <w:pPr>
        <w:spacing w:after="0" w:line="188" w:lineRule="exact"/>
        <w:rPr>
          <w:sz w:val="20"/>
          <w:szCs w:val="20"/>
          <w:color w:val="auto"/>
        </w:rPr>
      </w:pPr>
    </w:p>
    <w:p>
      <w:pPr>
        <w:ind w:left="120" w:right="340"/>
        <w:spacing w:after="0" w:line="281" w:lineRule="auto"/>
        <w:rPr>
          <w:sz w:val="20"/>
          <w:szCs w:val="20"/>
          <w:color w:val="auto"/>
        </w:rPr>
      </w:pPr>
      <w:r>
        <w:rPr>
          <w:rFonts w:ascii="Arial" w:cs="Arial" w:eastAsia="Arial" w:hAnsi="Arial"/>
          <w:sz w:val="17"/>
          <w:szCs w:val="17"/>
          <w:b w:val="1"/>
          <w:bCs w:val="1"/>
          <w:color w:val="auto"/>
        </w:rPr>
        <w:t xml:space="preserve">Earn-Out Liability — </w:t>
      </w:r>
      <w:r>
        <w:rPr>
          <w:rFonts w:ascii="Arial" w:cs="Arial" w:eastAsia="Arial" w:hAnsi="Arial"/>
          <w:sz w:val="17"/>
          <w:szCs w:val="17"/>
          <w:color w:val="auto"/>
        </w:rPr>
        <w:t>At the closing of the Business Combination, the SPAC Sponsor subjected certain Sponsor Vesting Shares to forfeiture and</w:t>
      </w:r>
      <w:r>
        <w:rPr>
          <w:rFonts w:ascii="Arial" w:cs="Arial" w:eastAsia="Arial" w:hAnsi="Arial"/>
          <w:sz w:val="17"/>
          <w:szCs w:val="17"/>
          <w:b w:val="1"/>
          <w:bCs w:val="1"/>
          <w:color w:val="auto"/>
        </w:rPr>
        <w:t xml:space="preserve"> </w:t>
      </w:r>
      <w:r>
        <w:rPr>
          <w:rFonts w:ascii="Arial" w:cs="Arial" w:eastAsia="Arial" w:hAnsi="Arial"/>
          <w:sz w:val="17"/>
          <w:szCs w:val="17"/>
          <w:color w:val="auto"/>
        </w:rPr>
        <w:t>vesting as of the Closing Date if thresholds related to the weighted average price of Common Stock are not met for the duration of various specified consecutive day trading periods during the five-year period following the Closing (the “Earn-Out Triggering Events”). Any such shares held by the Sponsor that remain unvested after the fifth anniversary of the Closing will be forfeited.</w:t>
      </w:r>
    </w:p>
    <w:p>
      <w:pPr>
        <w:spacing w:after="0" w:line="16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These Sponsor Vesting Shares are accounted for as liability classified instruments because the Earn-Out Triggering Events that determine the number of Sponsor Vesting Shares to be earned back by the Sponsor include outcomes that are not solely indexed to the Common Stock of the Company. The aggregate fair value of the Sponsor Vesting Shares on the Closing Date was estimated using a Monte Carlo simulation model and was determined to be $20.4 million at the Closing Date.</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As of December 31, 2022, the Earn-Out Triggering Events were not achieved for any of the tranches, and as such, the Company adjusted the carrying amount of the liability to its estimated fair value of $1.2 million. The change in the fair value of $19.2 million for the year ended December 31, 2022 is included in gain on fair value change, net in the condensed consolidated statements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86" w:right="47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inputs into the respective valuation models at March 2, 2022 (the initial recognition) and December 31, 2022 are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Valuation Assumptions</w:t>
            </w:r>
          </w:p>
        </w:tc>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Initial Recognition on</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2"/>
          </w:tcPr>
          <w:p>
            <w:pPr>
              <w:jc w:val="right"/>
              <w:ind w:right="1540"/>
              <w:spacing w:after="0"/>
              <w:rPr>
                <w:sz w:val="20"/>
                <w:szCs w:val="20"/>
                <w:color w:val="auto"/>
              </w:rPr>
            </w:pPr>
            <w:r>
              <w:rPr>
                <w:rFonts w:ascii="Arial" w:cs="Arial" w:eastAsia="Arial" w:hAnsi="Arial"/>
                <w:sz w:val="14"/>
                <w:szCs w:val="14"/>
                <w:b w:val="1"/>
                <w:bCs w:val="1"/>
                <w:color w:val="auto"/>
              </w:rPr>
              <w:t>March 2, 2022</w:t>
            </w: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Simulated trading days</w:t>
            </w:r>
          </w:p>
        </w:tc>
        <w:tc>
          <w:tcPr>
            <w:tcW w:w="160" w:type="dxa"/>
            <w:vAlign w:val="bottom"/>
          </w:tcPr>
          <w:p>
            <w:pPr>
              <w:spacing w:after="0"/>
              <w:rPr>
                <w:sz w:val="18"/>
                <w:szCs w:val="18"/>
                <w:color w:val="auto"/>
              </w:rPr>
            </w:pPr>
          </w:p>
        </w:tc>
        <w:tc>
          <w:tcPr>
            <w:tcW w:w="2500" w:type="dxa"/>
            <w:vAlign w:val="bottom"/>
            <w:gridSpan w:val="2"/>
          </w:tcPr>
          <w:p>
            <w:pPr>
              <w:jc w:val="right"/>
              <w:ind w:right="1320"/>
              <w:spacing w:after="0"/>
              <w:rPr>
                <w:sz w:val="20"/>
                <w:szCs w:val="20"/>
                <w:color w:val="auto"/>
              </w:rPr>
            </w:pPr>
            <w:r>
              <w:rPr>
                <w:rFonts w:ascii="Arial" w:cs="Arial" w:eastAsia="Arial" w:hAnsi="Arial"/>
                <w:sz w:val="18"/>
                <w:szCs w:val="18"/>
                <w:color w:val="auto"/>
              </w:rPr>
              <w:t>1,198</w:t>
            </w:r>
          </w:p>
        </w:tc>
        <w:tc>
          <w:tcPr>
            <w:tcW w:w="3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30.50%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Risk-free rate</w:t>
            </w:r>
          </w:p>
        </w:tc>
        <w:tc>
          <w:tcPr>
            <w:tcW w:w="160" w:type="dxa"/>
            <w:vAlign w:val="bottom"/>
          </w:tcPr>
          <w:p>
            <w:pPr>
              <w:spacing w:after="0"/>
              <w:rPr>
                <w:sz w:val="18"/>
                <w:szCs w:val="18"/>
                <w:color w:val="auto"/>
              </w:rPr>
            </w:pPr>
          </w:p>
        </w:tc>
        <w:tc>
          <w:tcPr>
            <w:tcW w:w="2500" w:type="dxa"/>
            <w:vAlign w:val="bottom"/>
            <w:gridSpan w:val="2"/>
          </w:tcPr>
          <w:p>
            <w:pPr>
              <w:jc w:val="right"/>
              <w:ind w:right="1160"/>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Estimated time to expiration (years)</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5.000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recognizes revenue in accordance with Accounting Standards Codification (“ASC”) Topic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and accounts for certain contract costs in accordance with ASC 340-40,</w:t>
      </w:r>
      <w:r>
        <w:rPr>
          <w:rFonts w:ascii="Arial" w:cs="Arial" w:eastAsia="Arial" w:hAnsi="Arial"/>
          <w:sz w:val="18"/>
          <w:szCs w:val="18"/>
          <w:i w:val="1"/>
          <w:iCs w:val="1"/>
          <w:color w:val="auto"/>
        </w:rPr>
        <w:t xml:space="preserve"> Other Assets and Deferred Costs—Contracts with Customers.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recognizes revenue from contracts with customers by applying the following five-step model:</w:t>
      </w:r>
    </w:p>
    <w:p>
      <w:pPr>
        <w:spacing w:after="0" w:line="131"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25"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The Company generates revenue through its Quantum Computing as a Service (“QCaaS”) and development contracts and other services. Access to Rigetti quantum computing systems can be purchased as a quantum computing subscription, or on a usage basis for a specified quantity of hours. Revenue related to subscription-based access to (“QCaaS”) is recognized over time as access to the systems is provided on a ratable basis over the subscription term, which can range from six months to two years. This time-based input measure of progress provides a faithful depiction of the transfer of the services because the benefits the customer obtains generally equals the benefit from its access to the systems throughout the subscription term. Revenue related to usage-based access to Rigetti quantum computing systems is recognized over time as the systems are accessed using an output method based on compute credit hours expended. This output method provides a faithful depiction of the transfer of the services because the customer has purchased a specified quantity of hours of usage that diminishes each time an hour is expended and therefore each hour of access to the systems is considered a discrete delivery of underlying services in these arrangements.</w:t>
      </w:r>
    </w:p>
    <w:p>
      <w:pPr>
        <w:spacing w:after="0" w:line="16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Development contracts are generally multi-year, non-recurring arrangements in which the Company provides professional services regarding practical applications of quantum computing to technology and business problems within the customer’s industry or organization and assists the customer in developing quantum algorithms and applications that will provide commercial value to the customer in areas of business interest. Development contracts are typically fixed fee arrangements invoiced on a milestone basis but may also be invoiced on a time and materials or cost reimbursement basis in certain cases. Revenue related to development contracts and other services is recognized over time based on completed milestones or hours or costs incurred as appropriate. Revenue for partially completed milestones deemed probable of being met is recognized using an input measure based on actual labor hours incurred to date relative to total estimated labor hours needed to complete the milestone. This input measure of progress provides a faithful depiction of the transfer of the services because it closely depicts the Company’s efforts or inputs to the satisfaction of the performance obligation. Revenue related to the sale of custom quantum computing components is recognized at a point in time upon acceptance by the customer.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86" w:right="4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When the Company’s contracts with customers contain multiple performance obligations, the transaction price is allocated on a relative standalone selling price basis to each performance obligation. The Company typically determines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the Company will reallocate the total transaction price to each performance obligation based on the relative standalone selling price of each.</w:t>
      </w:r>
    </w:p>
    <w:p>
      <w:pPr>
        <w:spacing w:after="0" w:line="17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transaction price is the amount of consideration to which the Company expects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spacing w:after="0" w:line="15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Company’s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the Company’s assessment of standalone selling prices, the Company determined that there were no significant material rights provided to its customers requiring separate recognition.</w:t>
      </w:r>
    </w:p>
    <w:p>
      <w:pPr>
        <w:spacing w:after="0" w:line="19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timing of revenue recognition may not align with the right to invoice the customer. The Company records accounts receivable when it has the unconditional right to issue an invoice and receive payment, regardless of whether revenue has been recognized. If revenue has not yet been recognized, a contract liability (deferred revenue) is also recorded. If revenue is recognized in advance of the right to invoice, a contract asset or unbilled receivable is recorded, depending on whether the Company’s right to consideration is considered conditional or unconditional. Unbilled receivables are included within accounts receivable in the consolidated balance sheets.</w:t>
      </w:r>
    </w:p>
    <w:p>
      <w:pPr>
        <w:spacing w:after="0" w:line="18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instances where the timing of revenue recognition differs from the timing of the right to invoice, the Company has determined that a significant financing component generally does not exist. The primary purpose of the Company’s invoicing terms is to provide customers with simplified and predictable ways of purchasing the products and services and not to receive financing from or provide financing to the customer. Additionally, the Company has elected the practical expedient that permits an entity not to recognize a significant financing component if the time between the transfer of a good or service and payment is one year or less.</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Payment terms on invoiced amounts are typically net 30 days. The Company does not offer rights of return for its products and services in the normal course of business, and contracts generally do not include service-type warranties that provide any incremental service to the customer beyond providing assurance that the goods and services conform to applicable specifications or customer-specific or subjective acceptance provisions. The Company also excludes from revenue government-assessed and imposed taxes on revenue-generating activities that are invoiced to customers.</w:t>
      </w:r>
    </w:p>
    <w:p>
      <w:pPr>
        <w:spacing w:after="0" w:line="153" w:lineRule="exact"/>
        <w:rPr>
          <w:sz w:val="20"/>
          <w:szCs w:val="20"/>
          <w:color w:val="auto"/>
        </w:rPr>
      </w:pPr>
    </w:p>
    <w:p>
      <w:pPr>
        <w:ind w:left="120" w:right="360"/>
        <w:spacing w:after="0" w:line="293" w:lineRule="auto"/>
        <w:rPr>
          <w:sz w:val="20"/>
          <w:szCs w:val="20"/>
          <w:color w:val="auto"/>
        </w:rPr>
      </w:pPr>
      <w:r>
        <w:rPr>
          <w:rFonts w:ascii="Arial" w:cs="Arial" w:eastAsia="Arial" w:hAnsi="Arial"/>
          <w:sz w:val="16"/>
          <w:szCs w:val="16"/>
          <w:b w:val="1"/>
          <w:bCs w:val="1"/>
          <w:color w:val="auto"/>
        </w:rPr>
        <w:t xml:space="preserve">Costs of Obtaining and Fulfilling Contracts </w:t>
      </w:r>
      <w:r>
        <w:rPr>
          <w:rFonts w:ascii="Arial" w:cs="Arial" w:eastAsia="Arial" w:hAnsi="Arial"/>
          <w:sz w:val="16"/>
          <w:szCs w:val="16"/>
          <w:color w:val="auto"/>
        </w:rPr>
        <w:t>— The Company has elected to apply the practical expedient to expense contract acquisition costs as</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when the expected amortization period is one year or less. The Company capitalizes incremental costs incurred to fulfill its contracts that</w:t>
      </w:r>
    </w:p>
    <w:p>
      <w:pPr>
        <w:spacing w:after="0" w:line="1" w:lineRule="exact"/>
        <w:rPr>
          <w:sz w:val="20"/>
          <w:szCs w:val="20"/>
          <w:color w:val="auto"/>
        </w:rPr>
      </w:pPr>
    </w:p>
    <w:p>
      <w:pPr>
        <w:ind w:left="120" w:right="200" w:hanging="4"/>
        <w:spacing w:after="0" w:line="260"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relate directly to the contract, (ii) are expected to generate resources that will be used to satisfy the Company’s performance obligation(s) under the contract, and (iii) are expected to be recovered through revenue generated under the contract.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86"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303" w:lineRule="auto"/>
        <w:rPr>
          <w:sz w:val="20"/>
          <w:szCs w:val="20"/>
          <w:color w:val="auto"/>
        </w:rPr>
      </w:pPr>
      <w:r>
        <w:rPr>
          <w:rFonts w:ascii="Arial" w:cs="Arial" w:eastAsia="Arial" w:hAnsi="Arial"/>
          <w:sz w:val="16"/>
          <w:szCs w:val="16"/>
          <w:b w:val="1"/>
          <w:bCs w:val="1"/>
          <w:color w:val="auto"/>
        </w:rPr>
        <w:t xml:space="preserve">Cost of Revenue </w:t>
      </w:r>
      <w:r>
        <w:rPr>
          <w:rFonts w:ascii="Arial" w:cs="Arial" w:eastAsia="Arial" w:hAnsi="Arial"/>
          <w:sz w:val="16"/>
          <w:szCs w:val="16"/>
          <w:color w:val="auto"/>
        </w:rPr>
        <w:t>— Cost of revenue consists primarily of all direct and indirect cost associated with providing QCaaS offerings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contracts and other services, including employee salaries and employee related costs, including compensation, bonuses, employee taxes and benefit costs of program management and personnel associated with the delivery of goods and services to customers. Cost of revenue also includes an allocation of facility costs, depreciation and amortization directly related to providing the QCaaS offerings and development contracts and other services.</w:t>
      </w:r>
    </w:p>
    <w:p>
      <w:pPr>
        <w:spacing w:after="0" w:line="151"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 Research and development costs are expensed as incurred. Research and development expenses include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benefits, stock-based compensation, outside consultant fees, allocation of facility costs, depreciation and amortization, materials and components purchased for research and development.</w:t>
      </w:r>
    </w:p>
    <w:p>
      <w:pPr>
        <w:spacing w:after="0" w:line="176" w:lineRule="exact"/>
        <w:rPr>
          <w:sz w:val="20"/>
          <w:szCs w:val="20"/>
          <w:color w:val="auto"/>
        </w:rPr>
      </w:pPr>
    </w:p>
    <w:p>
      <w:pPr>
        <w:ind w:left="120" w:right="20"/>
        <w:spacing w:after="0" w:line="281" w:lineRule="auto"/>
        <w:rPr>
          <w:sz w:val="20"/>
          <w:szCs w:val="20"/>
          <w:color w:val="auto"/>
        </w:rPr>
      </w:pPr>
      <w:r>
        <w:rPr>
          <w:rFonts w:ascii="Arial" w:cs="Arial" w:eastAsia="Arial" w:hAnsi="Arial"/>
          <w:sz w:val="17"/>
          <w:szCs w:val="17"/>
          <w:b w:val="1"/>
          <w:bCs w:val="1"/>
          <w:color w:val="auto"/>
        </w:rPr>
        <w:t xml:space="preserve">General and Administrative </w:t>
      </w:r>
      <w:r>
        <w:rPr>
          <w:rFonts w:ascii="Arial" w:cs="Arial" w:eastAsia="Arial" w:hAnsi="Arial"/>
          <w:sz w:val="17"/>
          <w:szCs w:val="17"/>
          <w:color w:val="auto"/>
        </w:rPr>
        <w:t>— General and administrative expenses include compensation, employee benefits, stock-based compensation, legal,</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finance administration and human resources, an allocation of facility costs (including leases), bad debt costs, professional service fees, and an allocation of other general overhead costs including depreciation and amortization to support Rigetti’s operations, which consists of operations other than associated with providing QCaaS offerings and development contracts and other services.</w:t>
      </w:r>
    </w:p>
    <w:p>
      <w:pPr>
        <w:spacing w:after="0" w:line="165"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 xml:space="preserve">Sales and Marketing — </w:t>
      </w:r>
      <w:r>
        <w:rPr>
          <w:rFonts w:ascii="Arial" w:cs="Arial" w:eastAsia="Arial" w:hAnsi="Arial"/>
          <w:sz w:val="18"/>
          <w:szCs w:val="18"/>
          <w:color w:val="auto"/>
        </w:rPr>
        <w:t>Sales and marketing expenses consist primarily of compensation including stock-based compensation, employee benefits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marketing employees, outside consultants fees, travel and marketing and promotion costs.</w:t>
      </w:r>
    </w:p>
    <w:p>
      <w:pPr>
        <w:spacing w:after="0" w:line="162"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b w:val="1"/>
          <w:bCs w:val="1"/>
          <w:color w:val="auto"/>
        </w:rPr>
        <w:t xml:space="preserve">Capitalized Software — </w:t>
      </w:r>
      <w:r>
        <w:rPr>
          <w:rFonts w:ascii="Arial" w:cs="Arial" w:eastAsia="Arial" w:hAnsi="Arial"/>
          <w:sz w:val="16"/>
          <w:szCs w:val="16"/>
          <w:color w:val="auto"/>
        </w:rPr>
        <w:t>The Company capitalizes the costs to develop its internal-use software when preliminary development efforts are successfully</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management has authorized and committed project funding, and it is probable that the project will be completed and the software will be used as intended. Such costs are included in property and equipment in the consolidated balance sheets and are amortized on a straight-line basis over the estimated useful life of the related asset. These capitalized costs are primarily related to the software infrastructure supporting the quantum computing services purchased by customers. Costs incurred in the preliminary stages of development are expensed as incurred. Once an application has reached the development stage, internal and external costs, if direct and incremental,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features and functionality. Maintenance costs are expensed as incurred. During the year ended December 31, 2022 and 11 months ended December 31, 2021, no capitalized software has been recorded.</w:t>
      </w:r>
    </w:p>
    <w:p>
      <w:pPr>
        <w:spacing w:after="0" w:line="16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Income taxes are accounted for under the asset and liability method. Deferred tax assets and liabilities are recognized for the future tax</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As of December 31, 2022 and December 31, 2021, the Company has recorded a full valuation allowance against its deferred tax assets. The Company recognizes the effect of income tax positions only if it is more likely than not that those positions will be sustained. Recognized income tax positions are measured at the largest amount that has a greater than 50% likelihood of being realized. Changes in recognition or measurement are reflected in the period in which the change in judgment occurs. The Company records interest related to unrecognized tax benefits in interest expense and penalties in income tax expense.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86"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b w:val="1"/>
          <w:bCs w:val="1"/>
          <w:color w:val="auto"/>
        </w:rPr>
        <w:t xml:space="preserve">Net Loss Per Share </w:t>
      </w:r>
      <w:r>
        <w:rPr>
          <w:rFonts w:ascii="Arial" w:cs="Arial" w:eastAsia="Arial" w:hAnsi="Arial"/>
          <w:sz w:val="17"/>
          <w:szCs w:val="17"/>
          <w:color w:val="auto"/>
        </w:rPr>
        <w:t>— Basic net loss per common share is computed by dividing the net loss available to Common Stockholders (the numerator)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weighted-average number of common shares outstanding (the denominator) during the period. Diluted net loss per common share is computed by dividing the net loss available to Common Stockholders adjusted by any preferred stock dividends declared during the period by the weighted average number of common shares and potential common shares outstanding when the impact is not antidilutive. Potential common shares from stock options, unvested restricted stock units and Common Stock warrants are computed using the treasury stock method, while those from convertible Series C and C-1 Preferred Stock are computed using the if-converted method. Contingently issuable shares are included in basic net loss per share only when there is no circumstance under which those shares would not be issued. Shares issuable for little or no cash consideration shall be considered outstanding common shares and included in the computation of basic net loss per share.</w:t>
      </w:r>
    </w:p>
    <w:p>
      <w:pPr>
        <w:spacing w:after="0" w:line="172" w:lineRule="exact"/>
        <w:rPr>
          <w:sz w:val="20"/>
          <w:szCs w:val="20"/>
          <w:color w:val="auto"/>
        </w:rPr>
      </w:pPr>
    </w:p>
    <w:p>
      <w:pPr>
        <w:ind w:left="120" w:right="40"/>
        <w:spacing w:after="0" w:line="292"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share-based compensation in accordance with ASC 718, Compensation – Stock</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The Company’s share-based compensation awards are all equity-classified and consist of stock options, restricted stock units (“RSU”) and restricted stock awards (“RSA”). Most stock options have service vesting conditions ranging from 1 to 5 years. RSAs are fully vested on grant date. RSUs granted under the Rigetti &amp; Co., Inc. 2013 Equity Incentive Plan (the “2013 Plan”) have a 4-year service vesting condition and a performance condition linked to the occurrence of a liquidity event defined as a change-in-control event, successful initial public offering or successful merger with a special purpose acquisition company, which was satisfied at the Closing. RSUs granted under the Rigetti Computing, Inc. 2022 Equity Incentive Plan (the “2022 Plan”) have a service vesting condition only. The Company occasionally issues awards that might have different vesting conditions.</w:t>
      </w:r>
    </w:p>
    <w:p>
      <w:pPr>
        <w:spacing w:after="0" w:line="16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Compensation expense is based on the grant-date fair value of the awards and recognized over the requisite service period using a straight-line method for awards that have a service only condition. Compensation expense for awards with service and performance and/or market conditions is recognized using a graded vesting method. Compensation expense for RSAs is recognized fully on grant date. Compensation expenses for awards with a market condition are recognized over the requite service period regardless of whether the market condition is met unless the service requirement is not met. The Company has elected to account for forfeitures of employee stock awards as they occur.</w:t>
      </w:r>
    </w:p>
    <w:p>
      <w:pPr>
        <w:spacing w:after="0" w:line="172" w:lineRule="exact"/>
        <w:rPr>
          <w:sz w:val="20"/>
          <w:szCs w:val="20"/>
          <w:color w:val="auto"/>
        </w:rPr>
      </w:pPr>
    </w:p>
    <w:p>
      <w:pPr>
        <w:ind w:left="120" w:right="60"/>
        <w:spacing w:after="0" w:line="274"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 The Company reports all financial assets and liabilities and nonfinancial assets and liabilities that are recognized or</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disclosed at fair value in the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6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3—Inputs are unobservable for the asset or liability.</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86" w:right="4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303" w:lineRule="auto"/>
        <w:rPr>
          <w:sz w:val="20"/>
          <w:szCs w:val="20"/>
          <w:color w:val="auto"/>
        </w:rPr>
      </w:pPr>
      <w:r>
        <w:rPr>
          <w:rFonts w:ascii="Arial" w:cs="Arial" w:eastAsia="Arial" w:hAnsi="Arial"/>
          <w:sz w:val="16"/>
          <w:szCs w:val="16"/>
          <w:b w:val="1"/>
          <w:bCs w:val="1"/>
          <w:color w:val="auto"/>
        </w:rPr>
        <w:t xml:space="preserve">Concentrations of Credit Risk </w:t>
      </w:r>
      <w:r>
        <w:rPr>
          <w:rFonts w:ascii="Arial" w:cs="Arial" w:eastAsia="Arial" w:hAnsi="Arial"/>
          <w:sz w:val="16"/>
          <w:szCs w:val="16"/>
          <w:color w:val="auto"/>
        </w:rPr>
        <w:t>— Financial instruments that potentially subject the Company to concentrations of credit risk consist primarily of cash</w:t>
      </w:r>
      <w:r>
        <w:rPr>
          <w:rFonts w:ascii="Arial" w:cs="Arial" w:eastAsia="Arial" w:hAnsi="Arial"/>
          <w:sz w:val="16"/>
          <w:szCs w:val="16"/>
          <w:b w:val="1"/>
          <w:bCs w:val="1"/>
          <w:color w:val="auto"/>
        </w:rPr>
        <w:t xml:space="preserve"> </w:t>
      </w:r>
      <w:r>
        <w:rPr>
          <w:rFonts w:ascii="Arial" w:cs="Arial" w:eastAsia="Arial" w:hAnsi="Arial"/>
          <w:sz w:val="16"/>
          <w:szCs w:val="16"/>
          <w:color w:val="auto"/>
        </w:rPr>
        <w:t>and cash equivalents, short-term investments in the form of commercial paper and corporate bonds, and trade accounts receivable. The Company’s cash and cash equivalents and short-term investments are placed with high-credit-quality financial institutions, and at times exceed federally insured limits. To date, the Company has not experienced any credit loss relating to its cash and cash equivalents or short-term investments.</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customers that represent 10% or more of revenue are set forth in the following tables: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74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5"/>
              </w:rPr>
              <w:t>For the Year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For the 11</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7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62"/>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w:t>
            </w:r>
          </w:p>
        </w:tc>
        <w:tc>
          <w:tcPr>
            <w:tcW w:w="17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8"/>
        </w:trPr>
        <w:tc>
          <w:tcPr>
            <w:tcW w:w="5800" w:type="dxa"/>
            <w:vAlign w:val="bottom"/>
            <w:gridSpan w:val="2"/>
            <w:vMerge w:val="continue"/>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2022</w:t>
            </w:r>
          </w:p>
        </w:tc>
        <w:tc>
          <w:tcPr>
            <w:tcW w:w="76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7"/>
        </w:trPr>
        <w:tc>
          <w:tcPr>
            <w:tcW w:w="600" w:type="dxa"/>
            <w:vAlign w:val="bottom"/>
            <w:shd w:val="clear" w:color="auto" w:fill="000000"/>
          </w:tcPr>
          <w:p>
            <w:pPr>
              <w:spacing w:after="0"/>
              <w:rPr>
                <w:sz w:val="2"/>
                <w:szCs w:val="2"/>
                <w:color w:val="auto"/>
              </w:rPr>
            </w:pPr>
          </w:p>
        </w:tc>
        <w:tc>
          <w:tcPr>
            <w:tcW w:w="5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w:t>
            </w: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7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7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Customer F</w:t>
            </w: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*Customer accounted for less than 10% of revenue in the respective period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customers that represent 10% or more of accounts receivable are set forth in the following tables: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w:t>
            </w: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58"/>
        </w:trPr>
        <w:tc>
          <w:tcPr>
            <w:tcW w:w="5800" w:type="dxa"/>
            <w:vAlign w:val="bottom"/>
            <w:gridSpan w:val="2"/>
            <w:vMerge w:val="continue"/>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2022</w:t>
            </w:r>
          </w:p>
        </w:tc>
        <w:tc>
          <w:tcPr>
            <w:tcW w:w="9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Customer A</w:t>
            </w:r>
          </w:p>
        </w:tc>
        <w:tc>
          <w:tcPr>
            <w:tcW w:w="8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65%</w:t>
            </w: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9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840" w:type="dxa"/>
            <w:vAlign w:val="bottom"/>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*Customer accounted for less than 10% of accounts receivable in the respective period</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Sales to government entities comprised 81.3% and 80.0% of the Company’s total revenue for the year ended December 31, 2022 and 11 months ended December 31, 2021, respectively.</w:t>
      </w:r>
    </w:p>
    <w:p>
      <w:pPr>
        <w:spacing w:after="0" w:line="166" w:lineRule="exact"/>
        <w:rPr>
          <w:sz w:val="20"/>
          <w:szCs w:val="20"/>
          <w:color w:val="auto"/>
        </w:rPr>
      </w:pPr>
    </w:p>
    <w:p>
      <w:pPr>
        <w:ind w:left="120" w:right="20"/>
        <w:spacing w:after="0" w:line="292"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February 2016, the FASB issued ASU 2016-02, Leases and related subsequently issued ASUs</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“Topic 842”), which supersedes Topic 840. From a lessee perspective, the core principle of Topic 842 is that a lessee should recognize the assets and liabilities that arise from leases. A lessee should recognize in the statement of financial position a liability to make lease payments (the lease liability) and a right-of-use (“ROU”) asset representing its right to use the underlying asset for the lease term. There continues to be a differentiation between finance leases (which replace capital leases as so identified under Topic 840) and operating leases. However, the principal difference from the previous guidance is that the lease assets and lease liabilities arising from operating leases should be recognized in the statement of financial position. The updated guidance also requires additional quantitative and qualitative disclosures and allows various practical expedients.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40"/>
          </w:cols>
          <w:pgMar w:left="320" w:top="486" w:right="5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87" w:lineRule="auto"/>
        <w:rPr>
          <w:sz w:val="20"/>
          <w:szCs w:val="20"/>
          <w:color w:val="auto"/>
        </w:rPr>
      </w:pPr>
      <w:r>
        <w:rPr>
          <w:rFonts w:ascii="Arial" w:cs="Arial" w:eastAsia="Arial" w:hAnsi="Arial"/>
          <w:sz w:val="16"/>
          <w:szCs w:val="16"/>
          <w:color w:val="auto"/>
        </w:rPr>
        <w:t>The Company adopted Topic 842 effective January 1, 2022, using the modified retrospective transition option of applying the new standard at the adoption date for all leases with an original term greater than 12 months. The Company elected the package of practical expedients requiring no reassessment of (i) whether any expired or existing contracts are or contain leases, (ii) the lease classification of any expired or existing leases, or</w:t>
      </w:r>
    </w:p>
    <w:p>
      <w:pPr>
        <w:spacing w:after="0" w:line="2" w:lineRule="exact"/>
        <w:rPr>
          <w:sz w:val="20"/>
          <w:szCs w:val="20"/>
          <w:color w:val="auto"/>
        </w:rPr>
      </w:pPr>
    </w:p>
    <w:p>
      <w:pPr>
        <w:ind w:left="120" w:right="320" w:hanging="4"/>
        <w:spacing w:after="0" w:line="270" w:lineRule="auto"/>
        <w:tabs>
          <w:tab w:leader="none" w:pos="435"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initial direct costs for any existing leases. Adoption of the standard had a material impact on the Company’s consolidated balance sheet by recognizing operating lease ROU assets and operating lease liabilities but did not have an impact on its consolidated statement of operations or cash flows on the date of adoption. The adoption of Topic 842 was recorded as of January 1, 2022 and resulted in the recognition of operating lease ROU assets and operating lease liabilities of $6.3 million and $6.6 million respectively and a $0.3 million adjustment to deferred rent, with no impact to accumulated deficit as of January 1, 2022. The period ended December 31, 2021 continues to be reported in accordance with the Company’s historic accounting under previous lease guidance, Topic 840.</w:t>
      </w:r>
    </w:p>
    <w:p>
      <w:pPr>
        <w:spacing w:after="0" w:line="178"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the Company’s balance sheet as operating lease ROU assets and operating lease liabilities as of December 31, 2022. Operating lease ROU assets represent the Company’s right to use an underlying asset for the lease term and operating lease liabilities represent the Company’s obligation to make lease payments arising from the lease. Operating lease ROU assets and liabilities are recognized at the lease commencement date based on the present value of lease payments over the lease term. In determining the net present value of its lease payments, the Company uses an estimated incremental borrowing rate that is applicable to the Company based on the information available at the later of the lease commencement date, lease modification date, or the date of adoption of Topic 842. The operating lease ROU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taking into account adjustments for provisions such as free rent, escalating base monthly rental payments or deferred payment terms such as rent holidays that defer the commencement date of required payments. The Company has elected not to apply the recognition requirements of Topic 842 for short-term leases. The Company considers leases with a term of 12 months or less at the date of commencement to be short-term.</w:t>
      </w:r>
    </w:p>
    <w:p>
      <w:pPr>
        <w:spacing w:after="0" w:line="16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(“ASU 2021-04”). The guidance in ASU 2021-04 clarifies and reduces diversity in an issuer’s accounting for modifications or exchanges of freestanding equity-classified written call options that remain equity classified after modification or exchange. The standard is effective for public companies for fiscal years, and interim periods within those fiscal years, beginning after December 15, 2021.The Company adopted ASU 2021-04 as of January 1, 2022. The adoption of ASU 2021-04 did not have an impact on the Company’s financial position and results of operations.</w:t>
      </w:r>
    </w:p>
    <w:p>
      <w:pPr>
        <w:spacing w:after="0" w:line="17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which is intended to simplify various aspects related to accounting for income taxes. ASU 2019-12 removes certain exceptions to the general principles in ASC 740 and also clarifies and amends existing guidance to improve consistent application. The Company adopted this ASU on January 1, 2022. Adoption did not have a significant impact on the Company’s financial statements or related disclosures.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86" w:right="4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b w:val="1"/>
          <w:bCs w:val="1"/>
          <w:color w:val="auto"/>
        </w:rPr>
        <w:t xml:space="preserve">Recently Issued Accounting Pronouncements Not Yet Adopted </w:t>
      </w:r>
      <w:r>
        <w:rPr>
          <w:rFonts w:ascii="Arial" w:cs="Arial" w:eastAsia="Arial" w:hAnsi="Arial"/>
          <w:sz w:val="16"/>
          <w:szCs w:val="16"/>
          <w:color w:val="auto"/>
        </w:rPr>
        <w:t>— In June 2022, the FASB issued ASU 2022-03, ASC Subtopic 820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w:t>
      </w:r>
    </w:p>
    <w:p>
      <w:pPr>
        <w:spacing w:after="0" w:line="2" w:lineRule="exact"/>
        <w:rPr>
          <w:sz w:val="20"/>
          <w:szCs w:val="20"/>
          <w:color w:val="auto"/>
        </w:rPr>
      </w:pPr>
    </w:p>
    <w:p>
      <w:pPr>
        <w:ind w:left="120" w:right="60" w:hanging="4"/>
        <w:spacing w:after="0" w:line="253" w:lineRule="auto"/>
        <w:tabs>
          <w:tab w:leader="none" w:pos="3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amend a related illustrative example, and (3) to introduce new disclosure requirements for equity securities subject to contractual sale restrictions that are measured at fair value in accordance with Topic 820. The ASU is effective for the Company after December 15, 2024, and interim periods within those fiscal years, with early adoption permitted. The Company is still evaluating the impact of this pronouncement on the consolidated financial statements.</w:t>
      </w:r>
    </w:p>
    <w:p>
      <w:pPr>
        <w:spacing w:after="0" w:line="193"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August 2020, the FASB issued ASU No. 2020-06, Debt - (Topic 815) (“ASU No. 2020-06”), which simplifies an issuer’s accounting for convertible instruments and its application of the derivatives scope exception for contracts in its own equity. The amendments in ASU No. 2020-06 are effective for public companies, other than smaller reporting companies,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Company is still evaluating the impact of this pronouncement on the consolidated financial statements.</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April 2019, the FASB issued ASU 2019-04, Codification Improvements to Topic 326, Financial Instruments—Credit Losses, Topic 815, Derivatives and Hedging, and Topic 825, Financial Instruments. ASU No. 2019-04 was issued as part of the FASB’s ongoing project to improve upon its Accounting Standards Codification (ASC), and to clarify and improve areas of guidance related to recently issued standards on credit losses, hedging, and recognition and measurement. For entities that have not yet adopted the guidance in Update 2016-13, the effective dates and the transition requirements for these amendments are the same as the effective date and transition requirements in Update 2016-13. The amendments related to ASC 326 are effective for the Company as of January 1, 2023. The adoption of the ASU is not expected to have a material impact on its consolidated financial statements.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BUSINESS COMBINATION</w:t>
      </w:r>
    </w:p>
    <w:p>
      <w:pPr>
        <w:spacing w:after="0" w:line="12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As discussed in Note 1, on March 2, 2022, the Business Combination was completed. Pursuant to the Company’s certificate of incorporation, as amended on March 2, 2022, the Company is authorized to issue 1,000,000,000 shares of Common Stock and 10,000,000 shares of preferred stock, par value $0.0001, of the Company (the “Preferred Stock”). The holders of shares of Common Stock are entitled to one vote for each share of Common Stock held. The Preferred Stock is non-voting. No shares of Preferred Stock were issued and outstanding as of December 31, 2022.</w:t>
      </w:r>
    </w:p>
    <w:p>
      <w:pPr>
        <w:spacing w:after="0" w:line="15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On March 1, 2022, prior to the Closing, as contemplated by the Merger Agreement and following approval by SNII’s shareholders at an extraordinary general meeting of shareholders held on February 28, 2022 (the “Extraordinary General Meeting”), SNII filed a notice of deregistration with the Cayman Islands Registrar of Companies, together with the necessary accompanying documents, and filed a certificate of incorporation (the “Certificate of Incorporation”) and a certificate of corporate domestication with the Secretary of State of the State of Delaware, under which SNII was domesticated and continues as a Delaware corporation, changing its name to “Rigetti Computing, Inc.”</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86"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As a result of and upon the effective time of the Domestication (which occurred on March 1, 2022), among other things:(1) each then issued and outstanding Class A ordinary share, par value $0.0001 per share, of SNII (“SNII Class A ordinary share”) converted automatically, on a one-for-one basis, into a share of Common Stock; (2) each then issued and outstanding Class B ordinary share, par value $0.0001 per share, of SNII (“SNII Class B ordinary share”) converted automatically, on a one-for-one basis, into a share of Common Stock; (3) each then issued and outstanding whole warrant of SNII to purchase one SNII Class A ordinary share converted automatically into a Public Warrant to acquire one share of Common Stock at an exercise price of $11.50 per share pursuant to the Warrant Agreement, dated March 1, 2021, between SNII and American Stock Transfer &amp; Trust Company, as warrant agent; (4) and each then issued and outstanding unit of SNII (the “SNII Units”) was separated and converted automatically into one share of Common Stock and one-fourth of one Warrant.</w:t>
      </w:r>
    </w:p>
    <w:p>
      <w:pPr>
        <w:spacing w:after="0" w:line="17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Immediately prior to the effective time of the Business Combination, each share of Legacy Rigetti’s Series C preferred stock and Series C-1 preferred stock (collectively, the “Legacy Rigetti Preferred Stock”) with Par Value of $0.000001 converted into shares of Common Stock of Legacy Rigetti (“Legacy Rigetti Common Stock”) in accordance with the Amended and Restated Certificate of Incorporation of Legacy Rigetti (such conversion, the “Legacy Rigetti Preferred Conversion”).</w:t>
      </w:r>
    </w:p>
    <w:p>
      <w:pPr>
        <w:spacing w:after="0" w:line="18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As a result of the Business Combination, among other things (1) all outstanding shares of Legacy Rigetti Common Stock as of immediately prior to the Closing (including Legacy Rigetti Common Stock resulting from the Legacy Rigetti Preferred Stock Conversion), were exchanged at an exchange ratio of 0.7870 (the “Exchange Ratio”) for an aggregate of 78,959,579 shares of Common Stock; (2) each warrant to purchase Legacy Rigetti Common Stock converted into a warrant to purchase shares of Common Stock (“Assumed Warrant”), with each Assumed Warrant subject to the same terms and conditions as were applicable to the original Legacy Rigetti warrant and having an exercise price and number of shares of Common Stock purchasable based on the Exchange Ratio and other terms contained in the Merger Agreement; (3) each option to purchase Legacy Rigetti Common Stock converted into an option to purchase shares of Common Stock (“Assumed Option”), with each Assumed Option subject to the same terms and conditions as were applicable to the original Legacy Rigetti option and with an exercise price and number of shares of Common Stock purchasable based on the Exchange Ratio and other terms contained in the Merger Agreement, and; (4) each Legacy Rigetti restricted stock unit award converted into a restricted stock unit award to receive shares of Common Stock (“Assumed RSU Award”), with each Assumed RSU Award subject to the same terms and conditions as were applicable to the Legacy Rigetti restricted stock unit award, and with the number of shares of Common Stock to which the Assumed RSU Award converted based on the Exchange Ratio and other terms contained in the Merger Agreement.</w:t>
      </w:r>
    </w:p>
    <w:p>
      <w:pPr>
        <w:spacing w:after="0" w:line="16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connection with the execution of the Merger Agreement, SNII entered into a sponsor support agreement (the “Sponsor Support Agreement”) with the Sponsor, Legacy Rigetti and SNII’s directors and officers. Pursuant to the Sponsor Support Agreement, the Sponsor and SNII’s directors and officers (“Sponsor Holders”), among other things, agreed to vote all of their shares of SNII capital stock in favor of the approval of the Business Combination. In addition, pursuant to the Sponsor Support Agreement, (i) 2,479,000 shares of Common Stock held by the Sponsor Holders became unvested and subject to forfeiture as of the Closing and will only vest if, during the five year period following the Closing, the volume weighted average price of Common Stock equals or exceeds $12.50 for any twenty trading days within a period of thirty consecutive trading days, and (ii) 580,273 shares of Common Stock held by the Sponsor Holders became unvested and subject to forfeiture as of the Closing and will only vest if, during the five year period following the Closing, the volume weighted average price of Common Stock equals or exceeds $15.00 for any twenty trading days within a period of thirty consecutive trading days. Any such shares held by the Sponsor Holders that remain unvested after the fifth anniversary of the Closing will be forfeited. (Refer to Note 2 for related significant accounting policy for the Sponsor Earn-Out Liability).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86" w:right="4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Concurrently with the execution of the Merger Agreement, SNII entered into Subscription Agreements (the “Initial Subscription Agreements”) with certain investors (together, the “Initial PIPE Investors”), pursuant to which the Initial PIPE Investors agreed to subscribe for and purchase, and SNII agreed to issue and sell to the Initial PIPE Investors, an aggregate of 10,251,000 shares of Common Stock at a price of $10.00 per share, for aggregate gross proceeds of $102.5 Million (the “Initial PIPE Financing”). On December 23, 2021, SNII entered into Subscription Agreements (the “Subsequent Subscription Agreements”, and together with the Initial Subscription Agreements, the “Subscription Agreements”) with two investors (the “Subsequent PIPE Investors”, and together with the Initial PIPE Investors, the “PIPE Investors”) pursuant to which the Subsequent PIPE Investors agreed to subscribe for and purchase, and SNII agreed to issue and sell to the Subsequent PIPE Investors, an aggregate of 4,390,244 shares of Common Stock at a price of $10.25 per share, for aggregate gross proceeds of $45.0 Million (the “Subsequent PIPE Financing”, and together with the Initial PIPE Financing, the “PIPE Financing”). Pursuant to the Subscription Agreements, Rigetti agreed to provide the PIPE Investors with certain registration rights with respect to the shares purchased as part of the PIPE Financing. The PIPE Financing was consummated immediately prior to the Merger.</w:t>
      </w:r>
    </w:p>
    <w:p>
      <w:pPr>
        <w:spacing w:after="0" w:line="16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Business Combination is accounted for as a reverse recapitalization in accordance with U.S. GAAP. Under this method of accounting, SNII was treated as the “acquired” company for financial reporting purposes.</w:t>
      </w:r>
    </w:p>
    <w:p>
      <w:pPr>
        <w:spacing w:after="0" w:line="17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In accounting for the Business Combination and after redemptions, net proceeds received by the Company totaled $225.6 million. The table below shows the net proceeds from business combination and PIPE financing:</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 SNII trust and cash (net of redemption)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77,769</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Cash - PIPE</w:t>
            </w: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147,510</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 SNII operating account</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Proceeds from Business Combination and PIPE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225,604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Transaction costs consist of direct legal, accounting and other fees relating to the consummation of the Merger. Legacy Rigetti transaction costs specific and directly attributable to the business combination totaled $20.65 million. These costs were initially capitalized as incurred in deferred offering assets on the consolidated balance sheets. Upon the Closing, transaction costs related to the issuance of shares were recognized in stockholders’ equity (deficit) while costs associated with the Public Warrants, Private Warrants and Sponsor Vesting Shares were expensed in the consolidated statements of operations. Of the total transaction cost of $20.65 million, $19.75 million was recorded to additional paid-in capital as a reduction of proceeds and the remaining $0.9 million was recognized in the consolidated statements of operations during the year ended December 31, 2022. Transaction cost paid through cash during the year ended December 31, 2022, equals $16.7 million. For the year ended December 31, 2022, the Company also paid a one-time bonus to certain employees related to the business combination of $2.1 million.</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86" w:right="4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number of shares of Common Stock issued immediately following the consummation of the Business Combination was as follows:</w:t>
      </w:r>
    </w:p>
    <w:p>
      <w:pPr>
        <w:sectPr>
          <w:pgSz w:w="11900" w:h="16838" w:orient="portrait"/>
          <w:cols w:equalWidth="0" w:num="1">
            <w:col w:w="11140"/>
          </w:cols>
          <w:pgMar w:left="320" w:top="486" w:right="439" w:bottom="1440" w:gutter="0" w:footer="0" w:header="0"/>
        </w:sectPr>
      </w:pPr>
    </w:p>
    <w:p>
      <w:pPr>
        <w:spacing w:after="0" w:line="275" w:lineRule="exact"/>
        <w:rPr>
          <w:sz w:val="20"/>
          <w:szCs w:val="20"/>
          <w:color w:val="auto"/>
        </w:rPr>
      </w:pPr>
    </w:p>
    <w:p>
      <w:pPr>
        <w:ind w:left="1880" w:right="480"/>
        <w:spacing w:after="0" w:line="266" w:lineRule="auto"/>
        <w:rPr>
          <w:sz w:val="20"/>
          <w:szCs w:val="20"/>
          <w:color w:val="auto"/>
        </w:rPr>
      </w:pPr>
      <w:r>
        <w:rPr>
          <w:rFonts w:ascii="Arial" w:cs="Arial" w:eastAsia="Arial" w:hAnsi="Arial"/>
          <w:sz w:val="18"/>
          <w:szCs w:val="18"/>
          <w:color w:val="auto"/>
        </w:rPr>
        <w:t>Common Stock - SNII Class A, outstanding prior to Business Combination Less: redemption of SNII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-281305</wp:posOffset>
            </wp:positionV>
            <wp:extent cx="4749165"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Common Stock - SNII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Common Stock - SNII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Shares issued in PIPE</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Business Combination and PIPE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Common Stock - Legacy Rigetti**</w:t>
      </w:r>
    </w:p>
    <w:p>
      <w:pPr>
        <w:spacing w:after="0" w:line="9" w:lineRule="exact"/>
        <w:rPr>
          <w:sz w:val="20"/>
          <w:szCs w:val="20"/>
          <w:color w:val="auto"/>
        </w:rPr>
      </w:pPr>
    </w:p>
    <w:p>
      <w:pPr>
        <w:ind w:left="2060" w:right="180" w:hanging="179"/>
        <w:spacing w:after="0" w:line="250" w:lineRule="auto"/>
        <w:rPr>
          <w:sz w:val="20"/>
          <w:szCs w:val="20"/>
          <w:color w:val="auto"/>
        </w:rPr>
      </w:pPr>
      <w:r>
        <w:rPr>
          <w:rFonts w:ascii="Arial" w:cs="Arial" w:eastAsia="Arial" w:hAnsi="Arial"/>
          <w:sz w:val="18"/>
          <w:szCs w:val="18"/>
          <w:color w:val="auto"/>
        </w:rPr>
        <w:t>Common Stock - exercise of Legacy Rigetti stock options immediately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274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2060" w:right="260" w:hanging="179"/>
        <w:spacing w:after="0" w:line="250" w:lineRule="auto"/>
        <w:rPr>
          <w:sz w:val="20"/>
          <w:szCs w:val="20"/>
          <w:color w:val="auto"/>
        </w:rPr>
      </w:pPr>
      <w:r>
        <w:rPr>
          <w:rFonts w:ascii="Arial" w:cs="Arial" w:eastAsia="Arial" w:hAnsi="Arial"/>
          <w:sz w:val="18"/>
          <w:szCs w:val="18"/>
          <w:color w:val="auto"/>
        </w:rPr>
        <w:t>Common Stock - exercise of Legacy Rigetti warrants immediately prior to the closing**</w:t>
      </w:r>
    </w:p>
    <w:p>
      <w:pPr>
        <w:spacing w:after="0" w:line="1" w:lineRule="exact"/>
        <w:rPr>
          <w:sz w:val="20"/>
          <w:szCs w:val="20"/>
          <w:color w:val="auto"/>
        </w:rPr>
      </w:pPr>
    </w:p>
    <w:p>
      <w:pPr>
        <w:ind w:left="1880"/>
        <w:spacing w:after="0" w:line="320" w:lineRule="auto"/>
        <w:rPr>
          <w:sz w:val="20"/>
          <w:szCs w:val="20"/>
          <w:color w:val="auto"/>
        </w:rPr>
      </w:pPr>
      <w:r>
        <w:rPr>
          <w:rFonts w:ascii="Arial" w:cs="Arial" w:eastAsia="Arial" w:hAnsi="Arial"/>
          <w:sz w:val="16"/>
          <w:szCs w:val="16"/>
          <w:color w:val="auto"/>
        </w:rPr>
        <w:t>Common Stock - upon conversion of Legacy Rigetti Series C preferred stock** Common Stock - upon conversion of Legacy Rigetti Series C-1 preferred stock** Total shares of Common Stock immediately after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-329565</wp:posOffset>
            </wp:positionV>
            <wp:extent cx="474916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80"/>
        <w:spacing w:after="0"/>
        <w:rPr>
          <w:sz w:val="20"/>
          <w:szCs w:val="20"/>
          <w:color w:val="auto"/>
        </w:rPr>
      </w:pPr>
      <w:r>
        <w:rPr>
          <w:rFonts w:ascii="Arial" w:cs="Arial" w:eastAsia="Arial" w:hAnsi="Arial"/>
          <w:sz w:val="17"/>
          <w:szCs w:val="17"/>
          <w:color w:val="auto"/>
        </w:rPr>
        <w:t>34,500,000</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(22,915,538)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20320</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 w:lineRule="exact"/>
        <w:rPr>
          <w:sz w:val="20"/>
          <w:szCs w:val="20"/>
          <w:color w:val="auto"/>
        </w:rPr>
      </w:pPr>
    </w:p>
    <w:p>
      <w:pPr>
        <w:jc w:val="right"/>
        <w:ind w:right="1920"/>
        <w:spacing w:after="0"/>
        <w:rPr>
          <w:sz w:val="20"/>
          <w:szCs w:val="20"/>
          <w:color w:val="auto"/>
        </w:rPr>
      </w:pPr>
      <w:r>
        <w:rPr>
          <w:rFonts w:ascii="Arial" w:cs="Arial" w:eastAsia="Arial" w:hAnsi="Arial"/>
          <w:sz w:val="17"/>
          <w:szCs w:val="17"/>
          <w:color w:val="auto"/>
        </w:rPr>
        <w:t>11,584,462</w:t>
      </w:r>
    </w:p>
    <w:p>
      <w:pPr>
        <w:spacing w:after="0" w:line="35"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8,625,000</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7"/>
          <w:szCs w:val="17"/>
          <w:color w:val="auto"/>
        </w:rPr>
        <w:t>14,641,244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13335</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 w:lineRule="exact"/>
        <w:rPr>
          <w:sz w:val="20"/>
          <w:szCs w:val="20"/>
          <w:color w:val="auto"/>
        </w:rPr>
      </w:pPr>
    </w:p>
    <w:p>
      <w:pPr>
        <w:ind w:left="80"/>
        <w:spacing w:after="0"/>
        <w:rPr>
          <w:sz w:val="20"/>
          <w:szCs w:val="20"/>
          <w:color w:val="auto"/>
        </w:rPr>
      </w:pPr>
      <w:r>
        <w:rPr>
          <w:rFonts w:ascii="Arial" w:cs="Arial" w:eastAsia="Arial" w:hAnsi="Arial"/>
          <w:sz w:val="17"/>
          <w:szCs w:val="17"/>
          <w:color w:val="auto"/>
        </w:rPr>
        <w:t>34,850,706</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7"/>
          <w:szCs w:val="17"/>
          <w:color w:val="auto"/>
        </w:rPr>
        <w:t>18,221,069</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1,123,539</w:t>
      </w:r>
    </w:p>
    <w:p>
      <w:pPr>
        <w:spacing w:after="0" w:line="237"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2,234,408</w:t>
      </w:r>
    </w:p>
    <w:p>
      <w:pPr>
        <w:spacing w:after="0" w:line="23" w:lineRule="exact"/>
        <w:rPr>
          <w:sz w:val="20"/>
          <w:szCs w:val="20"/>
          <w:color w:val="auto"/>
        </w:rPr>
      </w:pPr>
    </w:p>
    <w:p>
      <w:pPr>
        <w:jc w:val="right"/>
        <w:ind w:right="1920"/>
        <w:spacing w:after="0"/>
        <w:rPr>
          <w:sz w:val="20"/>
          <w:szCs w:val="20"/>
          <w:color w:val="auto"/>
        </w:rPr>
      </w:pPr>
      <w:r>
        <w:rPr>
          <w:rFonts w:ascii="Arial" w:cs="Arial" w:eastAsia="Arial" w:hAnsi="Arial"/>
          <w:sz w:val="17"/>
          <w:szCs w:val="17"/>
          <w:color w:val="auto"/>
        </w:rPr>
        <w:t>54,478,261</w:t>
      </w:r>
    </w:p>
    <w:p>
      <w:pPr>
        <w:spacing w:after="0" w:line="21"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2,902,302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5715</wp:posOffset>
            </wp:positionV>
            <wp:extent cx="7289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113,810,285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29210</wp:posOffset>
            </wp:positionV>
            <wp:extent cx="7289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46355</wp:posOffset>
            </wp:positionV>
            <wp:extent cx="7289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7760" w:space="580"/>
            <w:col w:w="2800"/>
          </w:cols>
          <w:pgMar w:left="320" w:top="486" w:right="439" w:bottom="1440" w:gutter="0" w:footer="0" w:header="0"/>
          <w:type w:val="continuous"/>
        </w:sectPr>
      </w:pPr>
    </w:p>
    <w:p>
      <w:pPr>
        <w:spacing w:after="0" w:line="22" w:lineRule="exact"/>
        <w:rPr>
          <w:sz w:val="20"/>
          <w:szCs w:val="20"/>
          <w:color w:val="auto"/>
        </w:rPr>
      </w:pPr>
    </w:p>
    <w:p>
      <w:pPr>
        <w:ind w:left="540" w:right="120" w:hanging="424"/>
        <w:spacing w:after="0" w:line="258"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(i) 2,479,000 shares of Common Stock held by the Sponsor (the “Promote Sponsor Vesting Shares”) and (ii) 580,273 shares of Common Stock held by the Sponsor (“Sponsor Redemption-Based Vesting Shares”).</w:t>
      </w:r>
    </w:p>
    <w:p>
      <w:pPr>
        <w:spacing w:after="0" w:line="1" w:lineRule="exact"/>
        <w:rPr>
          <w:sz w:val="20"/>
          <w:szCs w:val="20"/>
          <w:color w:val="auto"/>
        </w:rPr>
      </w:pPr>
    </w:p>
    <w:p>
      <w:pPr>
        <w:ind w:left="540" w:right="180" w:hanging="424"/>
        <w:spacing w:after="0" w:line="253"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all outstanding shares of Legacy Rigetti Common Stock as of immediately prior to the Closing (including Legacy Rigetti Common Stock resulting from the Legacy Rigetti Preferred Stock Conversion), were exchanged at an exchange ratio of 0.7870 (the “Exchange Ratio”). (ii) the conversion ratio to Legacy Rigetti Common Stock for the Legacy Series C Preferred Stock was one-for-one and for Legacy Series C-1 Preferred Stock was eight-for-one.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As of December 31, 2022, investment securities in the Company’s Trust Account consisted of $36.3 million in money market funds, $58.2 million in United States Treasury securities, $3.6 million in corporate bonds and $23.1 million in commercial paper. The money market funds are classified as cash equivalents in the consolidated balance sheets. The Company classifies its investments in fixed income securities as available-for-sale. Available-for-sale marketable securities are recorded at their estimated fair value. The amortized cost, gross unrealized holding loss included in other comprehensive income, and fair value of the investment securities on December 31, 2022 are presented in the table below. The Company did not hold investment securities at December 31, 2021.</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920" w:type="dxa"/>
            <w:vAlign w:val="bottom"/>
            <w:gridSpan w:val="3"/>
          </w:tcPr>
          <w:p>
            <w:pPr>
              <w:spacing w:after="0"/>
              <w:rPr>
                <w:sz w:val="20"/>
                <w:szCs w:val="20"/>
                <w:color w:val="auto"/>
              </w:rPr>
            </w:pPr>
            <w:r>
              <w:rPr>
                <w:rFonts w:ascii="Arial" w:cs="Arial" w:eastAsia="Arial" w:hAnsi="Arial"/>
                <w:sz w:val="16"/>
                <w:szCs w:val="16"/>
                <w:b w:val="1"/>
                <w:bCs w:val="1"/>
                <w:color w:val="auto"/>
              </w:rPr>
              <w:t>Amortized Cost as of</w:t>
            </w:r>
          </w:p>
        </w:tc>
        <w:tc>
          <w:tcPr>
            <w:tcW w:w="460" w:type="dxa"/>
            <w:vAlign w:val="bottom"/>
          </w:tcPr>
          <w:p>
            <w:pPr>
              <w:spacing w:after="0"/>
              <w:rPr>
                <w:sz w:val="17"/>
                <w:szCs w:val="17"/>
                <w:color w:val="auto"/>
              </w:rPr>
            </w:pPr>
          </w:p>
        </w:tc>
        <w:tc>
          <w:tcPr>
            <w:tcW w:w="1720" w:type="dxa"/>
            <w:vAlign w:val="bottom"/>
            <w:gridSpan w:val="3"/>
          </w:tcPr>
          <w:p>
            <w:pPr>
              <w:spacing w:after="0"/>
              <w:rPr>
                <w:sz w:val="20"/>
                <w:szCs w:val="20"/>
                <w:color w:val="auto"/>
              </w:rPr>
            </w:pPr>
            <w:r>
              <w:rPr>
                <w:rFonts w:ascii="Arial" w:cs="Arial" w:eastAsia="Arial" w:hAnsi="Arial"/>
                <w:sz w:val="16"/>
                <w:szCs w:val="16"/>
                <w:b w:val="1"/>
                <w:bCs w:val="1"/>
                <w:color w:val="auto"/>
              </w:rPr>
              <w:t>Gross Unrealized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Fair Value as of</w:t>
            </w:r>
          </w:p>
        </w:tc>
      </w:tr>
      <w:tr>
        <w:trPr>
          <w:trHeight w:val="213"/>
        </w:trPr>
        <w:tc>
          <w:tcPr>
            <w:tcW w:w="5080" w:type="dxa"/>
            <w:vAlign w:val="bottom"/>
          </w:tcPr>
          <w:p>
            <w:pPr>
              <w:spacing w:after="0"/>
              <w:rPr>
                <w:sz w:val="18"/>
                <w:szCs w:val="18"/>
                <w:color w:val="auto"/>
              </w:rPr>
            </w:pPr>
          </w:p>
        </w:tc>
        <w:tc>
          <w:tcPr>
            <w:tcW w:w="192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w w:val="94"/>
              </w:rPr>
              <w:t>December 31, 2022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90"/>
              </w:rPr>
              <w:t>Holding Loss</w:t>
            </w:r>
          </w:p>
        </w:tc>
        <w:tc>
          <w:tcPr>
            <w:tcW w:w="46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6"/>
                <w:szCs w:val="16"/>
                <w:b w:val="1"/>
                <w:bCs w:val="1"/>
                <w:color w:val="auto"/>
                <w:w w:val="92"/>
              </w:rPr>
              <w:t>December 31, 2022</w:t>
            </w:r>
          </w:p>
        </w:tc>
      </w:tr>
      <w:tr>
        <w:trPr>
          <w:trHeight w:val="213"/>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60"/>
              <w:spacing w:after="0"/>
              <w:rPr>
                <w:sz w:val="20"/>
                <w:szCs w:val="20"/>
                <w:color w:val="auto"/>
              </w:rPr>
            </w:pPr>
            <w:r>
              <w:rPr>
                <w:rFonts w:ascii="Arial" w:cs="Arial" w:eastAsia="Arial" w:hAnsi="Arial"/>
                <w:sz w:val="18"/>
                <w:szCs w:val="18"/>
                <w:color w:val="auto"/>
              </w:rPr>
              <w:t>36,346</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36,346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United States Treasury Securities</w:t>
            </w:r>
          </w:p>
        </w:tc>
        <w:tc>
          <w:tcPr>
            <w:tcW w:w="160" w:type="dxa"/>
            <w:vAlign w:val="bottom"/>
          </w:tcPr>
          <w:p>
            <w:pPr>
              <w:spacing w:after="0"/>
              <w:rPr>
                <w:sz w:val="18"/>
                <w:szCs w:val="18"/>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8"/>
                <w:szCs w:val="18"/>
                <w:color w:val="auto"/>
              </w:rPr>
              <w:t>58,514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(304)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58,210</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3,581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3,571</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Commercial Papers</w:t>
            </w:r>
          </w:p>
        </w:tc>
        <w:tc>
          <w:tcPr>
            <w:tcW w:w="160" w:type="dxa"/>
            <w:vAlign w:val="bottom"/>
          </w:tcPr>
          <w:p>
            <w:pPr>
              <w:spacing w:after="0"/>
              <w:rPr>
                <w:sz w:val="18"/>
                <w:szCs w:val="18"/>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8"/>
                <w:szCs w:val="18"/>
                <w:color w:val="auto"/>
              </w:rPr>
              <w:t>23,142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23,142</w:t>
            </w:r>
          </w:p>
        </w:tc>
      </w:tr>
      <w:tr>
        <w:trPr>
          <w:trHeight w:val="27"/>
        </w:trPr>
        <w:tc>
          <w:tcPr>
            <w:tcW w:w="5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121,583</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(314)</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121,269</w:t>
            </w:r>
          </w:p>
        </w:tc>
      </w:tr>
      <w:tr>
        <w:trPr>
          <w:trHeight w:val="20"/>
        </w:trPr>
        <w:tc>
          <w:tcPr>
            <w:tcW w:w="5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jc w:val="right"/>
              <w:ind w:right="1320"/>
              <w:spacing w:after="0"/>
              <w:rPr>
                <w:sz w:val="20"/>
                <w:szCs w:val="20"/>
                <w:color w:val="auto"/>
              </w:rPr>
            </w:pPr>
            <w:r>
              <w:rPr>
                <w:rFonts w:ascii="Arial" w:cs="Arial" w:eastAsia="Arial" w:hAnsi="Arial"/>
                <w:sz w:val="18"/>
                <w:szCs w:val="18"/>
                <w:color w:val="auto"/>
              </w:rPr>
              <w:t>F-23</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All of the Company’s available-for-sale securities have final maturities of one year or less. The Company reviews the individual securities that have unrealized losses in its short-term investment portfolio on a regular basis. The Company evaluates whether it has the intention to sell any of these investments and whether it is more likely than not that it will be required to sell any of them before recovery of the amortized cost basis. Neither of these criteria were met as of December 31, 2022. The Company additionally evaluates whether the decline in fair value of the securities below their amortized cost basis is related to credit losses or other factors. Based on this evaluation, the Company determined that unrealized losses of the above securities were primarily attributable to changes in interest rates and non-credit-related factors. Accordingly, the Company determined that the unrealized losses were not other-than-temporary and that recording an impairment was therefore unnecessary for its short-term investments as of December 31, 2022. All of the Company’s available-for-sale securities have been in an unrealized loss position for less than one year because they were all acquired in 2022. The Company did not have any available-for-sale securities as of December 31, 2021.</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GOODWILL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change in the carrying amount of goodwill for the Company for the year ended December 31, 2022:</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January 1, 2021</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5,377</w:t>
            </w: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Change</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5,377</w:t>
            </w: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Impairment charge</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(5,377)</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2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the Company’s annual goodwill impairment testing date of November 1, 2022 management performed an impairment evaluation of goodwill after assessing qualitative factors that indicated a possible impairment of goodwill. Under the qualitative assessment, management considers relevant events and circumstances including but not limited to macroeconomic conditions, industry and market considerations, overall Company performance and events directly affecting the Company. It was noted during our assessment that the Company has experienced a sustained decline in stock price, however as of November 1, 2022 the Company determined that goodwill was not impaired. Subsequently in December 2022, the Company’s stock price continued to decline, resulting in a triggering event to evaluate goodwill for impairment as of December 31, 2022. As a result, further quantitative analysis was conducted to determine the extent to which, if any, the Company’s carrying value exceeded its fair value as of December 31, 2022. The quantitative analysis used fair value based on market capitalization adjusted for a control premium based on market comparable transactions. This quantitative analysis resulted in the Company’s fair value being significantly below its carrying value, resulting in a non-cash goodwill impairment charge of $5.4 million being recorded for the year ended December 31, 2022.</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86" w:right="4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REVENUE RECOGNITION</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following tables depict the disaggregation of revenue according to the type of good or service and timing of transfer of goods or services for the year ended December 31, 2022, and the 11 months ended December 31, 2021:</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4"/>
              </w:rPr>
              <w:t>11 Months Ended</w:t>
            </w:r>
          </w:p>
        </w:tc>
      </w:tr>
      <w:tr>
        <w:trPr>
          <w:trHeight w:val="148"/>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Type of Goods or Service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Collaborative research and other professional services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9,917</w:t>
            </w:r>
          </w:p>
        </w:tc>
        <w:tc>
          <w:tcPr>
            <w:tcW w:w="9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5,849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Access to quantum computing systems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3,185</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2,347</w:t>
            </w:r>
          </w:p>
        </w:tc>
      </w:tr>
      <w:tr>
        <w:trPr>
          <w:trHeight w:val="223"/>
        </w:trPr>
        <w:tc>
          <w:tcPr>
            <w:tcW w:w="5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13,102</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8,196</w:t>
            </w:r>
          </w:p>
        </w:tc>
        <w:tc>
          <w:tcPr>
            <w:tcW w:w="4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Timing of Revenue Recognition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Revenue recognized at a point in time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over time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13,102</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8,196</w:t>
            </w:r>
          </w:p>
        </w:tc>
      </w:tr>
      <w:tr>
        <w:trPr>
          <w:trHeight w:val="223"/>
        </w:trPr>
        <w:tc>
          <w:tcPr>
            <w:tcW w:w="5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13,102</w:t>
            </w:r>
          </w:p>
        </w:tc>
        <w:tc>
          <w:tcPr>
            <w:tcW w:w="2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8,196</w:t>
            </w:r>
          </w:p>
        </w:tc>
        <w:tc>
          <w:tcPr>
            <w:tcW w:w="4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Selected consolidated balance sheet line items that reflect accounts receivable, contract assets and liabilities as of December 31, 2022 and December 31, 2021 were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6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deferred revenue from contracts with customers were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8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11 Months Ended</w:t>
            </w:r>
          </w:p>
        </w:tc>
      </w:tr>
      <w:tr>
        <w:trPr>
          <w:trHeight w:val="148"/>
        </w:trPr>
        <w:tc>
          <w:tcPr>
            <w:tcW w:w="530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Deferral of revenue</w:t>
            </w:r>
          </w:p>
        </w:tc>
        <w:tc>
          <w:tcPr>
            <w:tcW w:w="18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deferred revenue</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Remaining performance obligations represent the portion of the transaction price that has not yet been satisfied or achieved. As of December 31, 2022, the aggregate amount of the transaction price allocated to remaining performance obligations was approximately $9.7 million. The Company expects to recognize estimated revenues related to performance obligations that are unsatisfied (or partially satisfied) in the amounts of approximately $7.9 million during the year ended December 31, 2023, and $1.8 million during the years ended December 31, 2024 and December 31, 2025.</w:t>
      </w:r>
    </w:p>
    <w:p>
      <w:pPr>
        <w:spacing w:after="0" w:line="15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Deferred Contract Acquisition and Fulfillment Costs—The Company has not identified any costs that are incremental to the acquisition of customer contracts that would be capitalized as deferred costs on the balance sheet in accordance with ASC 340-40. Incremental costs incurred to fulfill the Company’s contracts that meet the capitalization criteria in ASC 340-40 have historically been immaterial. Accordingly, the Company has not capitalized any contract fulfillment costs as of December 31, 2022 and December 31, 2021.</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86" w:right="49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120" w:right="5560" w:hanging="4"/>
        <w:spacing w:after="0" w:line="377" w:lineRule="auto"/>
        <w:tabs>
          <w:tab w:leader="none" w:pos="3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FINANCIAL STATEMENTS INFORMATION Property and Equipment, Net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as of December 31, 2022 and December 31, 2021 are composed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Quantum computing fridges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30,218</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Process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23,330</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16,170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4,297</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IT Hardware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3,035</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2,428</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r>
      <w:tr>
        <w:trPr>
          <w:trHeight w:val="230"/>
        </w:trPr>
        <w:tc>
          <w:tcPr>
            <w:tcW w:w="580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65,390</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41,330</w:t>
            </w:r>
          </w:p>
        </w:tc>
        <w:tc>
          <w:tcPr>
            <w:tcW w:w="100" w:type="dxa"/>
            <w:vAlign w:val="bottom"/>
          </w:tcPr>
          <w:p>
            <w:pPr>
              <w:spacing w:after="0"/>
              <w:rPr>
                <w:sz w:val="20"/>
                <w:szCs w:val="20"/>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(25,860)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(18,832)</w:t>
            </w:r>
          </w:p>
        </w:tc>
      </w:tr>
      <w:tr>
        <w:trPr>
          <w:trHeight w:val="223"/>
        </w:trPr>
        <w:tc>
          <w:tcPr>
            <w:tcW w:w="5800" w:type="dxa"/>
            <w:vAlign w:val="bottom"/>
          </w:tcPr>
          <w:p>
            <w:pPr>
              <w:ind w:left="360"/>
              <w:spacing w:after="0"/>
              <w:rPr>
                <w:sz w:val="20"/>
                <w:szCs w:val="20"/>
                <w:color w:val="auto"/>
              </w:rPr>
            </w:pPr>
            <w:r>
              <w:rPr>
                <w:rFonts w:ascii="Arial" w:cs="Arial" w:eastAsia="Arial" w:hAnsi="Arial"/>
                <w:sz w:val="18"/>
                <w:szCs w:val="18"/>
                <w:color w:val="auto"/>
              </w:rPr>
              <w:t>Property and equipment -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39,530</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22,497</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2022 and December 31, 2021, 98% of the total gross property and equipment was located in the United States, and 2% of the total gross property and equipment was located in the United Kingdom. Total depreciation and amortization expense for the year ended December 31, 2022 and 11 months ended December 31, 2021 was $7.0 million and $4.7 million,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Professional &amp; subscription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2,044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w w:val="93"/>
              </w:rPr>
              <w:t>1,377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other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1,161</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571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Subcontractor cost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Payroll and other payroll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962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639</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99"/>
              </w:rPr>
              <w:t>248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648</w:t>
            </w:r>
          </w:p>
        </w:tc>
      </w:tr>
      <w:tr>
        <w:trPr>
          <w:trHeight w:val="223"/>
        </w:trPr>
        <w:tc>
          <w:tcPr>
            <w:tcW w:w="5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4"/>
              </w:rPr>
              <w:t>3,806</w:t>
            </w:r>
          </w:p>
        </w:tc>
        <w:tc>
          <w:tcPr>
            <w:tcW w:w="4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The Company leases a building, offices and equipment under various lease agreements with terms extending through 2029. Under the terms of the building and office leases the Company bears the costs for certain insurance, property taxes and maintenance, and the lease agreements provide for increasing rental payments at fixed intervals.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Components of lease costs, the weighted average remaining lease term and weighted average discount rate were as follows as of and for the year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2022:</w:t>
      </w:r>
    </w:p>
    <w:p>
      <w:pPr>
        <w:spacing w:after="0" w:line="238" w:lineRule="exact"/>
        <w:rPr>
          <w:sz w:val="20"/>
          <w:szCs w:val="20"/>
          <w:color w:val="auto"/>
        </w:rPr>
      </w:pPr>
    </w:p>
    <w:tbl>
      <w:tblPr>
        <w:tblLayout w:type="fixed"/>
        <w:tblInd w:w="188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2720" w:type="dxa"/>
            <w:vAlign w:val="bottom"/>
          </w:tcPr>
          <w:p>
            <w:pPr>
              <w:spacing w:after="0"/>
              <w:rPr>
                <w:sz w:val="20"/>
                <w:szCs w:val="20"/>
                <w:color w:val="auto"/>
              </w:rPr>
            </w:pPr>
            <w:r>
              <w:rPr>
                <w:rFonts w:ascii="Arial" w:cs="Arial" w:eastAsia="Arial" w:hAnsi="Arial"/>
                <w:sz w:val="16"/>
                <w:szCs w:val="16"/>
                <w:color w:val="auto"/>
              </w:rPr>
              <w:t>Lease cost</w:t>
            </w:r>
          </w:p>
        </w:tc>
        <w:tc>
          <w:tcPr>
            <w:tcW w:w="3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212"/>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39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w:t>
            </w:r>
          </w:p>
        </w:tc>
      </w:tr>
      <w:tr>
        <w:trPr>
          <w:trHeight w:val="216"/>
        </w:trPr>
        <w:tc>
          <w:tcPr>
            <w:tcW w:w="272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Sub-lease income</w:t>
            </w:r>
          </w:p>
        </w:tc>
        <w:tc>
          <w:tcPr>
            <w:tcW w:w="3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Total lease cost</w:t>
            </w:r>
          </w:p>
        </w:tc>
        <w:tc>
          <w:tcPr>
            <w:tcW w:w="37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720" w:type="dxa"/>
            <w:vAlign w:val="bottom"/>
          </w:tcPr>
          <w:p>
            <w:pPr>
              <w:spacing w:after="0"/>
              <w:rPr>
                <w:sz w:val="24"/>
                <w:szCs w:val="24"/>
                <w:color w:val="auto"/>
              </w:rPr>
            </w:pPr>
          </w:p>
        </w:tc>
        <w:tc>
          <w:tcPr>
            <w:tcW w:w="3920" w:type="dxa"/>
            <w:vAlign w:val="bottom"/>
            <w:gridSpan w:val="2"/>
          </w:tcPr>
          <w:p>
            <w:pPr>
              <w:jc w:val="right"/>
              <w:ind w:right="2643"/>
              <w:spacing w:after="0"/>
              <w:rPr>
                <w:sz w:val="20"/>
                <w:szCs w:val="20"/>
                <w:color w:val="auto"/>
              </w:rPr>
            </w:pPr>
            <w:r>
              <w:rPr>
                <w:rFonts w:ascii="Arial" w:cs="Arial" w:eastAsia="Arial" w:hAnsi="Arial"/>
                <w:sz w:val="18"/>
                <w:szCs w:val="18"/>
                <w:color w:val="auto"/>
              </w:rPr>
              <w:t>F-26</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0"/>
          </w:cols>
          <w:pgMar w:left="320" w:top="486" w:right="57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88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Year Ended</w:t>
            </w:r>
          </w:p>
        </w:tc>
      </w:tr>
      <w:tr>
        <w:trPr>
          <w:trHeight w:val="203"/>
        </w:trPr>
        <w:tc>
          <w:tcPr>
            <w:tcW w:w="648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64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60" w:type="dxa"/>
            <w:vAlign w:val="bottom"/>
            <w:tcBorders>
              <w:bottom w:val="single" w:sz="8" w:color="CCEEFF"/>
            </w:tcBorders>
          </w:tcPr>
          <w:p>
            <w:pPr>
              <w:spacing w:after="0"/>
              <w:rPr>
                <w:sz w:val="18"/>
                <w:szCs w:val="18"/>
                <w:color w:val="auto"/>
              </w:rPr>
            </w:pPr>
          </w:p>
        </w:tc>
      </w:tr>
      <w:tr>
        <w:trPr>
          <w:trHeight w:val="215"/>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$2,128</w:t>
            </w:r>
          </w:p>
        </w:tc>
        <w:tc>
          <w:tcPr>
            <w:tcW w:w="60" w:type="dxa"/>
            <w:vAlign w:val="bottom"/>
          </w:tcPr>
          <w:p>
            <w:pPr>
              <w:spacing w:after="0"/>
              <w:rPr>
                <w:sz w:val="18"/>
                <w:szCs w:val="18"/>
                <w:color w:val="auto"/>
              </w:rPr>
            </w:pPr>
          </w:p>
        </w:tc>
      </w:tr>
      <w:tr>
        <w:trPr>
          <w:trHeight w:val="202"/>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Right-of-use assets obtained in exchange for new and modified operating lease</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$4,892</w:t>
            </w:r>
          </w:p>
        </w:tc>
        <w:tc>
          <w:tcPr>
            <w:tcW w:w="60" w:type="dxa"/>
            <w:vAlign w:val="bottom"/>
            <w:shd w:val="clear" w:color="auto" w:fill="CCEEFF"/>
          </w:tcPr>
          <w:p>
            <w:pPr>
              <w:spacing w:after="0"/>
              <w:rPr>
                <w:sz w:val="20"/>
                <w:szCs w:val="20"/>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Weighted average remaining lease term - operating leases</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w w:val="99"/>
              </w:rPr>
              <w:t>5.87 years</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 - operating leases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7.93%</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net present value of its lease payments, the Company used an estimated incremental borrowing rate that is applicable to the Company based on the information available at the later of the lease commencement date, lease modification date or the date of Adoption of Topic 842. As of December 31, 2022, the maturities of the Company’s operating lease liabilities were as follows:</w:t>
      </w:r>
    </w:p>
    <w:p>
      <w:pPr>
        <w:spacing w:after="0" w:line="22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2023</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2,422</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2025</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2,198</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2027</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12,839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(2,636)</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Present value of lease liabilities</w:t>
            </w:r>
          </w:p>
        </w:tc>
        <w:tc>
          <w:tcPr>
            <w:tcW w:w="20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10,203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w:t>
            </w: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10,203</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Prior to the adoption of Topic 842 on January 1, 2022, the Company accounted for its leases under Topic 840. The Company recognized rent expense on a straight-line basis over the lease term, taking into account adjustments for provisions such as free or escalating monthly rental payments or deferred payment terms such as rent holidays that defer the commencement date of required payments. The Company recorded the difference between cash rent payments and the recognition of rent expense as deferred rent. Rent expense under the Company’s operating leases was $1.5 million for the 11 months ended December 31, 2021.</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Future minimum lease payments under non-cancelable operating leases as of December 31, 2021 are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3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54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$1,808</w:t>
            </w: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2023</w:t>
            </w:r>
          </w:p>
        </w:tc>
        <w:tc>
          <w:tcPr>
            <w:tcW w:w="1540" w:type="dxa"/>
            <w:vAlign w:val="bottom"/>
          </w:tcPr>
          <w:p>
            <w:pPr>
              <w:spacing w:after="0"/>
              <w:rPr>
                <w:sz w:val="18"/>
                <w:szCs w:val="18"/>
                <w:color w:val="auto"/>
              </w:rPr>
            </w:pPr>
          </w:p>
        </w:tc>
        <w:tc>
          <w:tcPr>
            <w:tcW w:w="4320" w:type="dxa"/>
            <w:vAlign w:val="bottom"/>
            <w:gridSpan w:val="3"/>
          </w:tcPr>
          <w:p>
            <w:pPr>
              <w:jc w:val="right"/>
              <w:ind w:right="60"/>
              <w:spacing w:after="0"/>
              <w:rPr>
                <w:sz w:val="20"/>
                <w:szCs w:val="20"/>
                <w:color w:val="auto"/>
              </w:rPr>
            </w:pPr>
            <w:r>
              <w:rPr>
                <w:rFonts w:ascii="Arial" w:cs="Arial" w:eastAsia="Arial" w:hAnsi="Arial"/>
                <w:sz w:val="18"/>
                <w:szCs w:val="18"/>
                <w:color w:val="auto"/>
              </w:rPr>
              <w:t>901</w:t>
            </w: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54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928</w:t>
            </w: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2025</w:t>
            </w:r>
          </w:p>
        </w:tc>
        <w:tc>
          <w:tcPr>
            <w:tcW w:w="1540" w:type="dxa"/>
            <w:vAlign w:val="bottom"/>
          </w:tcPr>
          <w:p>
            <w:pPr>
              <w:spacing w:after="0"/>
              <w:rPr>
                <w:sz w:val="18"/>
                <w:szCs w:val="18"/>
                <w:color w:val="auto"/>
              </w:rPr>
            </w:pPr>
          </w:p>
        </w:tc>
        <w:tc>
          <w:tcPr>
            <w:tcW w:w="4320" w:type="dxa"/>
            <w:vAlign w:val="bottom"/>
            <w:gridSpan w:val="3"/>
          </w:tcPr>
          <w:p>
            <w:pPr>
              <w:jc w:val="right"/>
              <w:ind w:right="60"/>
              <w:spacing w:after="0"/>
              <w:rPr>
                <w:sz w:val="20"/>
                <w:szCs w:val="20"/>
                <w:color w:val="auto"/>
              </w:rPr>
            </w:pPr>
            <w:r>
              <w:rPr>
                <w:rFonts w:ascii="Arial" w:cs="Arial" w:eastAsia="Arial" w:hAnsi="Arial"/>
                <w:sz w:val="18"/>
                <w:szCs w:val="18"/>
                <w:color w:val="auto"/>
              </w:rPr>
              <w:t>956</w:t>
            </w: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54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r>
      <w:tr>
        <w:trPr>
          <w:trHeight w:val="223"/>
        </w:trPr>
        <w:tc>
          <w:tcPr>
            <w:tcW w:w="3160" w:type="dxa"/>
            <w:vAlign w:val="bottom"/>
            <w:gridSpan w:val="3"/>
          </w:tcPr>
          <w:p>
            <w:pPr>
              <w:spacing w:after="0"/>
              <w:rPr>
                <w:sz w:val="20"/>
                <w:szCs w:val="20"/>
                <w:color w:val="auto"/>
              </w:rPr>
            </w:pPr>
            <w:r>
              <w:rPr>
                <w:rFonts w:ascii="Arial" w:cs="Arial" w:eastAsia="Arial" w:hAnsi="Arial"/>
                <w:sz w:val="18"/>
                <w:szCs w:val="18"/>
                <w:color w:val="auto"/>
              </w:rPr>
              <w:t>Total minimum future lease payments</w:t>
            </w:r>
          </w:p>
        </w:tc>
        <w:tc>
          <w:tcPr>
            <w:tcW w:w="37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4,674</w:t>
            </w:r>
          </w:p>
        </w:tc>
        <w:tc>
          <w:tcPr>
            <w:tcW w:w="6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20" w:type="dxa"/>
            <w:vAlign w:val="bottom"/>
            <w:gridSpan w:val="3"/>
          </w:tcPr>
          <w:p>
            <w:pPr>
              <w:jc w:val="right"/>
              <w:ind w:right="3560"/>
              <w:spacing w:after="0"/>
              <w:rPr>
                <w:sz w:val="20"/>
                <w:szCs w:val="20"/>
                <w:color w:val="auto"/>
              </w:rPr>
            </w:pPr>
            <w:r>
              <w:rPr>
                <w:rFonts w:ascii="Arial" w:cs="Arial" w:eastAsia="Arial" w:hAnsi="Arial"/>
                <w:sz w:val="18"/>
                <w:szCs w:val="18"/>
                <w:color w:val="auto"/>
              </w:rPr>
              <w:t>F-27</w:t>
            </w:r>
          </w:p>
        </w:tc>
      </w:tr>
    </w:tbl>
    <w:p>
      <w:pPr>
        <w:sectPr>
          <w:pgSz w:w="11900" w:h="16838" w:orient="portrait"/>
          <w:cols w:equalWidth="0" w:num="1">
            <w:col w:w="11100"/>
          </w:cols>
          <w:pgMar w:left="320" w:top="486" w:right="47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Management believes that the outcome of such legal proceedings, legal actions and claims will not have a significant adverse effect on the Company’s financial position, results of operations or cash flows.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March 2021, the Company entered into an agreement (the “Loan Agreement”) with Trinity Capital Inc. (“Trinity”) to secure a debt commitment of</w:t>
      </w:r>
    </w:p>
    <w:p>
      <w:pPr>
        <w:spacing w:after="0" w:line="35"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$12.0 million (the “Tranche A”) which was drawn at the closing. The term loan is collateralized by a first-priority, senior secured interest in substantially all of the Company’s assets. In conjunction with the Loan Agreement, the Company issued Trinity a warrant to purchase shares of Common Stock (the “Trinity Warrants”) which is recorded at fair value using the Black-Scholes model, see Note 15 for the fair value assumptions.</w:t>
      </w:r>
    </w:p>
    <w:p>
      <w:pPr>
        <w:spacing w:after="0" w:line="173"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The Loan Agreement contains customary representations, warranties and covenants; however, the debt agreement does not include any financial covenants. In May 2021, the debt agreement was modified to increase the overall debt commitment by $15.0 million (the “Tranche B” or the “Amendment”) and $8.0 million of the additional commitment was drawn at the closing and the remaining commitment of $7.0 million was available at the Company’s option at any time through March 10, 2022 subject to certain conditions. The Company drew the $7.0 million in November 2021. In conjunction with the Amendment, the Company cancelled the Initial Warrants and issued 995,099 (783,129 shares post conversion upon the closing of the Business Combination) warrant shares to purchase the Common Stock which was an incremental cost allocated between Tranche A and Tranche B, see Note 13 for further information on these warrants. The Amendment to the debt agreement was considered a modification for accounting purposes. The Company capitalized $2.8 million of debt issuance costs which consist of incremental costs incurred for the lenders and third-party legal firms as well as the fair value of the warrant issued in conjunction with the term loan.</w:t>
      </w:r>
    </w:p>
    <w:p>
      <w:pPr>
        <w:spacing w:after="0" w:line="18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Under the Amendment, the maturity date was modified to be the date equal to 48 months from the first payment date of each specific cash advance. Subject to an interest only period of 19 months following each specific cash advance date, the term loan incurs interest at a rate of the greater of 11% or the US Prime Rate plus 7.50% per annum, payable monthly. The Term Loan includes certain negative covenants, primarily consisting of restrictions on the Company’s ability to incur indebtedness, pay dividends, execute fundamental change transactions, and other specified actions.</w:t>
      </w:r>
    </w:p>
    <w:p>
      <w:pPr>
        <w:spacing w:after="0" w:line="15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January 2022, the debt agreement was modified to increase the overall debt commitment by $5.0 million (the “Tranche C” or the “Third Amendment”) which was drawn on January 27, 2022. Subject to an interest only period of 19 months, Tranche C incurs interest at a rate of the greater of 11% and the US Prime Rate plus 7.50% per annum, payable monthly, until the maturity date, February 1, 2026. Other modifications per the amendment included an extension of the requirement to raise an additional $75 million of equity until April 1, 2022, and a defined exit fee for the additional</w:t>
      </w:r>
    </w:p>
    <w:p>
      <w:pPr>
        <w:spacing w:after="0" w:line="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$5.0 million to be at 20% of the advanced funds under the amendment. The company met the requirement to raise additional equity of $75 million through the business combination mentioned in Note 3. The Company paid an exit fee of $1.0 million which is 20% of the Tranche C amount upon the consummation of the merger. The exit fee was capitalized as a debt issuance cost and is amortized using the effective interest method over the life of Tranche C. The exit fee is not applicable to Tranche A and Tranche B. In conjunction with the amendment, the Company also guaranteed payment of all monetary amounts owed and performance of all covenants, obligations and liabilities.</w:t>
      </w:r>
    </w:p>
    <w:p>
      <w:pPr>
        <w:spacing w:after="0" w:line="17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addition, the Company is required to pay a final payment fee equal to 2.75% of the aggregate amount of all term loan advances. The final payment fee is being accreted and amortized into interest expense using the effective interest rate method over the term of the loan. The effective interest was between 20.75% – 26.83% for all tranches of the debt as of December 31, 2022.</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86" w:right="4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fair value of the debt is classified as Level 2. Given the maturity and variable interest rate on the debt, the book value approximates its fair value.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 term debt and the unamortized discount balances are as follows: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amount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30,709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Add: accreted liability of final payment fee</w:t>
            </w:r>
          </w:p>
        </w:tc>
        <w:tc>
          <w:tcPr>
            <w:tcW w:w="18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unamortized debt discount, long term</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(990)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Less: current portion of long term debt-principal</w:t>
            </w:r>
          </w:p>
        </w:tc>
        <w:tc>
          <w:tcPr>
            <w:tcW w:w="18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(9,491)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Debt—net of current portion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7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24,216</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Current portion of long term debt - principal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9,491</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portion of unamortized debt discount</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(1,188)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Debt—current portion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8,303</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During the year ended December 31, 2022, the Company recorded interest expense of $5.3 million, which includes the accretion of the end of term liability of $0.3 million, the amortization of commitment fee asset of $0.3 million and the amortization of debt issuance cost of $0.9 million, respectively. The unamortized debt discount of $2.2 million as of December 31, 2022 is offset against the carrying value of the term loan in the consolidated balance sheet.</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During the 11 months ended December 31, 2021, the Company recorded interest expense of $2.5 million, which includes the accretion of the end of term liability of $0.1 million, the amortization of commitment fee asset of $0.1 million and the amortization of debt issuance cost of $0.5 million. The unamortized debt discount of $2.3 million as of December 31, 2021 is offset against the carrying value of the term loan in the consolidated balance sheet.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Scheduled principal payments on total outstanding debt as of December 31, 2022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60" w:type="dxa"/>
            <w:vAlign w:val="bottom"/>
            <w:gridSpan w:val="3"/>
          </w:tcPr>
          <w:p>
            <w:pPr>
              <w:ind w:left="176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2024</w:t>
            </w: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13,007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2026</w:t>
            </w:r>
          </w:p>
        </w:tc>
        <w:tc>
          <w:tcPr>
            <w:tcW w:w="5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30,709</w:t>
            </w:r>
          </w:p>
        </w:tc>
        <w:tc>
          <w:tcPr>
            <w:tcW w:w="0" w:type="dxa"/>
            <w:vAlign w:val="bottom"/>
          </w:tcPr>
          <w:p>
            <w:pPr>
              <w:spacing w:after="0"/>
              <w:rPr>
                <w:sz w:val="1"/>
                <w:szCs w:val="1"/>
                <w:color w:val="auto"/>
              </w:rPr>
            </w:pPr>
          </w:p>
        </w:tc>
      </w:tr>
      <w:tr>
        <w:trPr>
          <w:trHeight w:val="20"/>
        </w:trPr>
        <w:tc>
          <w:tcPr>
            <w:tcW w:w="8560" w:type="dxa"/>
            <w:vAlign w:val="bottom"/>
            <w:gridSpan w:val="3"/>
            <w:vMerge w:val="restart"/>
          </w:tcPr>
          <w:p>
            <w:pPr>
              <w:spacing w:after="0"/>
              <w:rPr>
                <w:sz w:val="20"/>
                <w:szCs w:val="20"/>
                <w:color w:val="auto"/>
              </w:rPr>
            </w:pPr>
            <w:r>
              <w:rPr>
                <w:rFonts w:ascii="Arial" w:cs="Arial" w:eastAsia="Arial" w:hAnsi="Arial"/>
                <w:sz w:val="18"/>
                <w:szCs w:val="18"/>
                <w:color w:val="auto"/>
              </w:rPr>
              <w:t>Scheduled principal payments on total outstanding debt as of December 31, 2021 are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60" w:type="dxa"/>
            <w:vAlign w:val="bottom"/>
            <w:gridSpan w:val="3"/>
          </w:tcPr>
          <w:p>
            <w:pPr>
              <w:ind w:left="176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8,682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11,008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2025</w:t>
            </w: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180" w:type="dxa"/>
            <w:vAlign w:val="bottom"/>
            <w:vMerge w:val="restart"/>
          </w:tcPr>
          <w:p>
            <w:pPr>
              <w:ind w:left="1960"/>
              <w:spacing w:after="0"/>
              <w:rPr>
                <w:sz w:val="20"/>
                <w:szCs w:val="20"/>
                <w:color w:val="auto"/>
              </w:rPr>
            </w:pPr>
            <w:r>
              <w:rPr>
                <w:rFonts w:ascii="Arial" w:cs="Arial" w:eastAsia="Arial" w:hAnsi="Arial"/>
                <w:sz w:val="18"/>
                <w:szCs w:val="18"/>
                <w:color w:val="auto"/>
              </w:rPr>
              <w:t>F-29</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86" w:right="6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REDEEMABLE CONVERTIBLE PREFERRED STOCK</w:t>
      </w:r>
    </w:p>
    <w:p>
      <w:pPr>
        <w:spacing w:after="0" w:line="22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Legacy Rigetti was authorized to issue 73,389,000 shares of Series C preferred stock and 62,537,577 shares of Series C-1 Preferred Stock with a par value of $0.000001 per share for each class of preferred Stock. Legacy Rigetti’s board of directors is authorized to fix the voting rights, if any, designations, powers, preferences, the relative, participating, option or other special rights and any qualifications, limitations and restrictions thereof, applicable to the shares of each series. Immediately prior to the effective time of the Business Combination (Note 3), all Legacy Rigetti preferred stock outstanding converted into shares of Common Stock of Legacy Rigetti (the shares in this note do not factor in the exchange ratio).</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COMMON STOCK</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As discussed in Note 3, on March 2, 2022, the Company consummated a Business Combination which has been accounted for as a reverse recapitalization. Pursuant to the certificate of incorporation as amended on March 2, 2022, the Company is authorized to issue 1,000,000,000 shares of Common Stock and 10,000,000 shares of Preferred Stock. The holders of shares of Common Stock are entitled to one vote for each share of Common Stock held. The Preferred Stock is non-voting. No shares of Preferred Stock were issued and outstanding as of December 31, 2022.</w:t>
      </w:r>
    </w:p>
    <w:p>
      <w:pPr>
        <w:spacing w:after="0" w:line="15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the event of any voluntary or involuntary liquidation, dissolution or winding up of the Company, and after payment to the holders of shares of Preferred Stock of their liquidation preferences, the holders of the Common Stock are entitled to the entire remaining assets of the Company on a pro rata basis.</w:t>
      </w:r>
    </w:p>
    <w:p>
      <w:pPr>
        <w:spacing w:after="0" w:line="184"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As a result of the Business Combination (see Note 3), the Company has retroactively adjusted the warrants and stock-based awards outstanding prior to March 2, 2022 to give effect to the Exchange Ratio used to determine the number of shares of Common Stock into which they were converted.</w:t>
      </w:r>
    </w:p>
    <w:p>
      <w:pPr>
        <w:spacing w:after="0" w:line="12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As of December 31, 2022, the Company has reserved the following shares of Common Stock for issuance upon the conversion, exercise or vesting of the underlying instruments: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Common Stock</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17,243,811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Stock-Based Awards - RSUs Outstanding</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11,332,591</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Stock-Based Awards - Options Outstanding</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8,845,903</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37,422,305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Company entered into a Common Stock Purchase Agreement with B. Riley Principal Capital II, LLC (“B. Riley”) on August 11, 2022 pursuant to which the Company may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Common Stock Purchase Agreement).</w:t>
      </w:r>
    </w:p>
    <w:p>
      <w:pPr>
        <w:spacing w:after="0" w:line="16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consideration of the parties entering into the foregoing agreement, the parties also entered into a Registration Rights Agreement on August 11, 2022 pursuant to which the Company provides B. Riley with registration rights with respect to such Common Stock and pursuant to which the Company has filed a registration statement covering the resale of such Common Stock.</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Upon the initial satisfaction of the conditions to B. Riley’s purchase obligation set forth in the Purchase Agreement, on September 14, 2022 (the “Commencement Date”) the Company will have the right, but not the obligation, from time to time at the Company’s sole discretion over the 24-month period from and after the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40"/>
          </w:cols>
          <w:pgMar w:left="320" w:top="486" w:right="5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Commencement, to direct B. Riley to purchase a specified amount of shares not to exceed the lesser of (i) 1,000,000 shares of Common Stock and (ii) 20% of the total aggregate number (or volume) of shares of Common Stock traded on The Nasdaq Capital Market (“Nasdaq”) during the applicable period beginning at the official open (or “commencement”) of the regular trading session on the applicable purchase date for such purchase and ending at such time that the total aggregate volume of shares of common stock traded on Nasdaq reaches the Purchase Share Volume Maximum (as defined herein) for such purchase (as applicable) (such period for each purchase, the “Purchase Valuation Period”). “Purchase Share Volume Maximum” means, with respect to a purchase made pursuant to the Purchase Agreement, the number of shares of Common Stock equal to the quotient obtained by dividing the (i) total number of shares of Common Stock to be purchased by B. Riley in the relevant purchase (the “Purchase Share Amount”), by (ii) 0.20 (subject to certain adjustments). The Company did not identify any feature that needs to be bifurcated and recorded as a derivative within the Purchase Agreement.</w:t>
      </w:r>
    </w:p>
    <w:p>
      <w:pPr>
        <w:spacing w:after="0" w:line="18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Company recorded $0.7 million of additional paid-in capital with a corresponding entry to the deferred offering cost asset in the accompanying consolidated balance sheet as of December 31, 2022 with respect to the fair value of the 171,008 common stock commitment shares issued to B. Riley which will be offset against future proceeds from the sale of the Company’s common stock under the Purchase Agreement. The Company did not issue or sell any shares to B. Riley under the Purchase Agreement during the year ended December 31, 2022 other than the 171,008 shares issued as consideration for entering into the Purchase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WARRANTS</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a result of the Business Combination (see Note 3), the Company has retroactively adjusted the number and corresponding strike price of Rigetti warrants outstanding prior to March 2, 2022, the date of the Business Combination, to give effect to the Exchange Ratio used to determine the number of shares of Common Stock into which they were converted.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Liability Classified Warrants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Warrants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$18.00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As of December 31, 2022, there were 8,625,000 Public Warrants issued and outstanding (Refer to Note 15 for fair value measurement).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Warrants</w:t>
      </w:r>
    </w:p>
    <w:p>
      <w:pPr>
        <w:spacing w:after="0" w:line="117"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The Private Warrants may not be redeemed by the Company so long as the Private Warrants are held by the initial purchasers, or such purchasers’ permitted transferees. The Private Warrants have terms and provisions identical to those of the Public Warrants, including as to exercise price, exercisability and exercise period, except if the Private Warrants are held by someone other than the initial purchasers’ permitted transferees, then the Private Warrants are redeemable by the Company and exercisable by such holders on the same basis as the Public Warrants. On August 18, 2022, the Private Placement Warrants were transferred from the initial purchasers to permitted transferees and remain unredeemable by the Company as of December 31, 2022.</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86"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fair value of the Private Warrant was measured using the Black Scholes model approach. Significant inputs into the respective models at March 2, 2022 (the initial recognition) and December 31, 2022 are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Valuation Assumptions</w:t>
            </w: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Initial Recognition</w:t>
            </w:r>
          </w:p>
        </w:tc>
        <w:tc>
          <w:tcPr>
            <w:tcW w:w="0" w:type="dxa"/>
            <w:vAlign w:val="bottom"/>
          </w:tcPr>
          <w:p>
            <w:pPr>
              <w:spacing w:after="0"/>
              <w:rPr>
                <w:sz w:val="1"/>
                <w:szCs w:val="1"/>
                <w:color w:val="auto"/>
              </w:rPr>
            </w:pPr>
          </w:p>
        </w:tc>
      </w:tr>
      <w:tr>
        <w:trPr>
          <w:trHeight w:val="171"/>
        </w:trPr>
        <w:tc>
          <w:tcPr>
            <w:tcW w:w="558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8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March 2, 2022</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$0.73</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$9.43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Strike Price</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$11.50</w:t>
            </w:r>
          </w:p>
        </w:tc>
        <w:tc>
          <w:tcPr>
            <w:tcW w:w="8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$11.50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109.26%</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30.66%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Risk-free rate</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4.04%</w:t>
            </w:r>
          </w:p>
        </w:tc>
        <w:tc>
          <w:tcPr>
            <w:tcW w:w="8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Estimated time to expiration (years)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4.172</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tcPr>
          <w:p>
            <w:pPr>
              <w:jc w:val="center"/>
              <w:ind w:right="7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Trinity Warrants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Trinity Warrants were issued in March of 2021 for the purchase of 313,252 shares of Common Stock, and additional warrants to purchase 469,877 shares of Common Stock were issued in connection with the Tranche B Amendment, see Note 10. Therefore, there were total of 783,129 Common Stock warrants issued in conjunction with the Loan and Security Agreement in 2021. The Company utilized a Black-Scholes model to determine the grant date fair value of the warrants which was approximately $2.7 million and was recorded as a debt issuance cost. The outstanding Common Stock warrants were subsequently remeasured at each reporting period using the Black-Scholes models with changes recorded as a component of other income in the Company’s consolidated statement of operations.</w:t>
      </w:r>
    </w:p>
    <w:p>
      <w:pPr>
        <w:spacing w:after="0" w:line="17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liability related to the Trinity Warrants was $6.4 million as of June 2, 2022, at which time all 783,129 warrants outstanding were exercised and the fair value of the warrant liability was reclassified to equity. The Company recorded a loss for the change in the fair value of the warrant liability in the consolidated statements of operations for the year ended December 31, 2022 and the 11 months ended December 31, 2021, of $2.0 million and $1.7 million, respectively.</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warrant issued in conjunction with the Loan and Security Agreement was classified as a liability under ASC 480, “Distinguishing Liabilities from Equity”. See Deferred Financing Cost disclosure at Note 2 Summary of Significant Accounting Policies.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Significant inputs into the Black Scholes model used to value the Trinity Warrant liabilities at June 2, 2022, the exercise date, are as follows:</w:t>
      </w:r>
    </w:p>
    <w:p>
      <w:pPr>
        <w:spacing w:after="0" w:line="26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Valuation Assumptions - Trinity Warrant Liability</w:t>
            </w:r>
          </w:p>
        </w:tc>
        <w:tc>
          <w:tcPr>
            <w:tcW w:w="360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w w:val="88"/>
              </w:rPr>
              <w:t>June 2, 2022</w:t>
            </w:r>
          </w:p>
        </w:tc>
      </w:tr>
      <w:tr>
        <w:trPr>
          <w:trHeight w:val="203"/>
        </w:trPr>
        <w:tc>
          <w:tcPr>
            <w:tcW w:w="3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Stock price</w:t>
            </w:r>
          </w:p>
        </w:tc>
        <w:tc>
          <w:tcPr>
            <w:tcW w:w="36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$8.23</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Strike price</w:t>
            </w:r>
          </w:p>
        </w:tc>
        <w:tc>
          <w:tcPr>
            <w:tcW w:w="4360" w:type="dxa"/>
            <w:vAlign w:val="bottom"/>
            <w:gridSpan w:val="2"/>
          </w:tcPr>
          <w:p>
            <w:pPr>
              <w:jc w:val="center"/>
              <w:ind w:left="3510"/>
              <w:spacing w:after="0"/>
              <w:rPr>
                <w:sz w:val="20"/>
                <w:szCs w:val="20"/>
                <w:color w:val="auto"/>
              </w:rPr>
            </w:pPr>
            <w:r>
              <w:rPr>
                <w:rFonts w:ascii="Arial" w:cs="Arial" w:eastAsia="Arial" w:hAnsi="Arial"/>
                <w:sz w:val="18"/>
                <w:szCs w:val="18"/>
                <w:color w:val="auto"/>
                <w:w w:val="88"/>
              </w:rPr>
              <w:t>$0.27</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4360" w:type="dxa"/>
            <w:vAlign w:val="bottom"/>
            <w:gridSpan w:val="2"/>
            <w:shd w:val="clear" w:color="auto" w:fill="CCEEFF"/>
          </w:tcPr>
          <w:p>
            <w:pPr>
              <w:jc w:val="center"/>
              <w:ind w:left="3510"/>
              <w:spacing w:after="0"/>
              <w:rPr>
                <w:sz w:val="20"/>
                <w:szCs w:val="20"/>
                <w:color w:val="auto"/>
              </w:rPr>
            </w:pPr>
            <w:r>
              <w:rPr>
                <w:rFonts w:ascii="Arial" w:cs="Arial" w:eastAsia="Arial" w:hAnsi="Arial"/>
                <w:sz w:val="18"/>
                <w:szCs w:val="18"/>
                <w:color w:val="auto"/>
                <w:w w:val="90"/>
              </w:rPr>
              <w:t>105.10%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Risk-free rate</w:t>
            </w:r>
          </w:p>
        </w:tc>
        <w:tc>
          <w:tcPr>
            <w:tcW w:w="4360" w:type="dxa"/>
            <w:vAlign w:val="bottom"/>
            <w:gridSpan w:val="2"/>
          </w:tcPr>
          <w:p>
            <w:pPr>
              <w:jc w:val="center"/>
              <w:ind w:left="3510"/>
              <w:spacing w:after="0"/>
              <w:rPr>
                <w:sz w:val="20"/>
                <w:szCs w:val="20"/>
                <w:color w:val="auto"/>
              </w:rPr>
            </w:pPr>
            <w:r>
              <w:rPr>
                <w:rFonts w:ascii="Arial" w:cs="Arial" w:eastAsia="Arial" w:hAnsi="Arial"/>
                <w:sz w:val="18"/>
                <w:szCs w:val="18"/>
                <w:color w:val="auto"/>
                <w:w w:val="93"/>
              </w:rPr>
              <w:t>2.94%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Estimated time to expiration (years)</w:t>
            </w:r>
          </w:p>
        </w:tc>
        <w:tc>
          <w:tcPr>
            <w:tcW w:w="4360" w:type="dxa"/>
            <w:vAlign w:val="bottom"/>
            <w:gridSpan w:val="2"/>
            <w:shd w:val="clear" w:color="auto" w:fill="CCEEFF"/>
          </w:tcPr>
          <w:p>
            <w:pPr>
              <w:jc w:val="center"/>
              <w:ind w:left="3510"/>
              <w:spacing w:after="0"/>
              <w:rPr>
                <w:sz w:val="20"/>
                <w:szCs w:val="20"/>
                <w:color w:val="auto"/>
              </w:rPr>
            </w:pPr>
            <w:r>
              <w:rPr>
                <w:rFonts w:ascii="Arial" w:cs="Arial" w:eastAsia="Arial" w:hAnsi="Arial"/>
                <w:sz w:val="18"/>
                <w:szCs w:val="18"/>
                <w:color w:val="auto"/>
                <w:w w:val="88"/>
              </w:rPr>
              <w:t>9.000</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Dividend yield</w:t>
            </w:r>
          </w:p>
        </w:tc>
        <w:tc>
          <w:tcPr>
            <w:tcW w:w="36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Classified Warrants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C Preferred Stock Financing Warrants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conjunction with a prior Series C Preferred Stock Financing the Company issued a total of 5,248,183 Warrants to purchase Class A Common Stock to the Series C investors. The Warrants have a $0.01 exercise price per share and have a 10-year term to expiration. The Warrants can be exercised for cash or on a cashless basis. The Company determined that the Warrants met the requirements for equity classification under ASC 480 and ASC 815. The Company estimated the fair value of the Warrants using the Black-Scholes model and allocated approximately $1.2 million in proceeds from the Series C Preferred Stock to the value of the Warrants on a relative fair value basis, which was recorded to additional paid in capital.</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86" w:right="4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Customer Warrants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February 2020, the Company issued a Warrant to purchase 2,680,607 shares of Class A Common Stock to a customer in conjunction with a revenue arrangement (the “Customer Warrants”). The Customer Warrants have a $1.152 exercise price per share and have a 10-year term to expiration. The Warrants vest upon the achievement of certain performance conditions (i.e., sales milestones) defined in the agreement, and upon a change of control, either 50% or 100% of the then unvested Customer Warrants will become fully vested, dependent on the acquiring party in the change of control transaction. The Warrants can be exercised for cash or on a cashless basis.</w:t>
      </w:r>
    </w:p>
    <w:p>
      <w:pPr>
        <w:spacing w:after="0" w:line="188"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The Company followed the guidance in ASC 718 and ASC 606 for the accounting of non-cash consideration payable to a customer. The Company determined that the Customer Warrants met the requirements for equity classification under ASC 718 and measured the Customer Warrants based on their grant date fair value, estimated to be $0.2 million. The Company recorded this amount as a deferred asset and additional paid in capital as of the issuance date, as the Company believes it is probable that all performance conditions (i.e., sales milestones) in the Customer Warrants will be met.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vesting status of the Customer Warrant is as follows at December 31, 2022 and December 31, 2021:</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9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Vested Customer warrants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1,340,297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1,072,237</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Unvested Customer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1,340,310</w:t>
            </w: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1,608,370</w:t>
            </w:r>
          </w:p>
        </w:tc>
      </w:tr>
      <w:tr>
        <w:trPr>
          <w:trHeight w:val="27"/>
        </w:trPr>
        <w:tc>
          <w:tcPr>
            <w:tcW w:w="59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2,680,607</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2,680,607</w:t>
            </w:r>
          </w:p>
        </w:tc>
      </w:tr>
      <w:tr>
        <w:trPr>
          <w:trHeight w:val="20"/>
        </w:trPr>
        <w:tc>
          <w:tcPr>
            <w:tcW w:w="5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FORWARD WARRANT AGREEMENT</w:t>
      </w:r>
    </w:p>
    <w:p>
      <w:pPr>
        <w:spacing w:after="0" w:line="229"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In connection with the execution of the Merger Agreement in October 2021, Rigetti entered into a warrant subscription agreement (“Forward Warrant Agreement”) with a strategic partner, Ampere Computing LLC (“Ampere”) for the purchase of a warrant for an aggregate purchase price (including amounts from exercise) of $10.0 million. The Forward Warrant Agreement provides for the issuance of a warrant for the purchase of an aggregate of 1,000,000 shares of Common Stock at an exercise price of $0.0001. The purchase of the warrant was conditioned upon, among other things, the consummation of the Business Combination and the entry into a collaboration agreement between Rigetti and Ampere. The parties entered into the collaboration agreement in January 2022. Ampere was required to pay $5.0 million to Rigetti no later than the later of (i) the Closing and (ii) June 30, 2022.</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June 30, 2022, pursuant to the Warrant Subscription Agreement, the Company issued the warrant to Ampere upon receipt of an aggregate of</w:t>
      </w:r>
    </w:p>
    <w:p>
      <w:pPr>
        <w:spacing w:after="0" w:line="35"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$5.0 million (including the exercise price), and upon such payment and issuance, 500,000 shares of the Company’s Common Stock vested under the warrant and were immediately exercised by Ampere pursuant to the terms of the warrant. Ampere is required to pay an additional $5.0 million to Rigetti no later than the closing date of the listing of Ampere’s capital stock, provided that if the listing has not occurred by the second anniversary of the Warrant Subscription Agreement, Ampere is not obligated to make the additional payment. Upon the payment of such additional amounts, the warrant will vest and be exercisable with respect to the remaining 500,000 shares underlying the warrant. The Warrant Subscription Agreement further provides that the Company will use commercially reasonable efforts to file a registration statement to register the resale of the remaining shares underlying the warrant. The Company filed a registration statement registering the resale of the initial 500,000 shares issued under the warrant during the year ended December 31, 2022.</w:t>
      </w:r>
    </w:p>
    <w:p>
      <w:pPr>
        <w:spacing w:after="0" w:line="198"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Company evaluated the Forward Warrant Agreement as a derivative in conjunction with the guidance of ASC 480, “Distinguishing Liabilities from Equity”. The Company calculated the fair value of the Forward Warrant Agreement by using the Forward Contract Pricing methodology at inception and at December 31, 2022. The fair value of the Forward Warrant Agreement was estimated based on the following key inputs and assumptions 1)</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86" w:right="49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Assumed holding period 2) Related risk-free rate and 3) Likelihood of the outcome of the various contingencies outlined below. Based on these inputs and assumption, the Company calculated the fair value of the Forward Warrant Agreement to be a $2.2 million derivative asset and a ($0.2 million) derivative liability at December 31, 2022 and December 31, 2021, respectively. The Company has included the derivative asset as a forward contract asset and the derivative liability separately in other liabilities (current) on the balance sheet line in the accompanying consolidated balance sheets as of December 31, 2022 and December 31, 2021, respectively. The change in fair value is recorded as part of the general and administrative operating activities in the Company’s consolidated statements of operations. The following table represents key valuation assumptions as of the year ended December 31, 2022 and 11 months ended December 31, 2021:</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 Assumptions</w:t>
            </w: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5960" w:type="dxa"/>
            <w:vAlign w:val="bottom"/>
            <w:gridSpan w:val="2"/>
            <w:vMerge w:val="continue"/>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2022</w:t>
            </w:r>
          </w:p>
        </w:tc>
        <w:tc>
          <w:tcPr>
            <w:tcW w:w="5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
        </w:trPr>
        <w:tc>
          <w:tcPr>
            <w:tcW w:w="1420" w:type="dxa"/>
            <w:vAlign w:val="bottom"/>
            <w:tcBorders>
              <w:bottom w:val="single" w:sz="8" w:color="CCEEFF"/>
            </w:tcBorders>
            <w:shd w:val="clear" w:color="auto" w:fill="000000"/>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Holding period (in years)</w:t>
            </w:r>
          </w:p>
        </w:tc>
        <w:tc>
          <w:tcPr>
            <w:tcW w:w="8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0.767</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0.5-1.13</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Risk free rate</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4.69%</w:t>
            </w:r>
          </w:p>
        </w:tc>
        <w:tc>
          <w:tcPr>
            <w:tcW w:w="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0.19%-0.43%</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of occurring the contingency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50%-100%</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Underlying value per share</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$0.73</w:t>
            </w:r>
          </w:p>
        </w:tc>
        <w:tc>
          <w:tcPr>
            <w:tcW w:w="5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$10.29</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FAIR VALUE MEASUREMENTS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fair value measurements of financial assets and liabilities that are measured at fair value at December 31, 2022 and December 31, 2021 are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0"/>
              </w:rPr>
              <w:t>December 31, 2022</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5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2"/>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7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89"/>
              </w:rPr>
              <w:t>$36,346</w:t>
            </w:r>
          </w:p>
        </w:tc>
        <w:tc>
          <w:tcPr>
            <w:tcW w:w="500" w:type="dxa"/>
            <w:vAlign w:val="bottom"/>
            <w:gridSpan w:val="3"/>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6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 Treasury Securities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58,210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23,142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Forward warrant agreement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2,229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gridSpan w:val="5"/>
            <w:shd w:val="clear" w:color="auto" w:fill="CCEEFF"/>
          </w:tcPr>
          <w:p>
            <w:pPr>
              <w:ind w:lef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94,556</w:t>
            </w:r>
          </w:p>
        </w:tc>
        <w:tc>
          <w:tcPr>
            <w:tcW w:w="1020" w:type="dxa"/>
            <w:vAlign w:val="bottom"/>
            <w:gridSpan w:val="5"/>
            <w:shd w:val="clear" w:color="auto" w:fill="CCEEFF"/>
          </w:tcPr>
          <w:p>
            <w:pPr>
              <w:ind w:left="4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26,713</w:t>
            </w: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liability - Public Warrants</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699</w:t>
            </w:r>
          </w:p>
        </w:tc>
        <w:tc>
          <w:tcPr>
            <w:tcW w:w="500" w:type="dxa"/>
            <w:vAlign w:val="bottom"/>
            <w:gridSpan w:val="3"/>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Derivative warrant liability - Private Warrants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Earn-out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color w:val="auto"/>
                <w:w w:val="86"/>
              </w:rPr>
              <w:t>699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8"/>
              </w:rPr>
              <w:t>December 31, 2021</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020" w:type="dxa"/>
            <w:vAlign w:val="bottom"/>
            <w:gridSpan w:val="5"/>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68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Derivative warrant liability - Trinity Warrants</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Forward warrant agreement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4,585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December 31, 2022, the Company has recorded the following financial instruments subject to fair value measurements: 1) Derivative warrant liabilities—Public Warrants liability and Private Warrants, 2) Forward Warrant Agreement, and 3) Earnout liability.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40"/>
          </w:cols>
          <w:pgMar w:left="320" w:top="486" w:right="6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Company also has long-term debt and a line of credit that provides for variable interest, and therefore, the carrying value approximates the fair value. The carrying values as of December 31, 2022 and December 31, 2021, represent the original principal amounts borrowed less principal payments and debt issuance costs.</w:t>
      </w:r>
    </w:p>
    <w:p>
      <w:pPr>
        <w:spacing w:after="0" w:line="18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fair value of the Public Warrants has been measured based on the observable listed prices for such warrants, a Level 1 measurement. The Company’s money market funds and U.S. Treasury securities are classified within Level I due to the highly liquid nature of these assets with quoted prices in active markets. The investments in available-for-sale securities (i.e., commercial paper and corporate debt securities) and corporate debt issued by the Company are classified within Level II. The fair value of the Company’s Level II financial assets and liabilities is determined by using inputs based quoted market prices for similar instruments. All other financial instruments are classified as Level 3 liabilities as they all include unobservable inputs.</w:t>
      </w:r>
    </w:p>
    <w:p>
      <w:pPr>
        <w:spacing w:after="0" w:line="192"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Private Warrants were initially measured at fair value using a Black Scholes model. The Company estimated the fair value of the Forward Warrant Agreement using a forward analysis with unobservable inputs which included selected risk-free rate and probability outcomes. The Company has further discussed the key aspects of the fair value measurements described above in Notes 13 and 14 to the financial statements.</w:t>
      </w:r>
    </w:p>
    <w:p>
      <w:pPr>
        <w:spacing w:after="0" w:line="165"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The aggregate fair value of the Sponsor Vesting Shares on the Closing date was estimated using a Monte Carlo simulation model. The Company has further discussed the key aspect of the valuation inputs in Note 2 significant accounting policy for Sponsor Earn-Out Liability.</w:t>
      </w:r>
    </w:p>
    <w:p>
      <w:pPr>
        <w:spacing w:after="0" w:line="146"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As of December 31, 2021, the Company recorded a derivative warrant liability for the Trinity Warrants at fair value using a Black-Scholes option model with unobservable inputs including volatility. The Company estimates the volatility of its ordinary share warrants based on implied volatility from the Company’s traded warrants and from historical volatility of select peer company’s ordinary shares that matches the expected remaining life of the warrants. On June 2, 2022, all outstanding Trinity Warrants were exercised into shares of the Company’s Common Stock</w:t>
      </w:r>
    </w:p>
    <w:p>
      <w:pPr>
        <w:spacing w:after="0" w:line="17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There have been no changes in fair value measurement techniques (other than the change in valuation assumptions described in Note 1) during the year ended December 31, 2022. There were no transfers between Level 1 or Level 2, or transfers in or out of Level 3 of the fair value hierarchy during the year end December 31, 2022. The fair value estimates are based on pertinent information available to management as of December 31, 2022 and December 31, 2021. Although management is not aware of any factors, other than those noted above, that would significantly affect the estimated fair value amounts, such amounts have not been comprehensively revalued for the purpose of these financial statements. Current estimates of fair value may differ from the amounts presented.</w:t>
      </w:r>
    </w:p>
    <w:p>
      <w:pPr>
        <w:spacing w:after="0" w:line="19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 summary of the changes in the fair value of the Company’s Level 3 financial instruments as of December 31, 2022 and December 31, 2021 are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4"/>
                <w:szCs w:val="14"/>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Derivative</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Forward</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Earn-out</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warrant liability -</w:t>
            </w: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warrant liability -</w:t>
            </w:r>
          </w:p>
        </w:tc>
        <w:tc>
          <w:tcPr>
            <w:tcW w:w="14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Warrant</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Trinity Warrants</w:t>
            </w: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Private Warrants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Agreement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liability</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31, 2021</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Issuance</w:t>
            </w:r>
          </w:p>
        </w:tc>
        <w:tc>
          <w:tcPr>
            <w:tcW w:w="16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2,691</w:t>
            </w:r>
          </w:p>
        </w:tc>
        <w:tc>
          <w:tcPr>
            <w:tcW w:w="16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661"/>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1,664</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1"/>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Balance - December 31, 2021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Initial measurement on March 2, 2022 upon</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Business Combination (Note 3)</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9,612</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20,413</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Change in fair values</w:t>
            </w:r>
          </w:p>
        </w:tc>
        <w:tc>
          <w:tcPr>
            <w:tcW w:w="16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(8,544)</w:t>
            </w:r>
          </w:p>
        </w:tc>
        <w:tc>
          <w:tcPr>
            <w:tcW w:w="160" w:type="dxa"/>
            <w:vAlign w:val="bottom"/>
          </w:tcPr>
          <w:p>
            <w:pPr>
              <w:spacing w:after="0"/>
              <w:rPr>
                <w:sz w:val="18"/>
                <w:szCs w:val="18"/>
                <w:color w:val="auto"/>
              </w:rPr>
            </w:pPr>
          </w:p>
        </w:tc>
        <w:tc>
          <w:tcPr>
            <w:tcW w:w="1260" w:type="dxa"/>
            <w:vAlign w:val="bottom"/>
            <w:gridSpan w:val="2"/>
          </w:tcPr>
          <w:p>
            <w:pPr>
              <w:jc w:val="right"/>
              <w:ind w:right="601"/>
              <w:spacing w:after="0"/>
              <w:rPr>
                <w:sz w:val="20"/>
                <w:szCs w:val="20"/>
                <w:color w:val="auto"/>
              </w:rPr>
            </w:pPr>
            <w:r>
              <w:rPr>
                <w:rFonts w:ascii="Arial" w:cs="Arial" w:eastAsia="Arial" w:hAnsi="Arial"/>
                <w:sz w:val="18"/>
                <w:szCs w:val="18"/>
                <w:color w:val="auto"/>
                <w:w w:val="98"/>
              </w:rPr>
              <w:t>(5,764)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(19,207)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warrants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(6,370)</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1"/>
              <w:spacing w:after="0"/>
              <w:rPr>
                <w:sz w:val="20"/>
                <w:szCs w:val="20"/>
                <w:color w:val="auto"/>
              </w:rPr>
            </w:pPr>
            <w:r>
              <w:rPr>
                <w:rFonts w:ascii="Arial" w:cs="Arial" w:eastAsia="Arial" w:hAnsi="Arial"/>
                <w:sz w:val="18"/>
                <w:szCs w:val="18"/>
                <w:color w:val="auto"/>
              </w:rPr>
              <w:t>3,305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Balance - December 31, 2022</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(2,229</w:t>
            </w:r>
          </w:p>
        </w:tc>
        <w:tc>
          <w:tcPr>
            <w:tcW w:w="740" w:type="dxa"/>
            <w:vAlign w:val="bottom"/>
          </w:tcPr>
          <w:p>
            <w:pPr>
              <w:jc w:val="right"/>
              <w:ind w:right="60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F-35</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EQUITY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Equity Incentive Plan</w:t>
      </w:r>
    </w:p>
    <w:p>
      <w:pPr>
        <w:spacing w:after="0" w:line="117"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In 2013, the Company adopted the 2013 Plan which provides for the grant of qualified incentive stock options (“ISO”) and nonqualified stock options (“NSO”), restricted stock, restricted stock units (“RSU”) or other awards to the Company’s employees, officers, directors, advisors, and outside consultants. After the Closing Date and consummation of the Business Combination effective March 2, 2022, no additional awards were issued under the 2013 Plan. Awards outstanding under the 2013 Plan will continue to be governed by such plan; however, the Company will not grant any further awards under the 2013 Plan.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Equity Incentive Plan</w:t>
      </w:r>
    </w:p>
    <w:p>
      <w:pPr>
        <w:spacing w:after="0" w:line="117"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In connection with the Business Combination (Note 3), the shareholders approved the Rigetti Computing, Inc. 2022 Equity Incentive Plan (the “2022 Plan”) in February, 2022, which became effective immediately upon the Closing Date. The 2022 Plan provides for the grant of ISOs, NSOs, stock appreciation rights, restricted stock awards (“RSA”), restricted stock unit awards, performance awards and other forms of awards to employees, directors, and consultants, including employees and consultants of the Company’s affiliates. The aggregate number of shares of common stock reserved for issuance under the 2022 Plan is 18,332,215 shares as of December 31, 2022. As of December 31, 2022, 4,748,116 shares were available for future issuance under the 2022 Plan. The number of shares reserved for issuance under the 2022 Plan will automatically increase on January 1st of each year for a period of nine years commencing on January 1, 2023 and ending on (and including) January 1, 2032, in an amount equal to 5% of the common stock of all classes outstanding on December 31 of the preceding year; provided, however, that the board of directors of the Company may act prior to January 1st of a given year to provide that the increase for such year will be a lesser number of shares of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activity related to stock option is summarized as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86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93"/>
              </w:rPr>
              <w:t>Number of Options</w:t>
            </w:r>
          </w:p>
        </w:tc>
        <w:tc>
          <w:tcPr>
            <w:tcW w:w="12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Price</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Life (in years)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11,468,275</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1,750,000</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0.96</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(2,768,568)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0.27</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Forfeited and expired</w:t>
            </w:r>
          </w:p>
        </w:tc>
        <w:tc>
          <w:tcPr>
            <w:tcW w:w="1860" w:type="dxa"/>
            <w:vAlign w:val="bottom"/>
            <w:gridSpan w:val="3"/>
          </w:tcPr>
          <w:p>
            <w:pPr>
              <w:jc w:val="right"/>
              <w:ind w:right="600"/>
              <w:spacing w:after="0"/>
              <w:rPr>
                <w:sz w:val="20"/>
                <w:szCs w:val="20"/>
                <w:color w:val="auto"/>
              </w:rPr>
            </w:pPr>
            <w:r>
              <w:rPr>
                <w:rFonts w:ascii="Arial" w:cs="Arial" w:eastAsia="Arial" w:hAnsi="Arial"/>
                <w:sz w:val="18"/>
                <w:szCs w:val="18"/>
                <w:color w:val="auto"/>
              </w:rPr>
              <w:t>(1,603,804)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0.27</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8,845,903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0.38</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Exercisable - December 31, 2022</w:t>
            </w:r>
          </w:p>
        </w:tc>
        <w:tc>
          <w:tcPr>
            <w:tcW w:w="12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0.40</w:t>
            </w: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7.2</w:t>
            </w:r>
          </w:p>
        </w:tc>
        <w:tc>
          <w:tcPr>
            <w:tcW w:w="420" w:type="dxa"/>
            <w:vAlign w:val="bottom"/>
            <w:gridSpan w:val="2"/>
            <w:vMerge w:val="restart"/>
          </w:tcPr>
          <w:p>
            <w:pPr>
              <w:ind w:left="300"/>
              <w:spacing w:after="0"/>
              <w:rPr>
                <w:sz w:val="20"/>
                <w:szCs w:val="20"/>
                <w:color w:val="auto"/>
              </w:rPr>
            </w:pPr>
            <w:r>
              <w:rPr>
                <w:rFonts w:ascii="Arial" w:cs="Arial" w:eastAsia="Arial" w:hAnsi="Arial"/>
                <w:sz w:val="18"/>
                <w:szCs w:val="18"/>
                <w:color w:val="auto"/>
                <w:w w:val="99"/>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line="20" w:lineRule="exact"/>
              <w:rPr>
                <w:sz w:val="1"/>
                <w:szCs w:val="1"/>
                <w:color w:val="auto"/>
              </w:rPr>
            </w:pPr>
          </w:p>
        </w:tc>
      </w:tr>
      <w:tr>
        <w:trPr>
          <w:trHeight w:val="196"/>
        </w:trPr>
        <w:tc>
          <w:tcPr>
            <w:tcW w:w="572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5,464,027</w:t>
            </w:r>
          </w:p>
        </w:tc>
        <w:tc>
          <w:tcPr>
            <w:tcW w:w="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On December 12, 2022 the Company granted to the CEO an equity award (“CEO award”) under its 2022 Plan that consisted of options to purchase a total of 1,750,000 shares of its common stock with an exercise price of $0.96 per share. Of the total stock options granted to the CEO, 1,250,000 have time-based vesting over 3 years and the remaining 500,000 have market-based vesting conditions. Compensation expense for the CEO award for the year ending December 31, 2022 was insignificant.</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weighted-average grant date fair value of options granted during the twelve months ended December 31, 2022 and 11 months ended December 31, 2021 was $0.81 and $3.43 respectively. The total intrinsic value of options exercised during the twelve months ended December 31, 2022 and 11 months ended December 31, 2021 is $9.9 million and $5.7 million, respectively.</w:t>
      </w:r>
    </w:p>
    <w:p>
      <w:pPr>
        <w:spacing w:after="0" w:line="18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As of December 31, 2022, there was $2.4 million of unrecognized compensation cost related to non-vested stock options granted under the 2013 and 2022 Plan, which is expected to be recognized over a weighted-average period of approximately 1.96 years.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86" w:right="4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activity related to RSUs is summarized as below:</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740" w:type="dxa"/>
            <w:vAlign w:val="bottom"/>
            <w:gridSpan w:val="2"/>
            <w:vMerge w:val="restart"/>
          </w:tcPr>
          <w:p>
            <w:pPr>
              <w:jc w:val="right"/>
              <w:ind w:right="1140"/>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5"/>
              </w:rPr>
              <w:t>Value Per Share</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5,388,455</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w w:val="93"/>
              </w:rPr>
              <w:t>17,782,607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7"/>
              </w:rPr>
              <w:t>(7,007,789)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w w:val="97"/>
              </w:rPr>
              <w:t>(4,830,682)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December 31,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11,332,591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On March 2, 2022, the performance condition of all outstanding RSUs was met due to the closing of the Business Combination. As a result, the Company recorded a cumulative catch-up compensation expense for the vesting period that was satisfied as of March 2, 2022 and continues amortizing compensation expenses for unvested RSUs over their remaining vesting period.</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Total fair value of the RSUs vested during the twelve months ending December 31, 2022 and 11 months ended December 31, 2021 was $35.0 million and $0 respectively.</w:t>
      </w:r>
    </w:p>
    <w:p>
      <w:pPr>
        <w:spacing w:after="0" w:line="170"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Stock-based compensation expense related to RSUs granted to employees was $42.7 million and $0 for the twelve months ended December 31, 2022 and 11 months ended December 31, 2021, respectively. As of December 31, 2022, the unrecognized compensation expense related to unvested RSUs was approximately $41.9 million which is expected to be recognized over a weighted-average period of approximately 2.85 years.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During the twelve months ended December 31, 2022, 120,000 restricted stock awards (“RSAs”) were issued and vested immediately on the grant date as part of transaction bonuses in recognition of efforts in connection with the Business Combination. The total compensation expense related to RSAs was $0.6 million for the twelve months ended December 31, 2022.</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table below summarizes the total stock-based compensation expenses for the year ended December 31, 2022 and 11 months ended December 31, 2021:</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4"/>
              </w:rPr>
              <w:t>11 Months Ended</w:t>
            </w:r>
          </w:p>
        </w:tc>
      </w:tr>
      <w:tr>
        <w:trPr>
          <w:trHeight w:val="148"/>
        </w:trPr>
        <w:tc>
          <w:tcPr>
            <w:tcW w:w="3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350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28,611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 stock-based compensation expenses</w:t>
            </w:r>
          </w:p>
        </w:tc>
        <w:tc>
          <w:tcPr>
            <w:tcW w:w="20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44,812</w:t>
            </w:r>
          </w:p>
        </w:tc>
        <w:tc>
          <w:tcPr>
            <w:tcW w:w="9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4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2180" w:type="dxa"/>
            <w:vAlign w:val="bottom"/>
            <w:gridSpan w:val="2"/>
          </w:tcPr>
          <w:p>
            <w:pPr>
              <w:ind w:left="520"/>
              <w:spacing w:after="0"/>
              <w:rPr>
                <w:sz w:val="20"/>
                <w:szCs w:val="20"/>
                <w:color w:val="auto"/>
              </w:rPr>
            </w:pPr>
            <w:r>
              <w:rPr>
                <w:rFonts w:ascii="Arial" w:cs="Arial" w:eastAsia="Arial" w:hAnsi="Arial"/>
                <w:sz w:val="18"/>
                <w:szCs w:val="18"/>
                <w:color w:val="auto"/>
              </w:rPr>
              <w:t>F-37</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Common Stock and Options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option-pricing model that uses the assumptions noted in the table below. Expected volatility for the Company’s Common Stock was determined based on an average of the historical volatility of a peer group of similar public companies. The expected term of options granted was calculated using the simplified method, which represents the average of the contractual term of the option and the weighted-average vesting period of the option. The Company uses the simplified method because it does not have sufficient historical option exercise data to provide a reasonable basis upon which to estimate expected term. The assumed dividend yield is based upon the Company’s expectation of not paying dividends in the foreseeable future. The risk-free rate is based upon the U.S. Treasury yield curve in effect at the time of grant for the period equivalent to the expected life of the option.</w:t>
      </w:r>
    </w:p>
    <w:p>
      <w:pPr>
        <w:spacing w:after="0" w:line="17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 determining the exercise prices for options granted, the Company’s board of directors has considered the fair value of the Common Stock as of the grant date. Before the Company’s common stock was publicly traded, the fair value of the Common Stock has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engineering and management team, an evaluation or benchmark of the Company’s competition, the current business climate in the marketplace, the illiquid nature of the Common Stock, arm’s-length sales of the Company’s capital stock (including redeemable convertible preferred stock), the effect of the rights and preferences of the preferred shareholders, and the prospects of a liquidity event, among others.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options issued in 2022, including the options that are based on market conditions, did not have significant</w:t>
      </w:r>
    </w:p>
    <w:p>
      <w:pPr>
        <w:spacing w:after="0" w:line="23"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impact on the stock-based compensation expense during the year ended December 31, 2022. The range of assumptions used in the Black-Scholes option-pricing model for time based options issued to employees and in Monte Carlo simulation model for market based options during the 12 months ended December 31, 2022 and 11 months ended December 31, 2021 are as follows: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40" w:type="dxa"/>
            <w:vAlign w:val="bottom"/>
            <w:gridSpan w:val="5"/>
          </w:tcPr>
          <w:p>
            <w:pPr>
              <w:jc w:val="right"/>
              <w:ind w:right="2060"/>
              <w:spacing w:after="0"/>
              <w:rPr>
                <w:sz w:val="20"/>
                <w:szCs w:val="20"/>
                <w:color w:val="auto"/>
              </w:rPr>
            </w:pPr>
            <w:r>
              <w:rPr>
                <w:rFonts w:ascii="Arial" w:cs="Arial" w:eastAsia="Arial" w:hAnsi="Arial"/>
                <w:sz w:val="14"/>
                <w:szCs w:val="14"/>
                <w:b w:val="1"/>
                <w:bCs w:val="1"/>
                <w:color w:val="auto"/>
              </w:rPr>
              <w:t>12 Months ended December 31, 2022</w:t>
            </w:r>
          </w:p>
        </w:tc>
        <w:tc>
          <w:tcPr>
            <w:tcW w:w="8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11 Months</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restart"/>
          </w:tcPr>
          <w:p>
            <w:pPr>
              <w:jc w:val="center"/>
              <w:ind w:right="260"/>
              <w:spacing w:after="0" w:line="113" w:lineRule="exact"/>
              <w:rPr>
                <w:sz w:val="20"/>
                <w:szCs w:val="20"/>
                <w:color w:val="auto"/>
              </w:rPr>
            </w:pPr>
            <w:r>
              <w:rPr>
                <w:rFonts w:ascii="Arial" w:cs="Arial" w:eastAsia="Arial" w:hAnsi="Arial"/>
                <w:sz w:val="13"/>
                <w:szCs w:val="13"/>
                <w:b w:val="1"/>
                <w:bCs w:val="1"/>
                <w:color w:val="auto"/>
                <w:w w:val="99"/>
              </w:rPr>
              <w:t>ended</w:t>
            </w:r>
          </w:p>
        </w:tc>
        <w:tc>
          <w:tcPr>
            <w:tcW w:w="0" w:type="dxa"/>
            <w:vAlign w:val="bottom"/>
          </w:tcPr>
          <w:p>
            <w:pPr>
              <w:spacing w:after="0"/>
              <w:rPr>
                <w:sz w:val="1"/>
                <w:szCs w:val="1"/>
                <w:color w:val="auto"/>
              </w:rPr>
            </w:pPr>
          </w:p>
        </w:tc>
      </w:tr>
      <w:tr>
        <w:trPr>
          <w:trHeight w:val="65"/>
        </w:trPr>
        <w:tc>
          <w:tcPr>
            <w:tcW w:w="4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gridSpan w:val="2"/>
            <w:vMerge w:val="restart"/>
          </w:tcPr>
          <w:p>
            <w:pPr>
              <w:jc w:val="right"/>
              <w:ind w:right="1340"/>
              <w:spacing w:after="0"/>
              <w:rPr>
                <w:sz w:val="20"/>
                <w:szCs w:val="20"/>
                <w:color w:val="auto"/>
              </w:rPr>
            </w:pPr>
            <w:r>
              <w:rPr>
                <w:rFonts w:ascii="Arial" w:cs="Arial" w:eastAsia="Arial" w:hAnsi="Arial"/>
                <w:sz w:val="14"/>
                <w:szCs w:val="14"/>
                <w:b w:val="1"/>
                <w:bCs w:val="1"/>
                <w:color w:val="auto"/>
                <w:w w:val="87"/>
              </w:rPr>
              <w:t>Time based vesting</w:t>
            </w:r>
          </w:p>
        </w:tc>
        <w:tc>
          <w:tcPr>
            <w:tcW w:w="2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Market based vesting</w:t>
            </w: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2540" w:type="dxa"/>
            <w:vAlign w:val="bottom"/>
            <w:gridSpan w:val="3"/>
            <w:vMerge w:val="continue"/>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awards</w:t>
            </w:r>
          </w:p>
        </w:tc>
        <w:tc>
          <w:tcPr>
            <w:tcW w:w="1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awards</w:t>
            </w: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100" w:type="dxa"/>
            <w:vAlign w:val="bottom"/>
          </w:tcPr>
          <w:p>
            <w:pPr>
              <w:spacing w:after="0"/>
              <w:rPr>
                <w:sz w:val="18"/>
                <w:szCs w:val="18"/>
                <w:color w:val="auto"/>
              </w:rPr>
            </w:pPr>
          </w:p>
        </w:tc>
        <w:tc>
          <w:tcPr>
            <w:tcW w:w="2500" w:type="dxa"/>
            <w:vAlign w:val="bottom"/>
            <w:gridSpan w:val="2"/>
          </w:tcPr>
          <w:p>
            <w:pPr>
              <w:jc w:val="right"/>
              <w:ind w:right="1100"/>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8"/>
                <w:szCs w:val="18"/>
                <w:color w:val="auto"/>
              </w:rPr>
            </w:pPr>
          </w:p>
        </w:tc>
        <w:tc>
          <w:tcPr>
            <w:tcW w:w="2280" w:type="dxa"/>
            <w:vAlign w:val="bottom"/>
            <w:gridSpan w:val="2"/>
          </w:tcPr>
          <w:p>
            <w:pPr>
              <w:jc w:val="right"/>
              <w:ind w:right="1220"/>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5.85</w:t>
            </w:r>
          </w:p>
        </w:tc>
        <w:tc>
          <w:tcPr>
            <w:tcW w:w="260" w:type="dxa"/>
            <w:vAlign w:val="bottom"/>
          </w:tcPr>
          <w:p>
            <w:pPr>
              <w:spacing w:after="0"/>
              <w:rPr>
                <w:sz w:val="18"/>
                <w:szCs w:val="18"/>
                <w:color w:val="auto"/>
              </w:rPr>
            </w:pPr>
          </w:p>
        </w:tc>
        <w:tc>
          <w:tcPr>
            <w:tcW w:w="2280" w:type="dxa"/>
            <w:vAlign w:val="bottom"/>
            <w:gridSpan w:val="2"/>
          </w:tcPr>
          <w:p>
            <w:pPr>
              <w:jc w:val="right"/>
              <w:ind w:right="12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6.1 years</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price/Stock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0.96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NET LOSS PER SHARE</w:t>
      </w:r>
    </w:p>
    <w:p>
      <w:pPr>
        <w:spacing w:after="0" w:line="121" w:lineRule="exact"/>
        <w:rPr>
          <w:sz w:val="20"/>
          <w:szCs w:val="20"/>
          <w:color w:val="auto"/>
        </w:rPr>
      </w:pPr>
    </w:p>
    <w:p>
      <w:pPr>
        <w:jc w:val="both"/>
        <w:ind w:left="120" w:right="40"/>
        <w:spacing w:after="0" w:line="308" w:lineRule="auto"/>
        <w:rPr>
          <w:sz w:val="20"/>
          <w:szCs w:val="20"/>
          <w:color w:val="auto"/>
        </w:rPr>
      </w:pPr>
      <w:r>
        <w:rPr>
          <w:rFonts w:ascii="Arial" w:cs="Arial" w:eastAsia="Arial" w:hAnsi="Arial"/>
          <w:sz w:val="17"/>
          <w:szCs w:val="17"/>
          <w:color w:val="auto"/>
        </w:rPr>
        <w:t>As a result of the Business Combination (see Note 3), the Company has retroactively adjusted the weighted average shares outstanding prior to March 2, 2022 to give effect to the Exchange Ratio used to determine the number of shares of Common Stock into which they were converted.</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86" w:right="4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of Common Stock for the year ended December 31, 2022 and 11 months ended December 31, 2021:</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11 Months</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2022</w:t>
            </w:r>
          </w:p>
        </w:tc>
        <w:tc>
          <w:tcPr>
            <w:tcW w:w="3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(71,521)</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Basic and diluted shares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Class A Common Stock outstanding</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102,300,852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23,337,127</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Loss per share for Class A Common Stock</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(0.70)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There are 3,059,273 shares of contingently issuable Common Stock pursuant to the earn-out arrangement that were not included in the computation of basic net loss per share since the contingencies for the issuance of these shares have not been met as of December 31, 2022. The weighted-average common shares outstanding for the twelve months ended December 31, 2022 and December 31, 2021 include 2,541,856 and 5,116,058 weighted-average shares of warrants with an exercise price of $0.01, respectively.</w:t>
      </w:r>
    </w:p>
    <w:p>
      <w:pPr>
        <w:spacing w:after="0" w:line="18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Company’s potential dilutive securities, which include stock options, restricted stock units, convertible preferred stock and warrants have been excluded from the computation of diluted net loss per share as the effect would be anti-dilutive. Therefore, the weighted average number of common shares outstanding used to calculate both basic and diluted net loss per share is the same.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excluded the following potential common shares from the computation of diluted net loss per share as of December 31, 2022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40" w:type="dxa"/>
            <w:vAlign w:val="bottom"/>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Series C-1 Preferred Stock</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23,218,320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Convertible Series C Preferred Stock</w:t>
            </w: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54,478,033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14,444,127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1,822,319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Stock Options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8,845,903</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11,468,227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11,332,591</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34,622,621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90,986,899</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number of outstanding shares as of December 31, 2021 have been retrospectively adjusted to reflect the Exchange Ratio.</w:t>
      </w:r>
    </w:p>
    <w:p>
      <w:pPr>
        <w:spacing w:after="0" w:line="23" w:lineRule="exact"/>
        <w:rPr>
          <w:rFonts w:ascii="Arial" w:cs="Arial" w:eastAsia="Arial" w:hAnsi="Arial"/>
          <w:sz w:val="18"/>
          <w:szCs w:val="18"/>
          <w:color w:val="auto"/>
        </w:rPr>
      </w:pPr>
    </w:p>
    <w:p>
      <w:pPr>
        <w:ind w:left="540" w:right="660" w:hanging="424"/>
        <w:spacing w:after="0" w:line="260"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number of outstanding warrants as of December 31, 2022 and December 31, 2021 does not include 1,340,310 and 1,608,359 shares, respectively, of Unvested Customer Warrants.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domestic and foreign components of loss before income taxes for the year ended December 31, 2022 and 11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11 Months ended</w:t>
            </w:r>
          </w:p>
        </w:tc>
      </w:tr>
      <w:tr>
        <w:trPr>
          <w:trHeight w:val="148"/>
        </w:trPr>
        <w:tc>
          <w:tcPr>
            <w:tcW w:w="2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38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8"/>
              </w:rPr>
              <w:t>(67,677)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(36,787)</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Foreign</w:t>
            </w: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(1,454)</w:t>
            </w:r>
          </w:p>
        </w:tc>
      </w:tr>
      <w:tr>
        <w:trPr>
          <w:trHeight w:val="27"/>
        </w:trPr>
        <w:tc>
          <w:tcPr>
            <w:tcW w:w="2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8"/>
              </w:rPr>
              <w:t>(71,521)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(38,241)</w:t>
            </w:r>
          </w:p>
        </w:tc>
      </w:tr>
      <w:tr>
        <w:trPr>
          <w:trHeight w:val="20"/>
        </w:trPr>
        <w:tc>
          <w:tcPr>
            <w:tcW w:w="23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360" w:type="dxa"/>
            <w:vAlign w:val="bottom"/>
          </w:tcPr>
          <w:p>
            <w:pPr>
              <w:spacing w:after="0"/>
              <w:rPr>
                <w:sz w:val="24"/>
                <w:szCs w:val="24"/>
                <w:color w:val="auto"/>
              </w:rPr>
            </w:pPr>
          </w:p>
        </w:tc>
        <w:tc>
          <w:tcPr>
            <w:tcW w:w="3380" w:type="dxa"/>
            <w:vAlign w:val="bottom"/>
            <w:gridSpan w:val="2"/>
          </w:tcPr>
          <w:p>
            <w:pPr>
              <w:ind w:left="1660"/>
              <w:spacing w:after="0"/>
              <w:rPr>
                <w:sz w:val="20"/>
                <w:szCs w:val="20"/>
                <w:color w:val="auto"/>
              </w:rPr>
            </w:pPr>
            <w:r>
              <w:rPr>
                <w:rFonts w:ascii="Arial" w:cs="Arial" w:eastAsia="Arial" w:hAnsi="Arial"/>
                <w:sz w:val="18"/>
                <w:szCs w:val="18"/>
                <w:color w:val="auto"/>
              </w:rPr>
              <w:t>F-39</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40"/>
          </w:cols>
          <w:pgMar w:left="320" w:top="486" w:right="5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pay any income taxes for the year ended December 31, 2022 and 11 months ended December 31, 2021.</w:t>
      </w:r>
    </w:p>
    <w:p>
      <w:pPr>
        <w:spacing w:after="0" w:line="22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Significant components of the Company’s deferred income tax assets and liabilities as of December 31, 2022 and December 31, 2021, are as follows: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30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61,313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46,553</w:t>
            </w: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 and reserves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5,233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11,509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ROU liability</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deferred assets</w:t>
            </w:r>
          </w:p>
        </w:tc>
        <w:tc>
          <w:tcPr>
            <w:tcW w:w="15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80,733</w:t>
            </w:r>
          </w:p>
        </w:tc>
        <w:tc>
          <w:tcPr>
            <w:tcW w:w="8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47,487</w:t>
            </w:r>
          </w:p>
        </w:tc>
        <w:tc>
          <w:tcPr>
            <w:tcW w:w="100" w:type="dxa"/>
            <w:vAlign w:val="bottom"/>
            <w:tcBorders>
              <w:bottom w:val="single" w:sz="8" w:color="CCEEFF"/>
            </w:tcBorders>
          </w:tcPr>
          <w:p>
            <w:pPr>
              <w:spacing w:after="0"/>
              <w:rPr>
                <w:sz w:val="19"/>
                <w:szCs w:val="19"/>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ROU asset</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(2,289)</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(2,063)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(4,352)</w:t>
            </w:r>
          </w:p>
        </w:tc>
        <w:tc>
          <w:tcPr>
            <w:tcW w:w="8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0"/>
                <w:szCs w:val="20"/>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net deferred tax assets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76,381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46,067</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Valuation allowance</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(76,381)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(46,067)</w:t>
            </w:r>
          </w:p>
        </w:tc>
      </w:tr>
      <w:tr>
        <w:trPr>
          <w:trHeight w:val="27"/>
        </w:trPr>
        <w:tc>
          <w:tcPr>
            <w:tcW w:w="4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4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effective tax rate differs from the statutory rate, primarily due to the Company’s history of incurring losses which have not been benefited and other permanent differences.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11 Months Ended</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9"/>
              </w:rPr>
              <w:t>Component</w:t>
            </w:r>
          </w:p>
        </w:tc>
        <w:tc>
          <w:tcPr>
            <w:tcW w:w="4100" w:type="dxa"/>
            <w:vAlign w:val="bottom"/>
            <w:vMerge w:val="restart"/>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4100" w:type="dxa"/>
            <w:vAlign w:val="bottom"/>
            <w:vMerge w:val="continue"/>
          </w:tcPr>
          <w:p>
            <w:pPr>
              <w:spacing w:after="0"/>
              <w:rPr>
                <w:sz w:val="12"/>
                <w:szCs w:val="12"/>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Rate Impact</w:t>
            </w:r>
          </w:p>
        </w:tc>
        <w:tc>
          <w:tcPr>
            <w:tcW w:w="1220" w:type="dxa"/>
            <w:vAlign w:val="bottom"/>
          </w:tcPr>
          <w:p>
            <w:pPr>
              <w:spacing w:after="0"/>
              <w:rPr>
                <w:sz w:val="12"/>
                <w:szCs w:val="12"/>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Rate Impact</w:t>
            </w: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pre-tax book income</w:t>
            </w:r>
          </w:p>
        </w:tc>
        <w:tc>
          <w:tcPr>
            <w:tcW w:w="11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21%</w:t>
            </w:r>
          </w:p>
        </w:tc>
        <w:tc>
          <w:tcPr>
            <w:tcW w:w="1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State and local income taxes</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2380" w:type="dxa"/>
            <w:vAlign w:val="bottom"/>
            <w:gridSpan w:val="2"/>
          </w:tcPr>
          <w:p>
            <w:pPr>
              <w:jc w:val="center"/>
              <w:ind w:left="113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market value adjustments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c>
          <w:tcPr>
            <w:tcW w:w="2380" w:type="dxa"/>
            <w:vAlign w:val="bottom"/>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Non-deductible executive compensation</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2380" w:type="dxa"/>
            <w:vAlign w:val="bottom"/>
            <w:gridSpan w:val="2"/>
          </w:tcPr>
          <w:p>
            <w:pPr>
              <w:jc w:val="center"/>
              <w:ind w:left="113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2380" w:type="dxa"/>
            <w:vAlign w:val="bottom"/>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80" w:type="dxa"/>
            <w:vAlign w:val="bottom"/>
            <w:gridSpan w:val="2"/>
          </w:tcPr>
          <w:p>
            <w:pPr>
              <w:jc w:val="center"/>
              <w:ind w:left="113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380" w:type="dxa"/>
            <w:vAlign w:val="bottom"/>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(42)%</w:t>
            </w:r>
          </w:p>
        </w:tc>
        <w:tc>
          <w:tcPr>
            <w:tcW w:w="122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380" w:type="dxa"/>
            <w:vAlign w:val="bottom"/>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Accordingly, the net U.S. federal and state deferred tax assets have been fully offset by a valuation allowance. The net change in the total valuation allowance was an increase of approximately $30.3 million and $8.0 million for the year ended December 31, 2022 and 11 months ended December 31, 2021, respectively.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2022, the Company had net operating loss carryforwards for federal income tax purposes of $230.9 million, of which</w:t>
      </w:r>
    </w:p>
    <w:p>
      <w:pPr>
        <w:spacing w:after="0" w:line="23" w:lineRule="exact"/>
        <w:rPr>
          <w:sz w:val="20"/>
          <w:szCs w:val="20"/>
          <w:color w:val="auto"/>
        </w:rPr>
      </w:pPr>
    </w:p>
    <w:p>
      <w:pPr>
        <w:ind w:left="120" w:right="360"/>
        <w:spacing w:after="0" w:line="255" w:lineRule="auto"/>
        <w:rPr>
          <w:sz w:val="20"/>
          <w:szCs w:val="20"/>
          <w:color w:val="auto"/>
        </w:rPr>
      </w:pPr>
      <w:r>
        <w:rPr>
          <w:rFonts w:ascii="Arial" w:cs="Arial" w:eastAsia="Arial" w:hAnsi="Arial"/>
          <w:sz w:val="18"/>
          <w:szCs w:val="18"/>
          <w:color w:val="auto"/>
        </w:rPr>
        <w:t>$189.4 million does not expire; federal research and development tax credits of $2.3 million, which will start to expire in 2035; net operating loss carryforwards for state income tax purposes of $168.1 million, which will start to expire in 2033; and state research and development tax credits of $2.3 million, which do not expire.</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60"/>
          </w:cols>
          <w:pgMar w:left="320" w:top="486" w:right="51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Utilization of the net operating losses and credits may be subject to substantial annual limitation due to federal and state ownership change limitations provided by the Internal Revenue Code and similar state provisions. Such annual limitations could result in the expiration of the net operating losses and credits before their utilization. The Company has not performed a Section 382 analysis to determine if an ownership change occurred and whether the use of net operating loss carryforwards and credits carryforwards will be limited to offset future taxable income. For financial statement purposes, the Company has included the federal and state net operating losses and credits in the deferred tax assets with a full valuation allowance.</w:t>
      </w:r>
    </w:p>
    <w:p>
      <w:pPr>
        <w:spacing w:after="0" w:line="16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Company files U.S., various state income tax returns as well as foreign income tax returns within Australia, Canada and the United Kingdom with varying statutes of limitations. The tax years from inception in 2013 forward remain open to examination due to the carryover of unused net operating losses and tax credits.</w:t>
      </w:r>
    </w:p>
    <w:p>
      <w:pPr>
        <w:spacing w:after="0" w:line="184"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The Company had unrecognized tax benefits of $4.7 million as of December 31, 2022 all of which is offset by a full valuation allowance. These unrecognized tax benefits, if recognized, would not affect the effective tax rate. There were no interest or penalties accrued as of December 31, 2022.</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beginning and ending amounts of unrecognized income tax benefits during the year is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January 1, 2022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$4,672</w:t>
            </w:r>
          </w:p>
        </w:tc>
        <w:tc>
          <w:tcPr>
            <w:tcW w:w="4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Current year increase (decrease)</w:t>
            </w:r>
          </w:p>
        </w:tc>
        <w:tc>
          <w:tcPr>
            <w:tcW w:w="560" w:type="dxa"/>
            <w:vAlign w:val="bottom"/>
            <w:gridSpan w:val="3"/>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Prior year adjustment - increase (decrease)</w:t>
            </w: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Ending balance at December 31, 2022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4,672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SEGMENTS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a summary of revenue by geography for the year ended December 31, 2022, and 11 months ended 2021:</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11 Months Ended</w:t>
            </w:r>
          </w:p>
        </w:tc>
      </w:tr>
      <w:tr>
        <w:trPr>
          <w:trHeight w:val="171"/>
        </w:trPr>
        <w:tc>
          <w:tcPr>
            <w:tcW w:w="466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December 31, 2022</w:t>
            </w:r>
          </w:p>
        </w:tc>
        <w:tc>
          <w:tcPr>
            <w:tcW w:w="180" w:type="dxa"/>
            <w:vAlign w:val="bottom"/>
          </w:tcPr>
          <w:p>
            <w:pPr>
              <w:spacing w:after="0"/>
              <w:rPr>
                <w:sz w:val="14"/>
                <w:szCs w:val="14"/>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December 31, 2021</w:t>
            </w:r>
          </w:p>
        </w:tc>
      </w:tr>
      <w:tr>
        <w:trPr>
          <w:trHeight w:val="142"/>
        </w:trPr>
        <w:tc>
          <w:tcPr>
            <w:tcW w:w="4660" w:type="dxa"/>
            <w:vAlign w:val="bottom"/>
          </w:tcPr>
          <w:p>
            <w:pPr>
              <w:spacing w:after="0"/>
              <w:rPr>
                <w:sz w:val="12"/>
                <w:szCs w:val="12"/>
                <w:color w:val="auto"/>
              </w:rPr>
            </w:pPr>
          </w:p>
        </w:tc>
        <w:tc>
          <w:tcPr>
            <w:tcW w:w="10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Amount</w:t>
            </w:r>
          </w:p>
        </w:tc>
        <w:tc>
          <w:tcPr>
            <w:tcW w:w="68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$ 11,137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$ 5,826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Europe</w:t>
            </w:r>
          </w:p>
        </w:tc>
        <w:tc>
          <w:tcPr>
            <w:tcW w:w="640" w:type="dxa"/>
            <w:vAlign w:val="bottom"/>
          </w:tcPr>
          <w:p>
            <w:pPr>
              <w:jc w:val="right"/>
              <w:spacing w:after="0"/>
              <w:rPr>
                <w:sz w:val="20"/>
                <w:szCs w:val="20"/>
                <w:color w:val="auto"/>
              </w:rPr>
            </w:pPr>
            <w:r>
              <w:rPr>
                <w:rFonts w:ascii="Arial" w:cs="Arial" w:eastAsia="Arial" w:hAnsi="Arial"/>
                <w:sz w:val="18"/>
                <w:szCs w:val="18"/>
                <w:color w:val="auto"/>
              </w:rPr>
              <w:t>1,965</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2,370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r>
      <w:tr>
        <w:trPr>
          <w:trHeight w:val="27"/>
        </w:trPr>
        <w:tc>
          <w:tcPr>
            <w:tcW w:w="4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$ 13,102</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$ 8,196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4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Revenues from external customers are attributed to individual countries based on the physical location in which the services are provided or the particular customer location with whom the Company has contracted.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SUBSEQUENT EVENTS</w:t>
      </w:r>
    </w:p>
    <w:p>
      <w:pPr>
        <w:spacing w:after="0" w:line="12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February 2023, the Company announced an updated business strategy, including revisions to the Company’s technology roadmap. In connection with this updated strategy, the Company has implemented a workforce reduction in order to focus the organization and its resources on nearer-term strategic priorities.</w:t>
      </w:r>
    </w:p>
    <w:p>
      <w:pPr>
        <w:spacing w:after="0" w:line="184"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The reduction in workforce impacted approximately 50 employees or approximately 28% of the Company’s workforce. The Company began implementing activities with respect to the revised business plan, updated technology roadmap and reduction in workforce in February 2023. Affected employees were offered separation benefits, including severance payments and temporary healthcare coverage assistance. The Company currently expects to incur restructuring charges of approximately $1.4 million for severance payments and temporary healthcare coverage to employees with respect to eliminated positions. Such restructuring charges are expected to be incurred and recorded in the first quarter of 2023.</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86" w:right="47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Rigetti Computing, Inc. (“we,” “our,” “us,” the “Company” or “Rigetti”) has two classes of securities registered under Section 12 of the Securities Exchange Act of 1934, as amended (the “Exchange Act”): common stock, par value $0.0001 per share (the “common stock”), and public warrants, with each whole public warrant exercisable for one share of common stock at an exercise price of $11.50 per share (the “public warrants”). Our outstanding securities also include warrants originally issued in a private placement to the initial shareholder of Supernova Partners Acquisition Company II, Ltd. (“Supernova”) in connection with the initial public offering of Supernova, with each whole private warrant exercisable for one share of Common Stock at an exercise price of $11.50 per share (the “private placement warrants” and, together with the public warrants, the “warrants”).</w:t>
      </w:r>
    </w:p>
    <w:p>
      <w:pPr>
        <w:spacing w:after="0" w:line="164"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The following summary of the material terms of our common stock and warrants is not intended to be a complete summary of the rights and preferences of such securities, and is qualified by reference to our Certificate of Incorporation (the “Certificate of Incorporation”), our Bylaws (the “Bylaws”) and the Warrant-related documents described herein, each of which is filed as an exhibit to our Annual Report on Form 10-K, and are incorporated by reference herein. We urge you to read each of the Certificate of Incorporation, the Bylaws, the Warrant-related documents and the applicable provisions of the Delaware General Corporation Law (the “DGCL”) in their entirety for a complete description of the rights and preferences of our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Our certificate of incorporation authorizes the issuance of 1,000,000,000 shares of common stock, $0.0001 par value per share, and 10,000,000 shares of preferred stock, $0.0001 par value per share. As of March 1, 2023, there were approximately 126,964,206 shares of common stock and no shares of preferred stock issued and outstanding.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Voting Rights</w:t>
      </w:r>
    </w:p>
    <w:p>
      <w:pPr>
        <w:spacing w:after="0" w:line="121"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Each holder of common stock will be entitled to one (1) vote for each share of common stock held of record by such holder on all matters voted upon by our stockholders, provided, however, that, except as otherwise required in the Certificate of Incorporation or by applicable law, the holders of common stock will not be entitled to vote on any amendment to the Certificate of Incorporation that alters or changes the powers, preferences, rights or other terms of one or more outstanding series of preferred stock if the holders of such affected series are entitled, either separately or together with the holders of one or more other such series, to vote thereon pursuant to the Certificate of Incorporation (including any certificate of designation relating to any series of preferred stock) or pursuant to the DGCL. When a quorum is present, the affirmative vote of a majority of the voting power of the shares present in person, by remote communication, if applicable, or represented by proxy at the meeting and entitled to vote generally on the subject matter is required to take action, unless otherwise specified by law, the Bylaws or the Certificate of Incorporation, and except for the election of directors, which is determined by a plurality vote. There are no cumulative voting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Subject to the rights of the holders of preferred stock and any other provisions of the Certificate of Incorporation, as it may be amended from time to time, holders of common stock will be entitled to receive such dividends and other distributions in cash, stock or property of the Company when, as and if declared thereon by the board of directors of the Company (the “Board”), in its discretion, from time to time out of assets or funds of the Company legally available therefor.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 Dissolution and Winding-Up</w:t>
      </w:r>
    </w:p>
    <w:p>
      <w:pPr>
        <w:spacing w:after="0" w:line="12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Subject to the rights of holders of preferred stock, in the event of any liquidation, dissolution or winding up of our affairs, whether voluntary or involuntary, after payment or provision for payment of our debts and any other payments required by law and amounts payable upon shares of preferred stock ranking senior to the shares of common stock upon such dissolution, liquidation or winding up, if any, the Company’s remaining net assets will be distributed to the holders of common stock and the holders of any other class or series of capital stock ranking equally with the common stock upon such dissolution, liquidation or winding up, equally on a per share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There are no redemption or sinking fund provisions applicable to the common stock. The rights, preferences and privileges of holders of common stock will be subject to those of the holders of preferred stock that the Company may issue in the future.</w:t>
      </w:r>
    </w:p>
    <w:p>
      <w:pPr>
        <w:sectPr>
          <w:pgSz w:w="11900" w:h="16838" w:orient="portrait"/>
          <w:cols w:equalWidth="0" w:num="1">
            <w:col w:w="11020"/>
          </w:cols>
          <w:pgMar w:left="440" w:top="121" w:right="439" w:bottom="1440" w:gutter="0" w:footer="0" w:header="0"/>
        </w:sectPr>
      </w:pPr>
    </w:p>
    <w:bookmarkStart w:id="186" w:name="page187"/>
    <w:bookmarkEnd w:id="186"/>
    <w:p>
      <w:pPr>
        <w:ind w:left="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of Directors</w:t>
      </w:r>
    </w:p>
    <w:p>
      <w:pPr>
        <w:spacing w:after="0" w:line="117"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Our Board is divided into three classes, Class I, Class II and Class III, with members of each class serving staggered three-year terms with only one class of directors being elected in each year. Under the Bylaws, the election of directors is determined by plurality vote.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our common stock, restricting dividends on the capital stock, diluting the voting power of the holders of common stock, impairing the liquidation rights of the capital stock, or delaying or preventing a change in control of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1, 2023, there were 13,074,972 warrants outstanding.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Each whole public warrant entitles the registered holder to purchase one share of common stock at a price of $11.50 per whole share, subject to adjustment as discussed below, at any time commencing 30 days after March 2, 2022 (the “Closing Date”), except as discussed in the immediately succeeding paragraph. Pursuant to the warrant agreement, a warrant holder may exercise its warrants only for a whole number of shares of common stock. This means only a whole warrant may be exercised at a given time by a warrant holder and only whole warrants trade. The warrants will expire March 2, 2027, five years after the Closing Date, at 5:00 p.m., New York City time, or earlier upon redemption or liquidation.</w:t>
      </w:r>
    </w:p>
    <w:p>
      <w:pPr>
        <w:spacing w:after="0" w:line="161" w:lineRule="exact"/>
        <w:rPr>
          <w:sz w:val="20"/>
          <w:szCs w:val="20"/>
          <w:color w:val="auto"/>
        </w:rPr>
      </w:pPr>
    </w:p>
    <w:p>
      <w:pPr>
        <w:ind w:right="200" w:firstLine="440"/>
        <w:spacing w:after="0" w:line="290"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of 1933, as amended (the “Securities Act”), with respect to the shares of common stock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share of common stock upon exercise of a warrant unless the share of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6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On June 1, 2022, the registration statement for the registration, under the Securities Act, of the shares of common stock issuable upon exercise of the warrants was declared effective by the Securities and Exchange Commission (“SEC”). We have agreed to use our commercially reasonable efforts to maintain the effectiveness of such registration statement and a current prospectus relating to those shares of common stock until the warrants expire or are redeemed, as specified in the warrant agreement; provided that if shares of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w:t>
      </w:r>
    </w:p>
    <w:p>
      <w:pPr>
        <w:spacing w:after="0" w:line="16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share of common stock equals or exceeds $18.00. </w:t>
      </w:r>
      <w:r>
        <w:rPr>
          <w:rFonts w:ascii="Arial" w:cs="Arial" w:eastAsia="Arial" w:hAnsi="Arial"/>
          <w:sz w:val="18"/>
          <w:szCs w:val="18"/>
          <w:color w:val="auto"/>
        </w:rPr>
        <w:t>Once the warrants become exercisable, we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herein with respect to the private placement warrants):</w:t>
      </w:r>
    </w:p>
    <w:p>
      <w:pPr>
        <w:spacing w:after="0" w:line="76" w:lineRule="exact"/>
        <w:rPr>
          <w:sz w:val="20"/>
          <w:szCs w:val="20"/>
          <w:color w:val="auto"/>
        </w:rPr>
      </w:pPr>
    </w:p>
    <w:p>
      <w:pPr>
        <w:ind w:left="960" w:hanging="424"/>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960" w:right="140" w:hanging="424"/>
        <w:spacing w:after="0" w:line="286" w:lineRule="auto"/>
        <w:tabs>
          <w:tab w:leader="none" w:pos="9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and only if, the closing price of the shares of common stock equals or exceeds $18.00 per share (as adjusted for adjustments to the number of shares issuable upon exercise or the exercise price of a warrant as described under the heading “—</w:t>
      </w:r>
      <w:r>
        <w:rPr>
          <w:rFonts w:ascii="Arial" w:cs="Arial" w:eastAsia="Arial" w:hAnsi="Arial"/>
          <w:sz w:val="17"/>
          <w:szCs w:val="17"/>
          <w:i w:val="1"/>
          <w:iCs w:val="1"/>
          <w:color w:val="auto"/>
        </w:rPr>
        <w:t>Anti-dilution Adjustments</w:t>
      </w:r>
      <w:r>
        <w:rPr>
          <w:rFonts w:ascii="Arial" w:cs="Arial" w:eastAsia="Arial" w:hAnsi="Arial"/>
          <w:sz w:val="17"/>
          <w:szCs w:val="17"/>
          <w:color w:val="auto"/>
        </w:rPr>
        <w:t>”) on the trading day prior to the date on which we send the notice of redemption to the warrant holders.</w:t>
      </w:r>
    </w:p>
    <w:p>
      <w:pPr>
        <w:sectPr>
          <w:pgSz w:w="11900" w:h="16838" w:orient="portrait"/>
          <w:cols w:equalWidth="0" w:num="1">
            <w:col w:w="10980"/>
          </w:cols>
          <w:pgMar w:left="440" w:top="274" w:right="479" w:bottom="1440" w:gutter="0" w:footer="0" w:header="0"/>
        </w:sectPr>
      </w:pPr>
    </w:p>
    <w:bookmarkStart w:id="187" w:name="page188"/>
    <w:bookmarkEnd w:id="187"/>
    <w:p>
      <w:pPr>
        <w:ind w:right="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will not redeem the warrants as described above unless a registration statement under the Securities Act covering the issuance of the shares of common stock issuable upon exercise of the warrants is then effective and a current prospectus relating to those shares of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71"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shares of common stock may fall below the $18.00 redemption trigger price (as adjusted for adjustments to the number of shares issuable upon exercise or the exercise price of a warrant as described under the heading “—</w:t>
      </w:r>
      <w:r>
        <w:rPr>
          <w:rFonts w:ascii="Arial" w:cs="Arial" w:eastAsia="Arial" w:hAnsi="Arial"/>
          <w:sz w:val="17"/>
          <w:szCs w:val="17"/>
          <w:i w:val="1"/>
          <w:iCs w:val="1"/>
          <w:color w:val="auto"/>
        </w:rPr>
        <w:t>Anti-dilution Adjustments</w:t>
      </w:r>
      <w:r>
        <w:rPr>
          <w:rFonts w:ascii="Arial" w:cs="Arial" w:eastAsia="Arial" w:hAnsi="Arial"/>
          <w:sz w:val="17"/>
          <w:szCs w:val="17"/>
          <w:color w:val="auto"/>
        </w:rPr>
        <w:t>”) as well as the $11.50 (for whole shares) warrant exercise price after the redemption notice is issued.</w:t>
      </w:r>
    </w:p>
    <w:p>
      <w:pPr>
        <w:spacing w:after="0" w:line="177"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i w:val="1"/>
          <w:iCs w:val="1"/>
          <w:color w:val="auto"/>
        </w:rPr>
        <w:t>Redemption of warrants when the price per share of common stock equals or exceeds $10.00</w:t>
      </w:r>
      <w:r>
        <w:rPr>
          <w:rFonts w:ascii="Arial" w:cs="Arial" w:eastAsia="Arial" w:hAnsi="Arial"/>
          <w:sz w:val="18"/>
          <w:szCs w:val="18"/>
          <w:color w:val="auto"/>
        </w:rPr>
        <w:t>. Once the warrants become exercisable, we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herein with respect to the private placement warrants):</w:t>
      </w:r>
    </w:p>
    <w:p>
      <w:pPr>
        <w:spacing w:after="0" w:line="76" w:lineRule="exact"/>
        <w:rPr>
          <w:sz w:val="20"/>
          <w:szCs w:val="20"/>
          <w:color w:val="auto"/>
        </w:rPr>
      </w:pPr>
    </w:p>
    <w:p>
      <w:pPr>
        <w:ind w:left="960" w:hanging="424"/>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$0.10 per warrant;</w:t>
      </w:r>
    </w:p>
    <w:p>
      <w:pPr>
        <w:spacing w:after="0" w:line="130" w:lineRule="exact"/>
        <w:rPr>
          <w:rFonts w:ascii="Arial" w:cs="Arial" w:eastAsia="Arial" w:hAnsi="Arial"/>
          <w:sz w:val="18"/>
          <w:szCs w:val="18"/>
          <w:color w:val="auto"/>
        </w:rPr>
      </w:pPr>
    </w:p>
    <w:p>
      <w:pPr>
        <w:jc w:val="both"/>
        <w:ind w:left="960" w:right="140" w:hanging="424"/>
        <w:spacing w:after="0" w:line="286" w:lineRule="auto"/>
        <w:tabs>
          <w:tab w:leader="none" w:pos="9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determined by reference to the table below, based on the redemption date and the “fair market value” of our shares of common stock except as otherwise described below; and</w:t>
      </w:r>
    </w:p>
    <w:p>
      <w:pPr>
        <w:spacing w:after="0" w:line="70" w:lineRule="exact"/>
        <w:rPr>
          <w:rFonts w:ascii="Arial" w:cs="Arial" w:eastAsia="Arial" w:hAnsi="Arial"/>
          <w:sz w:val="17"/>
          <w:szCs w:val="17"/>
          <w:color w:val="auto"/>
        </w:rPr>
      </w:pPr>
    </w:p>
    <w:p>
      <w:pPr>
        <w:ind w:left="960" w:right="160" w:hanging="424"/>
        <w:spacing w:after="0" w:line="286" w:lineRule="auto"/>
        <w:tabs>
          <w:tab w:leader="none" w:pos="9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and only if, the closing price of shares of common stock equals or exceeds $10.00 per public share (as adjusted for adjustments to the number of shares issuable upon exercise or the exercise price of a warrant as described under the heading “—</w:t>
      </w:r>
      <w:r>
        <w:rPr>
          <w:rFonts w:ascii="Arial" w:cs="Arial" w:eastAsia="Arial" w:hAnsi="Arial"/>
          <w:sz w:val="17"/>
          <w:szCs w:val="17"/>
          <w:i w:val="1"/>
          <w:iCs w:val="1"/>
          <w:color w:val="auto"/>
        </w:rPr>
        <w:t>Anti-dilution Adjustments</w:t>
      </w:r>
      <w:r>
        <w:rPr>
          <w:rFonts w:ascii="Arial" w:cs="Arial" w:eastAsia="Arial" w:hAnsi="Arial"/>
          <w:sz w:val="17"/>
          <w:szCs w:val="17"/>
          <w:color w:val="auto"/>
        </w:rPr>
        <w:t>”) on the trading day prior to the date on which we send the notice of redemption to the warrant holders.</w:t>
      </w:r>
    </w:p>
    <w:p>
      <w:pPr>
        <w:spacing w:after="0" w:line="16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Beginning on the date the notice of redemption is given until the warrants are redeemed or exercised, holders may elect to exercise their warrants on a cashless basis. The numbers in the table below represent the number of shares of common stock that a warrant holder will receive upon such cashless exercise in connection with a redemption by us pursuant to this redemption feature, based on the “fair market value” of shares of common stock on the corresponding redemption date (assuming holders elect to exercise their warrants and such warrants are not redeemed for $0.10 per warrant), determined for these purposes based on volume weighted average price of shares of common stock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78"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The share prices set forth in the column headings of the table below will be adjusted as of any date on which the number of shares issuable upon exercise of a warrant or the exercise price of a warrant is adjusted as set forth under the heading “</w:t>
      </w:r>
      <w:r>
        <w:rPr>
          <w:rFonts w:ascii="Arial" w:cs="Arial" w:eastAsia="Arial" w:hAnsi="Arial"/>
          <w:sz w:val="17"/>
          <w:szCs w:val="17"/>
          <w:i w:val="1"/>
          <w:iCs w:val="1"/>
          <w:color w:val="auto"/>
        </w:rPr>
        <w:t>—Anti-dilution Adjustments</w:t>
      </w:r>
      <w:r>
        <w:rPr>
          <w:rFonts w:ascii="Arial" w:cs="Arial" w:eastAsia="Arial" w:hAnsi="Arial"/>
          <w:sz w:val="17"/>
          <w:szCs w:val="17"/>
          <w:color w:val="auto"/>
        </w:rPr>
        <w:t>”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exercise price of a warrant is adjusted, in the case of an adjustment pursuant to the second paragraph under the heading “</w:t>
      </w:r>
      <w:r>
        <w:rPr>
          <w:rFonts w:ascii="Arial" w:cs="Arial" w:eastAsia="Arial" w:hAnsi="Arial"/>
          <w:sz w:val="17"/>
          <w:szCs w:val="17"/>
          <w:i w:val="1"/>
          <w:iCs w:val="1"/>
          <w:color w:val="auto"/>
        </w:rPr>
        <w:t>—Anti-dilution Adjustments</w:t>
      </w:r>
      <w:r>
        <w:rPr>
          <w:rFonts w:ascii="Arial" w:cs="Arial" w:eastAsia="Arial" w:hAnsi="Arial"/>
          <w:sz w:val="17"/>
          <w:szCs w:val="17"/>
          <w:color w:val="auto"/>
        </w:rPr>
        <w:t>” below, the adjusted share prices in the column headings will equal the unadjusted share price less the decrease in the exercise price of a warrant pursuant to such exercise price adjustment.</w:t>
      </w:r>
    </w:p>
    <w:p>
      <w:pPr>
        <w:sectPr>
          <w:pgSz w:w="11900" w:h="16838" w:orient="portrait"/>
          <w:cols w:equalWidth="0" w:num="1">
            <w:col w:w="11000"/>
          </w:cols>
          <w:pgMar w:left="440" w:top="274" w:right="45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b w:val="1"/>
                <w:bCs w:val="1"/>
                <w:color w:val="auto"/>
              </w:rPr>
              <w:t>Redemption Date</w:t>
            </w:r>
          </w:p>
        </w:tc>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10"/>
          </w:tcPr>
          <w:p>
            <w:pPr>
              <w:ind w:left="320"/>
              <w:spacing w:after="0"/>
              <w:rPr>
                <w:sz w:val="20"/>
                <w:szCs w:val="20"/>
                <w:color w:val="auto"/>
              </w:rPr>
            </w:pPr>
            <w:r>
              <w:rPr>
                <w:rFonts w:ascii="Arial" w:cs="Arial" w:eastAsia="Arial" w:hAnsi="Arial"/>
                <w:sz w:val="14"/>
                <w:szCs w:val="14"/>
                <w:b w:val="1"/>
                <w:bCs w:val="1"/>
                <w:color w:val="auto"/>
              </w:rPr>
              <w:t>Fair Market Value of Common Stock</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93"/>
              </w:rPr>
              <w:t>(period to expiration of warrants)</w:t>
            </w:r>
          </w:p>
        </w:tc>
        <w:tc>
          <w:tcPr>
            <w:tcW w:w="34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80" w:type="dxa"/>
            <w:vAlign w:val="bottom"/>
            <w:tcBorders>
              <w:bottom w:val="single" w:sz="8" w:color="auto"/>
            </w:tcBorders>
            <w:vMerge w:val="continue"/>
          </w:tcPr>
          <w:p>
            <w:pPr>
              <w:spacing w:after="0"/>
              <w:rPr>
                <w:sz w:val="12"/>
                <w:szCs w:val="12"/>
                <w:color w:val="auto"/>
              </w:rPr>
            </w:pPr>
          </w:p>
        </w:tc>
        <w:tc>
          <w:tcPr>
            <w:tcW w:w="3460" w:type="dxa"/>
            <w:vAlign w:val="bottom"/>
          </w:tcPr>
          <w:p>
            <w:pPr>
              <w:spacing w:after="0"/>
              <w:rPr>
                <w:sz w:val="12"/>
                <w:szCs w:val="12"/>
                <w:color w:val="auto"/>
              </w:rPr>
            </w:pPr>
          </w:p>
        </w:tc>
        <w:tc>
          <w:tcPr>
            <w:tcW w:w="620" w:type="dxa"/>
            <w:vAlign w:val="bottom"/>
            <w:gridSpan w:val="2"/>
          </w:tcPr>
          <w:p>
            <w:pPr>
              <w:jc w:val="right"/>
              <w:ind w:right="200"/>
              <w:spacing w:after="0" w:line="129" w:lineRule="exact"/>
              <w:rPr>
                <w:sz w:val="20"/>
                <w:szCs w:val="20"/>
                <w:color w:val="auto"/>
              </w:rPr>
            </w:pPr>
            <w:r>
              <w:rPr>
                <w:rFonts w:ascii="Arial" w:cs="Arial" w:eastAsia="Arial" w:hAnsi="Arial"/>
                <w:sz w:val="14"/>
                <w:szCs w:val="14"/>
                <w:color w:val="auto"/>
                <w:w w:val="93"/>
              </w:rPr>
              <w:t>≤</w:t>
            </w:r>
            <w:r>
              <w:rPr>
                <w:rFonts w:ascii="Arial" w:cs="Arial" w:eastAsia="Arial" w:hAnsi="Arial"/>
                <w:sz w:val="14"/>
                <w:szCs w:val="14"/>
                <w:b w:val="1"/>
                <w:bCs w:val="1"/>
                <w:color w:val="auto"/>
                <w:w w:val="93"/>
              </w:rPr>
              <w:t>10.00</w:t>
            </w:r>
          </w:p>
        </w:tc>
        <w:tc>
          <w:tcPr>
            <w:tcW w:w="46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11.00</w:t>
            </w:r>
          </w:p>
        </w:tc>
        <w:tc>
          <w:tcPr>
            <w:tcW w:w="160" w:type="dxa"/>
            <w:vAlign w:val="bottom"/>
          </w:tcPr>
          <w:p>
            <w:pPr>
              <w:spacing w:after="0"/>
              <w:rPr>
                <w:sz w:val="12"/>
                <w:szCs w:val="12"/>
                <w:color w:val="auto"/>
              </w:rPr>
            </w:pPr>
          </w:p>
        </w:tc>
        <w:tc>
          <w:tcPr>
            <w:tcW w:w="46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12.00</w:t>
            </w:r>
          </w:p>
        </w:tc>
        <w:tc>
          <w:tcPr>
            <w:tcW w:w="160" w:type="dxa"/>
            <w:vAlign w:val="bottom"/>
          </w:tcPr>
          <w:p>
            <w:pPr>
              <w:spacing w:after="0"/>
              <w:rPr>
                <w:sz w:val="12"/>
                <w:szCs w:val="12"/>
                <w:color w:val="auto"/>
              </w:rPr>
            </w:pPr>
          </w:p>
        </w:tc>
        <w:tc>
          <w:tcPr>
            <w:tcW w:w="46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13.00</w:t>
            </w:r>
          </w:p>
        </w:tc>
        <w:tc>
          <w:tcPr>
            <w:tcW w:w="160" w:type="dxa"/>
            <w:vAlign w:val="bottom"/>
          </w:tcPr>
          <w:p>
            <w:pPr>
              <w:spacing w:after="0"/>
              <w:rPr>
                <w:sz w:val="12"/>
                <w:szCs w:val="12"/>
                <w:color w:val="auto"/>
              </w:rPr>
            </w:pPr>
          </w:p>
        </w:tc>
        <w:tc>
          <w:tcPr>
            <w:tcW w:w="46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14.00</w:t>
            </w:r>
          </w:p>
        </w:tc>
        <w:tc>
          <w:tcPr>
            <w:tcW w:w="160" w:type="dxa"/>
            <w:vAlign w:val="bottom"/>
          </w:tcPr>
          <w:p>
            <w:pPr>
              <w:spacing w:after="0"/>
              <w:rPr>
                <w:sz w:val="12"/>
                <w:szCs w:val="12"/>
                <w:color w:val="auto"/>
              </w:rPr>
            </w:pPr>
          </w:p>
        </w:tc>
        <w:tc>
          <w:tcPr>
            <w:tcW w:w="46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15.00</w:t>
            </w:r>
          </w:p>
        </w:tc>
        <w:tc>
          <w:tcPr>
            <w:tcW w:w="160" w:type="dxa"/>
            <w:vAlign w:val="bottom"/>
          </w:tcPr>
          <w:p>
            <w:pPr>
              <w:spacing w:after="0"/>
              <w:rPr>
                <w:sz w:val="12"/>
                <w:szCs w:val="12"/>
                <w:color w:val="auto"/>
              </w:rPr>
            </w:pPr>
          </w:p>
        </w:tc>
        <w:tc>
          <w:tcPr>
            <w:tcW w:w="46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16.00</w:t>
            </w:r>
          </w:p>
        </w:tc>
        <w:tc>
          <w:tcPr>
            <w:tcW w:w="160" w:type="dxa"/>
            <w:vAlign w:val="bottom"/>
          </w:tcPr>
          <w:p>
            <w:pPr>
              <w:spacing w:after="0"/>
              <w:rPr>
                <w:sz w:val="12"/>
                <w:szCs w:val="12"/>
                <w:color w:val="auto"/>
              </w:rPr>
            </w:pPr>
          </w:p>
        </w:tc>
        <w:tc>
          <w:tcPr>
            <w:tcW w:w="46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17.00</w:t>
            </w:r>
          </w:p>
        </w:tc>
        <w:tc>
          <w:tcPr>
            <w:tcW w:w="160" w:type="dxa"/>
            <w:vAlign w:val="bottom"/>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color w:val="auto"/>
                <w:w w:val="93"/>
              </w:rPr>
              <w:t>≥</w:t>
            </w:r>
            <w:r>
              <w:rPr>
                <w:rFonts w:ascii="Arial" w:cs="Arial" w:eastAsia="Arial" w:hAnsi="Arial"/>
                <w:sz w:val="14"/>
                <w:szCs w:val="14"/>
                <w:b w:val="1"/>
                <w:bCs w:val="1"/>
                <w:color w:val="auto"/>
                <w:w w:val="93"/>
              </w:rPr>
              <w:t>18.00</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60 months</w:t>
            </w:r>
          </w:p>
        </w:tc>
        <w:tc>
          <w:tcPr>
            <w:tcW w:w="3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0.261</w:t>
            </w: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0.281</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0.297</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0.311</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0.324</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0.337</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0.348</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0.358</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0.361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57 months</w:t>
            </w:r>
          </w:p>
        </w:tc>
        <w:tc>
          <w:tcPr>
            <w:tcW w:w="4080" w:type="dxa"/>
            <w:vAlign w:val="bottom"/>
            <w:gridSpan w:val="3"/>
          </w:tcPr>
          <w:p>
            <w:pPr>
              <w:jc w:val="right"/>
              <w:ind w:right="160"/>
              <w:spacing w:after="0"/>
              <w:rPr>
                <w:sz w:val="20"/>
                <w:szCs w:val="20"/>
                <w:color w:val="auto"/>
              </w:rPr>
            </w:pPr>
            <w:r>
              <w:rPr>
                <w:rFonts w:ascii="Arial" w:cs="Arial" w:eastAsia="Arial" w:hAnsi="Arial"/>
                <w:sz w:val="18"/>
                <w:szCs w:val="18"/>
                <w:color w:val="auto"/>
              </w:rPr>
              <w:t>0.257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0.277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0.294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0.310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0.324</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0.337</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0.348</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0.358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54 months</w:t>
            </w:r>
          </w:p>
        </w:tc>
        <w:tc>
          <w:tcPr>
            <w:tcW w:w="4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0.252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0.272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0.291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0.307</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0.322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0.335</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0.347</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0.357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51 months</w:t>
            </w:r>
          </w:p>
        </w:tc>
        <w:tc>
          <w:tcPr>
            <w:tcW w:w="4080" w:type="dxa"/>
            <w:vAlign w:val="bottom"/>
            <w:gridSpan w:val="3"/>
          </w:tcPr>
          <w:p>
            <w:pPr>
              <w:jc w:val="right"/>
              <w:ind w:right="160"/>
              <w:spacing w:after="0"/>
              <w:rPr>
                <w:sz w:val="20"/>
                <w:szCs w:val="20"/>
                <w:color w:val="auto"/>
              </w:rPr>
            </w:pPr>
            <w:r>
              <w:rPr>
                <w:rFonts w:ascii="Arial" w:cs="Arial" w:eastAsia="Arial" w:hAnsi="Arial"/>
                <w:sz w:val="18"/>
                <w:szCs w:val="18"/>
                <w:color w:val="auto"/>
              </w:rPr>
              <w:t>0.246</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0.268</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0.287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0.304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0.320</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0.333</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0.346</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0.357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48 months</w:t>
            </w:r>
          </w:p>
        </w:tc>
        <w:tc>
          <w:tcPr>
            <w:tcW w:w="4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0.241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0.263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0.283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0.301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0.317</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0.344</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0.356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45 months</w:t>
            </w:r>
          </w:p>
        </w:tc>
        <w:tc>
          <w:tcPr>
            <w:tcW w:w="4080" w:type="dxa"/>
            <w:vAlign w:val="bottom"/>
            <w:gridSpan w:val="3"/>
          </w:tcPr>
          <w:p>
            <w:pPr>
              <w:jc w:val="right"/>
              <w:ind w:right="160"/>
              <w:spacing w:after="0"/>
              <w:rPr>
                <w:sz w:val="20"/>
                <w:szCs w:val="20"/>
                <w:color w:val="auto"/>
              </w:rPr>
            </w:pPr>
            <w:r>
              <w:rPr>
                <w:rFonts w:ascii="Arial" w:cs="Arial" w:eastAsia="Arial" w:hAnsi="Arial"/>
                <w:sz w:val="18"/>
                <w:szCs w:val="18"/>
                <w:color w:val="auto"/>
              </w:rPr>
              <w:t>0.235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0.258</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0.279</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0.298</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0.315</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0.330</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0.343</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0.356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42 months</w:t>
            </w:r>
          </w:p>
        </w:tc>
        <w:tc>
          <w:tcPr>
            <w:tcW w:w="4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0.228</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0.252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0.274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0.294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0.312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0.328</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0.342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0.355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39 months</w:t>
            </w:r>
          </w:p>
        </w:tc>
        <w:tc>
          <w:tcPr>
            <w:tcW w:w="4080" w:type="dxa"/>
            <w:vAlign w:val="bottom"/>
            <w:gridSpan w:val="3"/>
          </w:tcPr>
          <w:p>
            <w:pPr>
              <w:jc w:val="right"/>
              <w:ind w:right="160"/>
              <w:spacing w:after="0"/>
              <w:rPr>
                <w:sz w:val="20"/>
                <w:szCs w:val="20"/>
                <w:color w:val="auto"/>
              </w:rPr>
            </w:pPr>
            <w:r>
              <w:rPr>
                <w:rFonts w:ascii="Arial" w:cs="Arial" w:eastAsia="Arial" w:hAnsi="Arial"/>
                <w:sz w:val="18"/>
                <w:szCs w:val="18"/>
                <w:color w:val="auto"/>
              </w:rPr>
              <w:t>0.221</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0.246</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0.269</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0.290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0.309</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0.325</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0.340</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0.354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4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0.213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0.239</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0.263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0.285</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0.305</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0.323</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0.353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33 months</w:t>
            </w:r>
          </w:p>
        </w:tc>
        <w:tc>
          <w:tcPr>
            <w:tcW w:w="4080" w:type="dxa"/>
            <w:vAlign w:val="bottom"/>
            <w:gridSpan w:val="3"/>
          </w:tcPr>
          <w:p>
            <w:pPr>
              <w:jc w:val="right"/>
              <w:ind w:right="160"/>
              <w:spacing w:after="0"/>
              <w:rPr>
                <w:sz w:val="20"/>
                <w:szCs w:val="20"/>
                <w:color w:val="auto"/>
              </w:rPr>
            </w:pPr>
            <w:r>
              <w:rPr>
                <w:rFonts w:ascii="Arial" w:cs="Arial" w:eastAsia="Arial" w:hAnsi="Arial"/>
                <w:sz w:val="18"/>
                <w:szCs w:val="18"/>
                <w:color w:val="auto"/>
              </w:rPr>
              <w:t>0.205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0.232</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0.257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0.280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0.301</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0.320</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0.337</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0.352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30 months</w:t>
            </w:r>
          </w:p>
        </w:tc>
        <w:tc>
          <w:tcPr>
            <w:tcW w:w="4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0.196</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0.224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0.250</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0.274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0.297</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0.316</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0.335</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0.351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27 months</w:t>
            </w:r>
          </w:p>
        </w:tc>
        <w:tc>
          <w:tcPr>
            <w:tcW w:w="4080" w:type="dxa"/>
            <w:vAlign w:val="bottom"/>
            <w:gridSpan w:val="3"/>
          </w:tcPr>
          <w:p>
            <w:pPr>
              <w:jc w:val="right"/>
              <w:ind w:right="160"/>
              <w:spacing w:after="0"/>
              <w:rPr>
                <w:sz w:val="20"/>
                <w:szCs w:val="20"/>
                <w:color w:val="auto"/>
              </w:rPr>
            </w:pPr>
            <w:r>
              <w:rPr>
                <w:rFonts w:ascii="Arial" w:cs="Arial" w:eastAsia="Arial" w:hAnsi="Arial"/>
                <w:sz w:val="18"/>
                <w:szCs w:val="18"/>
                <w:color w:val="auto"/>
              </w:rPr>
              <w:t>0.185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0.214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0.242</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0.268</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0.291</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0.313</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0.332</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0.350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24 months</w:t>
            </w:r>
          </w:p>
        </w:tc>
        <w:tc>
          <w:tcPr>
            <w:tcW w:w="4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0.173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0.204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0.233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0.260</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0.285</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0.308</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0.348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21 months</w:t>
            </w:r>
          </w:p>
        </w:tc>
        <w:tc>
          <w:tcPr>
            <w:tcW w:w="4080" w:type="dxa"/>
            <w:vAlign w:val="bottom"/>
            <w:gridSpan w:val="3"/>
          </w:tcPr>
          <w:p>
            <w:pPr>
              <w:jc w:val="right"/>
              <w:ind w:right="160"/>
              <w:spacing w:after="0"/>
              <w:rPr>
                <w:sz w:val="20"/>
                <w:szCs w:val="20"/>
                <w:color w:val="auto"/>
              </w:rPr>
            </w:pPr>
            <w:r>
              <w:rPr>
                <w:rFonts w:ascii="Arial" w:cs="Arial" w:eastAsia="Arial" w:hAnsi="Arial"/>
                <w:sz w:val="18"/>
                <w:szCs w:val="18"/>
                <w:color w:val="auto"/>
              </w:rPr>
              <w:t>0.161</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0.193</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0.223</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0.252</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0.279</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0.304</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0.326</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0.347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18 months</w:t>
            </w:r>
          </w:p>
        </w:tc>
        <w:tc>
          <w:tcPr>
            <w:tcW w:w="4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0.146</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0.179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0.211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0.242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0.271</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0.298</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0.345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15 months</w:t>
            </w:r>
          </w:p>
        </w:tc>
        <w:tc>
          <w:tcPr>
            <w:tcW w:w="4080" w:type="dxa"/>
            <w:vAlign w:val="bottom"/>
            <w:gridSpan w:val="3"/>
          </w:tcPr>
          <w:p>
            <w:pPr>
              <w:jc w:val="right"/>
              <w:ind w:right="160"/>
              <w:spacing w:after="0"/>
              <w:rPr>
                <w:sz w:val="20"/>
                <w:szCs w:val="20"/>
                <w:color w:val="auto"/>
              </w:rPr>
            </w:pPr>
            <w:r>
              <w:rPr>
                <w:rFonts w:ascii="Arial" w:cs="Arial" w:eastAsia="Arial" w:hAnsi="Arial"/>
                <w:sz w:val="18"/>
                <w:szCs w:val="18"/>
                <w:color w:val="auto"/>
              </w:rPr>
              <w:t>0.130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0.164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0.197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0.230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0.262</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0.291</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0.317</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0.342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12 months</w:t>
            </w:r>
          </w:p>
        </w:tc>
        <w:tc>
          <w:tcPr>
            <w:tcW w:w="4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0.111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0.146</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0.181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0.216</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0.250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0.282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0.312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9 months</w:t>
            </w:r>
          </w:p>
        </w:tc>
        <w:tc>
          <w:tcPr>
            <w:tcW w:w="4080" w:type="dxa"/>
            <w:vAlign w:val="bottom"/>
            <w:gridSpan w:val="3"/>
          </w:tcPr>
          <w:p>
            <w:pPr>
              <w:jc w:val="right"/>
              <w:ind w:right="160"/>
              <w:spacing w:after="0"/>
              <w:rPr>
                <w:sz w:val="20"/>
                <w:szCs w:val="20"/>
                <w:color w:val="auto"/>
              </w:rPr>
            </w:pPr>
            <w:r>
              <w:rPr>
                <w:rFonts w:ascii="Arial" w:cs="Arial" w:eastAsia="Arial" w:hAnsi="Arial"/>
                <w:sz w:val="18"/>
                <w:szCs w:val="18"/>
                <w:color w:val="auto"/>
              </w:rPr>
              <w:t>0.090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0.125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0.162</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0.199</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0.237</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0.272</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0.305</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0.336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6 months</w:t>
            </w:r>
          </w:p>
        </w:tc>
        <w:tc>
          <w:tcPr>
            <w:tcW w:w="4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0.065</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0.099</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0.137</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0.178</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0.219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0.259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0.296</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0.331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 months</w:t>
            </w:r>
          </w:p>
        </w:tc>
        <w:tc>
          <w:tcPr>
            <w:tcW w:w="4080" w:type="dxa"/>
            <w:vAlign w:val="bottom"/>
            <w:gridSpan w:val="3"/>
          </w:tcPr>
          <w:p>
            <w:pPr>
              <w:jc w:val="right"/>
              <w:ind w:right="160"/>
              <w:spacing w:after="0"/>
              <w:rPr>
                <w:sz w:val="20"/>
                <w:szCs w:val="20"/>
                <w:color w:val="auto"/>
              </w:rPr>
            </w:pPr>
            <w:r>
              <w:rPr>
                <w:rFonts w:ascii="Arial" w:cs="Arial" w:eastAsia="Arial" w:hAnsi="Arial"/>
                <w:sz w:val="18"/>
                <w:szCs w:val="18"/>
                <w:color w:val="auto"/>
              </w:rPr>
              <w:t>0.034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0.065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0.104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0.150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0.197</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0.243</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0.286</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0.326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0 months</w:t>
            </w:r>
          </w:p>
        </w:tc>
        <w:tc>
          <w:tcPr>
            <w:tcW w:w="3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0.042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0.115</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0.179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0.233</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0.281</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89" w:name="page190"/>
    <w:bookmarkEnd w:id="189"/>
    <w:p>
      <w:pPr>
        <w:ind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exact fair market value and redemption date may not be set forth in the table above, in which case, if the fair market value is between two values in the table or the redemption date is between two redemption dates in the table, the number of shares of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shares of common stock for the 10 trading days ending on the third trading day prior to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common stock for each whole warrant. For an example where the exact fair market value and redemption date are not as set forth in the table above, if the volume weighted average price of shares of common stock for the 10 trading days ending on the third trading day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common stock for each whole warrant. In no event will the warrants be exercisable on a cashless basis in connection with this redemption feature for more than 0.361 shares of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shares of common stock.</w:t>
      </w:r>
    </w:p>
    <w:p>
      <w:pPr>
        <w:spacing w:after="0" w:line="17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This redemption feature differs from the typical warrant redemption features used in many other blank check companies, which typically only provide for a redemption of warrants for cash (other than the private placement warrants) when the trading price for the shares of common stock exceeds $18.00 per share for a specified period of time. This redemption feature is structured to allow for all of the outstanding warrants to be redeemed when the shares of common stock are trading at or above $10.00 per public share, which may be at a time when the trading price of shares of common stock is below the exercise price of the warrants. We have established this redemption feature to provide us with the flexibility to redeem the warrants without the warrants having to reach the $18.00 per share threshold set forth above under “</w:t>
      </w:r>
      <w:r>
        <w:rPr>
          <w:rFonts w:ascii="Arial" w:cs="Arial" w:eastAsia="Arial" w:hAnsi="Arial"/>
          <w:sz w:val="16"/>
          <w:szCs w:val="16"/>
          <w:i w:val="1"/>
          <w:iCs w:val="1"/>
          <w:color w:val="auto"/>
        </w:rPr>
        <w:t>—Redemption of warrants when the price per share of common stock</w:t>
      </w:r>
      <w:r>
        <w:rPr>
          <w:rFonts w:ascii="Arial" w:cs="Arial" w:eastAsia="Arial" w:hAnsi="Arial"/>
          <w:sz w:val="16"/>
          <w:szCs w:val="16"/>
          <w:color w:val="auto"/>
        </w:rPr>
        <w:t xml:space="preserve"> </w:t>
      </w:r>
      <w:r>
        <w:rPr>
          <w:rFonts w:ascii="Arial" w:cs="Arial" w:eastAsia="Arial" w:hAnsi="Arial"/>
          <w:sz w:val="16"/>
          <w:szCs w:val="16"/>
          <w:i w:val="1"/>
          <w:iCs w:val="1"/>
          <w:color w:val="auto"/>
        </w:rPr>
        <w:t>equals or exceeds $18.00</w:t>
      </w:r>
      <w:r>
        <w:rPr>
          <w:rFonts w:ascii="Arial" w:cs="Arial" w:eastAsia="Arial" w:hAnsi="Arial"/>
          <w:sz w:val="16"/>
          <w:szCs w:val="16"/>
          <w:color w:val="auto"/>
        </w:rPr>
        <w:t>.” Holders choosing to exercise their warrants in connection with a redemption pursuant to this feature will, in effect, receive a</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for their warrants based on an option pricing model with a fixed volatility input as of the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7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As stated above, we can redeem the warrants when the shares of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common stock are trading at a price below the exercise price of the warrants, this could result in the warrant holders receiving fewer shares of common stock than they would have received if they had chosen to wait to exercise their warrants for shares of common stock if and when such shares of common stock were trading at a price higher than the exercise price of $11.50.</w:t>
      </w:r>
    </w:p>
    <w:p>
      <w:pPr>
        <w:spacing w:after="0" w:line="17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No fractional shares of common stock will be issued upon exercise. If, upon exercise, a holder would be entitled to receive a fractional interest in a share, we will round down to the nearest whole number of the number of shares of common stock to be issued to the holder. If, at the time of redemption, the warrants are exercisable for a security other than the shares of common stock pursuant to the warrant agreement, the warrants may be exercised for such security. At such time as the warrants become exercisable for a security other than the shares of common stock, we (or surviving company) will use our commercially reasonable efforts to register under the Securities Act the security issuable upon the exercise of the warrants.</w:t>
      </w:r>
    </w:p>
    <w:p>
      <w:pPr>
        <w:spacing w:after="0" w:line="16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i w:val="1"/>
          <w:iCs w:val="1"/>
          <w:color w:val="auto"/>
        </w:rPr>
        <w:t xml:space="preserve">Redemption procedures. </w:t>
      </w:r>
      <w:r>
        <w:rPr>
          <w:rFonts w:ascii="Arial" w:cs="Arial" w:eastAsia="Arial" w:hAnsi="Arial"/>
          <w:sz w:val="18"/>
          <w:szCs w:val="18"/>
          <w:color w:val="auto"/>
        </w:rPr>
        <w:t>A holder of a warrant may notify us in writing in the event it elects to be subject to a requirement that such holder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common stock issued and outstanding immediately after giving effect to such exercise.</w:t>
      </w:r>
    </w:p>
    <w:p>
      <w:pPr>
        <w:spacing w:after="0" w:line="18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i w:val="1"/>
          <w:iCs w:val="1"/>
          <w:color w:val="auto"/>
        </w:rPr>
        <w:t xml:space="preserve">Anti-dilution Adjustments. </w:t>
      </w:r>
      <w:r>
        <w:rPr>
          <w:rFonts w:ascii="Arial" w:cs="Arial" w:eastAsia="Arial" w:hAnsi="Arial"/>
          <w:sz w:val="18"/>
          <w:szCs w:val="18"/>
          <w:color w:val="auto"/>
        </w:rPr>
        <w:t>If the number of outstanding shares of common stock is increased by a capitalization or share dividend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or by a sub-division of ordinary shares or other similar event, then, on the effective date of such capitalization or share dividend, sub-division or similar event, the number of shares of common stock issuable on exercise of each warrant will be increased in proportion to such increase in the outstanding ordinary shares. A rights offering made to all or substantially all holders of ordinary shares entitling holders to purchase shares of common stock at a price less than the “historical fair market value” (as defined below) will be deemed a share dividend of a number of shares of common stock equal to the product of (i) the number of shares of common stock actually sold in such rights offering (or issuable under any other equity securities sold in such rights offering that are</w:t>
      </w:r>
    </w:p>
    <w:p>
      <w:pPr>
        <w:sectPr>
          <w:pgSz w:w="11900" w:h="16838" w:orient="portrait"/>
          <w:cols w:equalWidth="0" w:num="1">
            <w:col w:w="11000"/>
          </w:cols>
          <w:pgMar w:left="440" w:top="274" w:right="459" w:bottom="1440" w:gutter="0" w:footer="0" w:header="0"/>
        </w:sectPr>
      </w:pPr>
    </w:p>
    <w:bookmarkStart w:id="190" w:name="page191"/>
    <w:bookmarkEnd w:id="190"/>
    <w:p>
      <w:pPr>
        <w:ind w:right="2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convertible into or exercisable for shares of common stock) and (ii) one minus the quotient of (x) the price per share of common stock paid in such rights offering and (y) the historical fair market value. For these purposes, (i)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(ii) “historical fair market value” means the volume weighted average price of shares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64"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all or substantially all of the holders of the shares of common stock on account of such shares of common stock (or other securities into which the warrants are convertible), other than (a) as described above and, (b) any cash dividends or cash distributions which, when combined on a per share basis with all other cash dividends and cash distributions paid on the shares of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common stock issuable on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66"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If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will be decreased in proportion to such decrease in outstanding shares of common stock. 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77"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shares of common stock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equityholders of Rigetti in such a transaction is payable in the form of shares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 Scholes value (as defined in the warrant agreement) of the warrant. The purpose of such exercise price reduction is to provide additional value to holders of the warrants when an</w:t>
      </w:r>
    </w:p>
    <w:p>
      <w:pPr>
        <w:sectPr>
          <w:pgSz w:w="11900" w:h="16838" w:orient="portrait"/>
          <w:cols w:equalWidth="0" w:num="1">
            <w:col w:w="11000"/>
          </w:cols>
          <w:pgMar w:left="440" w:top="274" w:right="459" w:bottom="1440" w:gutter="0" w:footer="0" w:header="0"/>
        </w:sectPr>
      </w:pPr>
    </w:p>
    <w:bookmarkStart w:id="191" w:name="page192"/>
    <w:bookmarkEnd w:id="191"/>
    <w:p>
      <w:pPr>
        <w:ind w:left="4"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7" w:lineRule="exact"/>
        <w:rPr>
          <w:sz w:val="20"/>
          <w:szCs w:val="20"/>
          <w:color w:val="auto"/>
        </w:rPr>
      </w:pPr>
    </w:p>
    <w:p>
      <w:pPr>
        <w:ind w:left="4" w:right="400" w:firstLine="440"/>
        <w:spacing w:after="0" w:line="291" w:lineRule="auto"/>
        <w:rPr>
          <w:sz w:val="20"/>
          <w:szCs w:val="20"/>
          <w:color w:val="auto"/>
        </w:rPr>
      </w:pPr>
      <w:r>
        <w:rPr>
          <w:rFonts w:ascii="Arial" w:cs="Arial" w:eastAsia="Arial" w:hAnsi="Arial"/>
          <w:sz w:val="16"/>
          <w:szCs w:val="16"/>
          <w:color w:val="auto"/>
        </w:rPr>
        <w:t>The warrants have been issued in registered form under a warrant agreement between American Stock Transfer &amp; Trust Company, as warrant agent, and us. The warrant agreement provides that the terms of the warrants may be amended without the consent of any holder for the purpose of</w:t>
      </w:r>
    </w:p>
    <w:p>
      <w:pPr>
        <w:ind w:left="4" w:right="140" w:hanging="4"/>
        <w:spacing w:after="0" w:line="268" w:lineRule="auto"/>
        <w:tabs>
          <w:tab w:leader="none" w:pos="219" w:val="left"/>
        </w:tabs>
        <w:numPr>
          <w:ilvl w:val="0"/>
          <w:numId w:val="83"/>
        </w:numPr>
        <w:rPr>
          <w:rFonts w:ascii="Arial" w:cs="Arial" w:eastAsia="Arial" w:hAnsi="Arial"/>
          <w:sz w:val="17"/>
          <w:szCs w:val="17"/>
          <w:color w:val="auto"/>
        </w:rPr>
      </w:pPr>
      <w:r>
        <w:rPr>
          <w:rFonts w:ascii="Arial" w:cs="Arial" w:eastAsia="Arial" w:hAnsi="Arial"/>
          <w:sz w:val="17"/>
          <w:szCs w:val="17"/>
          <w:color w:val="auto"/>
        </w:rPr>
        <w:t>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83"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warrant holders do not have the rights or privileges of holders of ordinary shares and any voting rights until they exercise their warrants and receive shares of common stock. After the issuance of shares of common stock upon exercise of the warrants, each holder will be entitled to one vote for each share held of record on all matters to be voted on by shareholders.</w:t>
      </w:r>
    </w:p>
    <w:p>
      <w:pPr>
        <w:spacing w:after="0" w:line="184"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shares of common stock to be issued to the warrant holder. 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285" w:lineRule="exact"/>
        <w:rPr>
          <w:sz w:val="20"/>
          <w:szCs w:val="20"/>
          <w:color w:val="auto"/>
        </w:rPr>
      </w:pPr>
    </w:p>
    <w:p>
      <w:pPr>
        <w:ind w:left="224"/>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Except as described below, the private placement warrants have terms and provisions that are identical to those of the public warrants. The private placement warrants (including the shares of common stock issuable upon exercise of the private placement warrants) will not be transferable, assignable or salable until 30 days after the Closing Date (except pursuant to limited exceptions, to our officers and directors and other persons or entities affiliated with the initial purchasers of the private placement warrants) and they will not be redeemable by us so long as they are held by Supernova Partners II LLC (“Supernova Sponsor”) or its permitted transferees. Supernova Sponsor, or its permitted transferees, has the option to exercise the private placement warrants on a cashless basis. If the private placement warrants are held by holders other than Supernova Sponsor or its permitted transferees, the private placement warrants will be redeemable by us in all redemption scenarios and exercisable by the holders on the same basis as the warrants included in the units being sold in Supernova’s initial public offering.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85"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multiplied by the excess of the “Sponsor fair market value” (defined below) over the exercise price of the warrants by</w:t>
      </w:r>
    </w:p>
    <w:p>
      <w:pPr>
        <w:spacing w:after="0" w:line="2" w:lineRule="exact"/>
        <w:rPr>
          <w:sz w:val="20"/>
          <w:szCs w:val="20"/>
          <w:color w:val="auto"/>
        </w:rPr>
      </w:pPr>
    </w:p>
    <w:p>
      <w:pPr>
        <w:jc w:val="both"/>
        <w:ind w:left="4" w:right="360" w:hanging="4"/>
        <w:spacing w:after="0" w:line="255" w:lineRule="auto"/>
        <w:tabs>
          <w:tab w:leader="none" w:pos="25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Sponsor fair market value. For these purposes, the “Sponsor fair market value” shall mean the average reported closing price of the shares of common stock for the 10 trading days ending on the third trading day prior to the date on which the notice of warrant exercise is sent to the warrant agent.</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We have not paid any cash dividends on our common stock to date. The payment of cash dividends in the future will be dependent upon our revenues and earnings, if any, capital requirements, general financial condition, contractual restrictions and other factors that our Board may deem relevant and will be within the discretion of our Board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ectPr>
          <w:pgSz w:w="11900" w:h="16838" w:orient="portrait"/>
          <w:cols w:equalWidth="0" w:num="1">
            <w:col w:w="11004"/>
          </w:cols>
          <w:pgMar w:left="436" w:top="274" w:right="459" w:bottom="1440" w:gutter="0" w:footer="0" w:header="0"/>
        </w:sectPr>
      </w:pPr>
    </w:p>
    <w:bookmarkStart w:id="192" w:name="page193"/>
    <w:bookmarkEnd w:id="192"/>
    <w:p>
      <w:pPr>
        <w:ind w:right="880"/>
        <w:spacing w:after="0" w:line="37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Certain Anti-Takeover Provisions of Delaware Law and our Second Amended and Restated Certificate of Incorporation and Bylaws </w:t>
      </w:r>
      <w:r>
        <w:rPr>
          <w:rFonts w:ascii="Arial" w:cs="Arial" w:eastAsia="Arial" w:hAnsi="Arial"/>
          <w:sz w:val="18"/>
          <w:szCs w:val="18"/>
          <w:b w:val="1"/>
          <w:bCs w:val="1"/>
          <w:i w:val="1"/>
          <w:iCs w:val="1"/>
          <w:color w:val="auto"/>
        </w:rPr>
        <w:t>Section 203 of the Delaware General Corporation Law</w:t>
      </w:r>
    </w:p>
    <w:p>
      <w:pPr>
        <w:ind w:right="240" w:firstLine="440"/>
        <w:spacing w:after="0" w:line="263" w:lineRule="auto"/>
        <w:rPr>
          <w:sz w:val="20"/>
          <w:szCs w:val="20"/>
          <w:color w:val="auto"/>
        </w:rPr>
      </w:pPr>
      <w:r>
        <w:rPr>
          <w:rFonts w:ascii="Arial" w:cs="Arial" w:eastAsia="Arial" w:hAnsi="Arial"/>
          <w:sz w:val="18"/>
          <w:szCs w:val="18"/>
          <w:color w:val="auto"/>
        </w:rPr>
        <w:t>We are subject to Section 203 of the DGCL,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960" w:right="180" w:hanging="424"/>
        <w:spacing w:after="0" w:line="277"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960" w:right="40" w:hanging="424"/>
        <w:spacing w:after="0" w:line="275" w:lineRule="auto"/>
        <w:tabs>
          <w:tab w:leader="none" w:pos="9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81" w:lineRule="exact"/>
        <w:rPr>
          <w:rFonts w:ascii="Arial" w:cs="Arial" w:eastAsia="Arial" w:hAnsi="Arial"/>
          <w:sz w:val="17"/>
          <w:szCs w:val="17"/>
          <w:color w:val="auto"/>
        </w:rPr>
      </w:pPr>
    </w:p>
    <w:p>
      <w:pPr>
        <w:ind w:left="960" w:right="120" w:hanging="424"/>
        <w:spacing w:after="0" w:line="263"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960" w:hanging="424"/>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960" w:hanging="424"/>
        <w:spacing w:after="0" w:line="277"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an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Among other things, our Certificate of Incorporation and Bylaws:</w:t>
      </w:r>
    </w:p>
    <w:p>
      <w:pPr>
        <w:spacing w:after="0" w:line="131" w:lineRule="exact"/>
        <w:rPr>
          <w:sz w:val="20"/>
          <w:szCs w:val="20"/>
          <w:color w:val="auto"/>
        </w:rPr>
      </w:pPr>
    </w:p>
    <w:p>
      <w:pPr>
        <w:ind w:left="960" w:hanging="42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30" w:lineRule="exact"/>
        <w:rPr>
          <w:rFonts w:ascii="Arial" w:cs="Arial" w:eastAsia="Arial" w:hAnsi="Arial"/>
          <w:sz w:val="18"/>
          <w:szCs w:val="18"/>
          <w:color w:val="auto"/>
        </w:rPr>
      </w:pPr>
    </w:p>
    <w:p>
      <w:pPr>
        <w:ind w:left="960" w:right="500" w:hanging="424"/>
        <w:spacing w:after="0" w:line="342" w:lineRule="auto"/>
        <w:tabs>
          <w:tab w:leader="none" w:pos="9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ability of the Board to issue up to 10,000,000 shares of preferred stock, including “blank check” preferred stock, with any rights, preferences and privileges as they may designate, including the right to approve an acquisition or other change of control;</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w:t>
      </w:r>
    </w:p>
    <w:p>
      <w:pPr>
        <w:spacing w:after="0" w:line="130" w:lineRule="exact"/>
        <w:rPr>
          <w:rFonts w:ascii="Arial" w:cs="Arial" w:eastAsia="Arial" w:hAnsi="Arial"/>
          <w:sz w:val="18"/>
          <w:szCs w:val="18"/>
          <w:color w:val="auto"/>
        </w:rPr>
      </w:pPr>
    </w:p>
    <w:p>
      <w:pPr>
        <w:ind w:left="960" w:right="60" w:hanging="424"/>
        <w:spacing w:after="0" w:line="263"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that, subject to the rights of the holders of any series of preferred stock, any individual director or directors may be removed only with cause by the affirmative vote of the holders of at least 66 2/3% of the voting power of all of the then-outstanding shares of our capital stock entitled to vote generally in the election of directors, voting together as a single class;</w:t>
      </w:r>
    </w:p>
    <w:p>
      <w:pPr>
        <w:spacing w:after="0" w:line="89"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ectPr>
          <w:pgSz w:w="11900" w:h="16838" w:orient="portrait"/>
          <w:cols w:equalWidth="0" w:num="1">
            <w:col w:w="11000"/>
          </w:cols>
          <w:pgMar w:left="440" w:top="270" w:right="459" w:bottom="1440" w:gutter="0" w:footer="0" w:header="0"/>
        </w:sectPr>
      </w:pPr>
    </w:p>
    <w:bookmarkStart w:id="193" w:name="page194"/>
    <w:bookmarkEnd w:id="193"/>
    <w:p>
      <w:pPr>
        <w:ind w:left="964" w:right="160" w:hanging="424"/>
        <w:spacing w:after="0" w:line="277" w:lineRule="auto"/>
        <w:tabs>
          <w:tab w:leader="none" w:pos="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 that any action to be taken by our stockholders must be effected at a duly called annual or special meeting of stockholders and not be taken by written consent or electronic transmission;</w:t>
      </w:r>
    </w:p>
    <w:p>
      <w:pPr>
        <w:spacing w:after="0" w:line="75" w:lineRule="exact"/>
        <w:rPr>
          <w:rFonts w:ascii="Arial" w:cs="Arial" w:eastAsia="Arial" w:hAnsi="Arial"/>
          <w:sz w:val="18"/>
          <w:szCs w:val="18"/>
          <w:color w:val="auto"/>
        </w:rPr>
      </w:pPr>
    </w:p>
    <w:p>
      <w:pPr>
        <w:ind w:left="964" w:right="120" w:hanging="424"/>
        <w:spacing w:after="0" w:line="263" w:lineRule="auto"/>
        <w:tabs>
          <w:tab w:leader="none" w:pos="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964" w:right="20" w:hanging="424"/>
        <w:spacing w:after="0" w:line="277" w:lineRule="auto"/>
        <w:tabs>
          <w:tab w:leader="none" w:pos="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by the chairperson of the Board, the chief executive officer or by the Board pursuant to a resolution adopted by a majority of the total number of authorized directors; and</w:t>
      </w:r>
    </w:p>
    <w:p>
      <w:pPr>
        <w:spacing w:after="0" w:line="75" w:lineRule="exact"/>
        <w:rPr>
          <w:rFonts w:ascii="Arial" w:cs="Arial" w:eastAsia="Arial" w:hAnsi="Arial"/>
          <w:sz w:val="18"/>
          <w:szCs w:val="18"/>
          <w:color w:val="auto"/>
        </w:rPr>
      </w:pPr>
    </w:p>
    <w:p>
      <w:pPr>
        <w:ind w:left="964" w:right="80" w:hanging="424"/>
        <w:spacing w:after="0" w:line="277" w:lineRule="auto"/>
        <w:tabs>
          <w:tab w:leader="none" w:pos="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The combination of these provisions will make it more difficult for the existing stockholders to replace our board of directors as well as for another party to obtain control of us by replacing our board of directors. Because our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Exclusive Forum of Certain Actions</w:t>
      </w:r>
    </w:p>
    <w:p>
      <w:pPr>
        <w:spacing w:after="0" w:line="117"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The Certificate of Incorporation requires, unless we consent in writing to the selection of an alternative forum, that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is the sole and exclusive forum for the following types of actions or proceedings under Delaware statutory or common law:</w:t>
      </w:r>
    </w:p>
    <w:p>
      <w:pPr>
        <w:spacing w:after="0" w:line="1" w:lineRule="exact"/>
        <w:rPr>
          <w:sz w:val="20"/>
          <w:szCs w:val="20"/>
          <w:color w:val="auto"/>
        </w:rPr>
      </w:pPr>
    </w:p>
    <w:p>
      <w:pPr>
        <w:ind w:left="4" w:right="220" w:hanging="4"/>
        <w:spacing w:after="0" w:line="281" w:lineRule="auto"/>
        <w:tabs>
          <w:tab w:leader="none" w:pos="219" w:val="left"/>
        </w:tabs>
        <w:numPr>
          <w:ilvl w:val="0"/>
          <w:numId w:val="89"/>
        </w:numPr>
        <w:rPr>
          <w:rFonts w:ascii="Arial" w:cs="Arial" w:eastAsia="Arial" w:hAnsi="Arial"/>
          <w:sz w:val="16"/>
          <w:szCs w:val="16"/>
          <w:color w:val="auto"/>
        </w:rPr>
      </w:pPr>
      <w:r>
        <w:rPr>
          <w:rFonts w:ascii="Arial" w:cs="Arial" w:eastAsia="Arial" w:hAnsi="Arial"/>
          <w:sz w:val="16"/>
          <w:szCs w:val="16"/>
          <w:color w:val="auto"/>
        </w:rPr>
        <w:t>derivative actions brought on behalf of the Company; (ii) actions against current or former directors, officers or other employees or stockholders of the Company for breach of fiduciary duty to the Company or the Company’s stockholders; (iii) actions against the Company or any current or former director, officer or other employee or stockholder of the Company, arising out of or pursuant to any provision of the DGCL or the Certificate of Incorporation or the Bylaws,: (iv) actions to interpret, apply, enforce or determine the validity of the Certificate of Incorporation or the Bylaws;</w:t>
      </w:r>
    </w:p>
    <w:p>
      <w:pPr>
        <w:spacing w:after="0" w:line="2" w:lineRule="exact"/>
        <w:rPr>
          <w:rFonts w:ascii="Arial" w:cs="Arial" w:eastAsia="Arial" w:hAnsi="Arial"/>
          <w:sz w:val="16"/>
          <w:szCs w:val="16"/>
          <w:color w:val="auto"/>
        </w:rPr>
      </w:pPr>
    </w:p>
    <w:p>
      <w:pPr>
        <w:ind w:left="4" w:hanging="4"/>
        <w:spacing w:after="0" w:line="286" w:lineRule="auto"/>
        <w:tabs>
          <w:tab w:leader="none" w:pos="259" w:val="left"/>
        </w:tabs>
        <w:numPr>
          <w:ilvl w:val="0"/>
          <w:numId w:val="90"/>
        </w:numPr>
        <w:rPr>
          <w:rFonts w:ascii="Arial" w:cs="Arial" w:eastAsia="Arial" w:hAnsi="Arial"/>
          <w:sz w:val="16"/>
          <w:szCs w:val="16"/>
          <w:color w:val="auto"/>
        </w:rPr>
      </w:pPr>
      <w:r>
        <w:rPr>
          <w:rFonts w:ascii="Arial" w:cs="Arial" w:eastAsia="Arial" w:hAnsi="Arial"/>
          <w:sz w:val="16"/>
          <w:szCs w:val="16"/>
          <w:color w:val="auto"/>
        </w:rPr>
        <w:t>actions as to which the DGCL confers jurisdiction on the Court of Chancery of the State of Delaware; and (vi) actions against the Company or any current or former director, officer or other employee or stockholder of the Company, governed by the internal-affairs doctrine of the law of the State of Delaware, in all cases to the fullest extent permitted by law and subject to the court having personal jurisdiction over the indispensable parties named as defendants. However, this provision will not apply to claims or actions brought to enforce a duty or liability created by the Securities Act or Exchange Act, or any other claim for which the federal courts have exclusive jurisdiction. The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or causes of action arising under the Securities Act, including all causes of action asserted against any defendant named in such complaint. Additionally, the Certificate of Incorporation provides that any person or entity holding, owning or otherwise acquiring any interest in any of our securities shall be deemed to have notice of and consented to these provisions.</w:t>
      </w:r>
    </w:p>
    <w:p>
      <w:pPr>
        <w:spacing w:after="0" w:line="64" w:lineRule="exact"/>
        <w:rPr>
          <w:sz w:val="20"/>
          <w:szCs w:val="20"/>
          <w:color w:val="auto"/>
        </w:rPr>
      </w:pPr>
    </w:p>
    <w:p>
      <w:pPr>
        <w:ind w:left="4" w:right="180" w:firstLine="440"/>
        <w:spacing w:after="0" w:line="275" w:lineRule="auto"/>
        <w:rPr>
          <w:sz w:val="20"/>
          <w:szCs w:val="20"/>
          <w:color w:val="auto"/>
        </w:rPr>
      </w:pPr>
      <w:r>
        <w:rPr>
          <w:rFonts w:ascii="Arial" w:cs="Arial" w:eastAsia="Arial" w:hAnsi="Arial"/>
          <w:sz w:val="17"/>
          <w:szCs w:val="17"/>
          <w:color w:val="auto"/>
        </w:rPr>
        <w:t>Although we believe this provision benefits us by providing increased consistency in the application of Delaware law in the types of lawsuits to which it applies, the provision may have the effect of discouraging lawsuits against our directors and officers. Additionally, we cannot be certain that a court will decide that this provision is either applicable or enforceable, and if a court were to find the choice of forum provision contained in the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117"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ectPr>
          <w:pgSz w:w="11900" w:h="16838" w:orient="portrait"/>
          <w:cols w:equalWidth="0" w:num="1">
            <w:col w:w="11024"/>
          </w:cols>
          <w:pgMar w:left="436" w:top="274" w:right="439" w:bottom="1440" w:gutter="0" w:footer="0" w:header="0"/>
        </w:sectPr>
      </w:pPr>
    </w:p>
    <w:bookmarkStart w:id="194" w:name="page195"/>
    <w:bookmarkEnd w:id="194"/>
    <w:p>
      <w:pPr>
        <w:jc w:val="both"/>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Certificate of Incorporation provides, in addition to the votes required by law, that the following provisions therein may be amended, altered, repealed or rescinded only by the affirmative of the holders of at least sixty-six and two-thirds percent (66 2/3%) of the voting power of all of the then-outstanding shares of capital stock of common stock and preferred stock entitled to vote generally in the election of directors, voting together as a single class, including provisions regarding the classified board structure, the size of the Board, the election and removal of directors to the Board, the filling of vacancies, the limited liability of directors and officers of Rigetti and exclusive forums for certain actions.</w:t>
      </w:r>
    </w:p>
    <w:p>
      <w:pPr>
        <w:spacing w:after="0" w:line="176"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Bylaws may be amended or repealed (A) by the affirmative vote of a majority of the entire Board then in office, without the assent or vote of any stockholder (subject to any bylaw requiring the affirmative vote of a larger percentage of the members of the Board) or (B) without the approval of the Board, by the affirmative vote of the holders of any class or series of stock of Rigetti required by law or by the Certificate of Incorporation, such action by stockholders requiring the affirmative vote of the holders of at least sixty-six and two-thirds percent (66 2/3%) of the voting power of all of the then-outstanding shares of the capital stock of Rigetti entitled to vote generally in the election of directors, voting together as a single class.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for common stock and warrant agent for the warrants is American Stock Transfer &amp; Trust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common stock and public warrants are listed on the Nasdaq Capital Market under the symbols “RGTI” and “RGTIW,” respectively.</w:t>
      </w:r>
    </w:p>
    <w:p>
      <w:pPr>
        <w:sectPr>
          <w:pgSz w:w="11900" w:h="16838" w:orient="portrait"/>
          <w:cols w:equalWidth="0" w:num="1">
            <w:col w:w="11000"/>
          </w:cols>
          <w:pgMar w:left="440" w:top="274" w:right="45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Rigetti Computing,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Berkeley, California</w:t>
      </w:r>
    </w:p>
    <w:p>
      <w:pPr>
        <w:spacing w:after="0" w:line="21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333-265516) of Rigetti Computing, Inc. of our report dated March 27, 2023, relating to the consolidated financial statements, which appears in this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27, 2023</w:t>
      </w:r>
    </w:p>
    <w:p>
      <w:pPr>
        <w:sectPr>
          <w:pgSz w:w="11900" w:h="16838" w:orient="portrait"/>
          <w:cols w:equalWidth="0" w:num="1">
            <w:col w:w="11020"/>
          </w:cols>
          <w:pgMar w:left="440" w:top="121" w:right="4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Subodh Kulkarni, certify that:</w:t>
      </w:r>
    </w:p>
    <w:p>
      <w:pPr>
        <w:spacing w:after="0" w:line="131" w:lineRule="exact"/>
        <w:rPr>
          <w:sz w:val="20"/>
          <w:szCs w:val="20"/>
          <w:color w:val="auto"/>
        </w:rPr>
      </w:pPr>
    </w:p>
    <w:p>
      <w:pPr>
        <w:ind w:left="424" w:hanging="424"/>
        <w:spacing w:after="0"/>
        <w:tabs>
          <w:tab w:leader="none" w:pos="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Rigetti Computing,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27, 2023</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Subodh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Subodh Kulkarni</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Jeffrey Bertelsen, certify that:</w:t>
      </w:r>
    </w:p>
    <w:p>
      <w:pPr>
        <w:spacing w:after="0" w:line="131" w:lineRule="exact"/>
        <w:rPr>
          <w:sz w:val="20"/>
          <w:szCs w:val="20"/>
          <w:color w:val="auto"/>
        </w:rPr>
      </w:pPr>
    </w:p>
    <w:p>
      <w:pPr>
        <w:ind w:left="424" w:hanging="424"/>
        <w:spacing w:after="0"/>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Rigetti Computing,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27, 2023</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Jeffrey Bertelsen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Jeffrey Bertelsen</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hereby certifies that, to the best of his knowledge:</w:t>
      </w:r>
    </w:p>
    <w:p>
      <w:pPr>
        <w:spacing w:after="0" w:line="89" w:lineRule="exact"/>
        <w:rPr>
          <w:sz w:val="20"/>
          <w:szCs w:val="20"/>
          <w:color w:val="auto"/>
        </w:rPr>
      </w:pPr>
    </w:p>
    <w:p>
      <w:pPr>
        <w:ind w:left="424" w:right="100" w:hanging="424"/>
        <w:spacing w:after="0" w:line="277" w:lineRule="auto"/>
        <w:tabs>
          <w:tab w:leader="none" w:pos="424"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fiscal year ended December 31, 2022, to which this Certification is attached as Exhibit 32.1 (the “Annual Report”), fully complies with the requirements of Section 13(a) or Section 15(d) of the Exchange Act; and</w:t>
      </w:r>
    </w:p>
    <w:p>
      <w:pPr>
        <w:spacing w:after="0" w:line="75" w:lineRule="exact"/>
        <w:rPr>
          <w:rFonts w:ascii="Arial" w:cs="Arial" w:eastAsia="Arial" w:hAnsi="Arial"/>
          <w:sz w:val="18"/>
          <w:szCs w:val="18"/>
          <w:b w:val="1"/>
          <w:bCs w:val="1"/>
          <w:color w:val="auto"/>
        </w:rPr>
      </w:pPr>
    </w:p>
    <w:p>
      <w:pPr>
        <w:ind w:left="424" w:right="360" w:hanging="424"/>
        <w:spacing w:after="0" w:line="277" w:lineRule="auto"/>
        <w:tabs>
          <w:tab w:leader="none" w:pos="424"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undersigned has set his hand hereto as of the 27th day of March, 2023.</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/s/ Subodh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Subodh Kulkarni</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Jeffrey Bertelsen, Chief Financial Officer of Rigetti Computing, Inc. (the “Company”), hereby certifies that, to the best of his knowledge:</w:t>
      </w:r>
    </w:p>
    <w:p>
      <w:pPr>
        <w:spacing w:after="0" w:line="89" w:lineRule="exact"/>
        <w:rPr>
          <w:sz w:val="20"/>
          <w:szCs w:val="20"/>
          <w:color w:val="auto"/>
        </w:rPr>
      </w:pPr>
    </w:p>
    <w:p>
      <w:pPr>
        <w:ind w:left="424" w:right="100" w:hanging="424"/>
        <w:spacing w:after="0" w:line="277" w:lineRule="auto"/>
        <w:tabs>
          <w:tab w:leader="none" w:pos="424"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fiscal year ended December 31, 2022, to which this Certification is attached as Exhibit 32.2 (the “Annual Report”), fully complies with the requirements of Section 13(a) or Section 15(d) of the Exchange Act; and</w:t>
      </w:r>
    </w:p>
    <w:p>
      <w:pPr>
        <w:spacing w:after="0" w:line="75" w:lineRule="exact"/>
        <w:rPr>
          <w:rFonts w:ascii="Arial" w:cs="Arial" w:eastAsia="Arial" w:hAnsi="Arial"/>
          <w:sz w:val="18"/>
          <w:szCs w:val="18"/>
          <w:b w:val="1"/>
          <w:bCs w:val="1"/>
          <w:color w:val="auto"/>
        </w:rPr>
      </w:pPr>
    </w:p>
    <w:p>
      <w:pPr>
        <w:ind w:left="424" w:right="360" w:hanging="424"/>
        <w:spacing w:after="0" w:line="277" w:lineRule="auto"/>
        <w:tabs>
          <w:tab w:leader="none" w:pos="424"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undersigned has set his hand hereto as of the 27th day of March, 2023.</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Jeffrey Bertelsen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Jeffrey Bertelsen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1)"/>
      <w:numFmt w:val="lowerRoman"/>
      <w:start w:val="2"/>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1)"/>
      <w:numFmt w:val="lowerRoman"/>
      <w:start w:val="3"/>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1)"/>
      <w:numFmt w:val="decimal"/>
      <w:start w:val="1"/>
    </w:lvl>
  </w:abstractNum>
  <w:abstractNum w:abstractNumId="49">
    <w:nsid w:val="42C296BD"/>
    <w:multiLevelType w:val="hybridMultilevel"/>
    <w:lvl w:ilvl="0">
      <w:lvlJc w:val="left"/>
      <w:lvlText w:val="(%1)"/>
      <w:numFmt w:val="decimal"/>
      <w:start w:val="2"/>
    </w:lvl>
  </w:abstractNum>
  <w:abstractNum w:abstractNumId="50">
    <w:nsid w:val="168E121F"/>
    <w:multiLevelType w:val="hybridMultilevel"/>
    <w:lvl w:ilvl="0">
      <w:lvlJc w:val="left"/>
      <w:lvlText w:val="(%1)"/>
      <w:numFmt w:val="decimal"/>
      <w:start w:val="1"/>
    </w:lvl>
  </w:abstractNum>
  <w:abstractNum w:abstractNumId="51">
    <w:nsid w:val="1EBA5D23"/>
    <w:multiLevelType w:val="hybridMultilevel"/>
    <w:lvl w:ilvl="0">
      <w:lvlJc w:val="left"/>
      <w:lvlText w:val="(%1)"/>
      <w:numFmt w:val="decimal"/>
      <w:start w:val="3"/>
    </w:lvl>
  </w:abstractNum>
  <w:abstractNum w:abstractNumId="52">
    <w:nsid w:val="661E3F1E"/>
    <w:multiLevelType w:val="hybridMultilevel"/>
    <w:lvl w:ilvl="0">
      <w:lvlJc w:val="left"/>
      <w:lvlText w:val="(%1)"/>
      <w:numFmt w:val="decimal"/>
      <w:start w:val="30"/>
    </w:lvl>
  </w:abstractNum>
  <w:abstractNum w:abstractNumId="53">
    <w:nsid w:val="5DC79EA8"/>
    <w:multiLevelType w:val="hybridMultilevel"/>
    <w:lvl w:ilvl="0">
      <w:lvlJc w:val="left"/>
      <w:lvlText w:val="(%1)"/>
      <w:numFmt w:val="decimal"/>
      <w:start w:val="2"/>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1)"/>
      <w:numFmt w:val="decimal"/>
      <w:start w:val="1"/>
    </w:lvl>
  </w:abstractNum>
  <w:abstractNum w:abstractNumId="58">
    <w:nsid w:val="BF72B14"/>
    <w:multiLevelType w:val="hybridMultilevel"/>
    <w:lvl w:ilvl="0">
      <w:lvlJc w:val="left"/>
      <w:lvlText w:val="(%1)"/>
      <w:numFmt w:val="decimal"/>
      <w:start w:val="3"/>
    </w:lvl>
  </w:abstractNum>
  <w:abstractNum w:abstractNumId="59">
    <w:nsid w:val="11447B73"/>
    <w:multiLevelType w:val="hybridMultilevel"/>
    <w:lvl w:ilvl="0">
      <w:lvlJc w:val="left"/>
      <w:lvlText w:val="(%1)"/>
      <w:numFmt w:val="decimal"/>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1)"/>
      <w:numFmt w:val="decimal"/>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1)"/>
      <w:numFmt w:val="lowerRoman"/>
      <w:start w:val="2"/>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1)"/>
      <w:numFmt w:val="lowerRoman"/>
      <w:start w:val="1"/>
    </w:lvl>
  </w:abstractNum>
  <w:abstractNum w:abstractNumId="74">
    <w:nsid w:val="7FB7E0AA"/>
    <w:multiLevelType w:val="hybridMultilevel"/>
    <w:lvl w:ilvl="0">
      <w:lvlJc w:val="left"/>
      <w:lvlText w:val="(%1)"/>
      <w:numFmt w:val="lowerRoman"/>
      <w:start w:val="3"/>
    </w:lvl>
  </w:abstractNum>
  <w:abstractNum w:abstractNumId="75">
    <w:nsid w:val="6EB5BD4"/>
    <w:multiLevelType w:val="hybridMultilevel"/>
    <w:lvl w:ilvl="0">
      <w:lvlJc w:val="left"/>
      <w:lvlText w:val="(%1)"/>
      <w:numFmt w:val="decimal"/>
      <w:start w:val="2"/>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
      <w:numFmt w:val="bullet"/>
      <w:start w:val="1"/>
    </w:lvl>
  </w:abstractNum>
  <w:abstractNum w:abstractNumId="78">
    <w:nsid w:val="885E1B"/>
    <w:multiLevelType w:val="hybridMultilevel"/>
    <w:lvl w:ilvl="0">
      <w:lvlJc w:val="left"/>
      <w:lvlText w:val="%1."/>
      <w:numFmt w:val="decimal"/>
      <w:start w:val="7"/>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1)"/>
      <w:numFmt w:val="lowerRoman"/>
      <w:start w:val="1"/>
    </w:lvl>
  </w:abstractNum>
  <w:abstractNum w:abstractNumId="83">
    <w:nsid w:val="3222E7CD"/>
    <w:multiLevelType w:val="hybridMultilevel"/>
    <w:lvl w:ilvl="0">
      <w:lvlJc w:val="left"/>
      <w:lvlText w:val="(%1)"/>
      <w:numFmt w:val="lowerLetter"/>
      <w:start w:val="25"/>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1)"/>
      <w:numFmt w:val="lowerRoman"/>
      <w:start w:val="1"/>
    </w:lvl>
  </w:abstractNum>
  <w:abstractNum w:abstractNumId="89">
    <w:nsid w:val="39EE015C"/>
    <w:multiLevelType w:val="hybridMultilevel"/>
    <w:lvl w:ilvl="0">
      <w:lvlJc w:val="left"/>
      <w:lvlText w:val="(%1)"/>
      <w:numFmt w:val="lowerRoman"/>
      <w:start w:val="5"/>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6" Type="http://schemas.openxmlformats.org/officeDocument/2006/relationships/image" Target="media/image156.png"/><Relationship Id="rId182" Type="http://schemas.openxmlformats.org/officeDocument/2006/relationships/image" Target="media/image157.png"/><Relationship Id="rId201"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163" Type="http://schemas.openxmlformats.org/officeDocument/2006/relationships/hyperlink" Target="http://www.sec.gov/Archives/edgar/data/1838359/000119312521292696/d228756dex21.htm" TargetMode="External"/><Relationship Id="rId164" Type="http://schemas.openxmlformats.org/officeDocument/2006/relationships/hyperlink" Target="http://www.sec.gov/Archives/edgar/data/1838359/000119312521366325/d260312dex21.htm" TargetMode="External"/><Relationship Id="rId165" Type="http://schemas.openxmlformats.org/officeDocument/2006/relationships/hyperlink" Target="http://www.sec.gov/Archives/edgar/data/1838359/000119312522005796/d254318dex21.htm" TargetMode="External"/><Relationship Id="rId167" Type="http://schemas.openxmlformats.org/officeDocument/2006/relationships/hyperlink" Target="http://www.sec.gov/Archives/edgar/data/1838359/000119312522067932/d506107dex31.htm" TargetMode="External"/><Relationship Id="rId168" Type="http://schemas.openxmlformats.org/officeDocument/2006/relationships/hyperlink" Target="http://www.sec.gov/Archives/edgar/data/1838359/000119312522067932/d506107dex32.htm" TargetMode="External"/><Relationship Id="rId169" Type="http://schemas.openxmlformats.org/officeDocument/2006/relationships/hyperlink" Target="http://www.sec.gov/Archives/edgar/data/1838359/000119312522067932/d506107dex41.htm" TargetMode="External"/><Relationship Id="rId170" Type="http://schemas.openxmlformats.org/officeDocument/2006/relationships/hyperlink" Target="http://www.sec.gov/Archives/edgar/data/1838359/000119312522067932/d506107dex42.htm" TargetMode="External"/><Relationship Id="rId171" Type="http://schemas.openxmlformats.org/officeDocument/2006/relationships/hyperlink" Target="http://www.sec.gov/Archives/edgar/data/1838359/000119312521069319/d107027dex41.htm" TargetMode="External"/><Relationship Id="rId172" Type="http://schemas.openxmlformats.org/officeDocument/2006/relationships/hyperlink" Target="http://www.sec.gov/Archives/edgar/data/1838359/000119312522067932/d506107dex101.htm" TargetMode="External"/><Relationship Id="rId173" Type="http://schemas.openxmlformats.org/officeDocument/2006/relationships/hyperlink" Target="http://www.sec.gov/Archives/edgar/data/1838359/000119312521292696/d228756dex102.htm" TargetMode="External"/><Relationship Id="rId174" Type="http://schemas.openxmlformats.org/officeDocument/2006/relationships/hyperlink" Target="http://www.sec.gov/Archives/edgar/data/1838359/000119312521292696/d228756dex103.htm" TargetMode="External"/><Relationship Id="rId175" Type="http://schemas.openxmlformats.org/officeDocument/2006/relationships/hyperlink" Target="http://www.sec.gov/Archives/edgar/data/1838359/000119312521292696/d228756dex104.htm" TargetMode="External"/><Relationship Id="rId176" Type="http://schemas.openxmlformats.org/officeDocument/2006/relationships/hyperlink" Target="http://www.sec.gov/Archives/edgar/data/1838359/000119312521069319/d107027dex101.htm" TargetMode="External"/><Relationship Id="rId177" Type="http://schemas.openxmlformats.org/officeDocument/2006/relationships/hyperlink" Target="http://www.sec.gov/Archives/edgar/data/0001838359/000119312521362173/d248645dex1014.htm" TargetMode="External"/><Relationship Id="rId178" Type="http://schemas.openxmlformats.org/officeDocument/2006/relationships/hyperlink" Target="http://www.sec.gov/Archives/edgar/data/0001838359/000119312521362173/d248645dex1015.htm" TargetMode="External"/><Relationship Id="rId179" Type="http://schemas.openxmlformats.org/officeDocument/2006/relationships/hyperlink" Target="http://www.sec.gov/Archives/edgar/data/0001838359/000119312521362173/d248645dex1016.htm" TargetMode="External"/><Relationship Id="rId180" Type="http://schemas.openxmlformats.org/officeDocument/2006/relationships/hyperlink" Target="http://www.sec.gov/Archives/edgar/data/1838359/000119312522021446/d248645dex1017.htm" TargetMode="External"/><Relationship Id="rId181" Type="http://schemas.openxmlformats.org/officeDocument/2006/relationships/hyperlink" Target="http://www.sec.gov/Archives/edgar/data/1838359/000119312522030892/d248645dex1018.htm" TargetMode="External"/><Relationship Id="rId183" Type="http://schemas.openxmlformats.org/officeDocument/2006/relationships/hyperlink" Target="http://www.sec.gov/Archives/edgar/data/0001838359/000119312521362173/d248645dex1019.htm" TargetMode="External"/><Relationship Id="rId184" Type="http://schemas.openxmlformats.org/officeDocument/2006/relationships/hyperlink" Target="http://www.sec.gov/Archives/edgar/data/0001838359/000119312521362173/d248645dex1017.htm" TargetMode="External"/><Relationship Id="rId185" Type="http://schemas.openxmlformats.org/officeDocument/2006/relationships/hyperlink" Target="http://www.sec.gov/Archives/edgar/data/1838359/000119312522151893/d336452dex1021.htm" TargetMode="External"/><Relationship Id="rId186" Type="http://schemas.openxmlformats.org/officeDocument/2006/relationships/hyperlink" Target="http://www.sec.gov/Archives/edgar/data/0001838359/000119312522008927/d248645dex1020.htm" TargetMode="External"/><Relationship Id="rId187" Type="http://schemas.openxmlformats.org/officeDocument/2006/relationships/hyperlink" Target="http://www.sec.gov/Archives/edgar/data/0001838359/000119312522008927/d248645dex1021.htm" TargetMode="External"/><Relationship Id="rId188" Type="http://schemas.openxmlformats.org/officeDocument/2006/relationships/hyperlink" Target="http://www.sec.gov/Archives/edgar/data/1838359/000119312522067932/d506107dex1016.htm" TargetMode="External"/><Relationship Id="rId189" Type="http://schemas.openxmlformats.org/officeDocument/2006/relationships/hyperlink" Target="http://www.sec.gov/Archives/edgar/data/1838359/000119312522067932/d506107dex1017.htm" TargetMode="External"/><Relationship Id="rId190" Type="http://schemas.openxmlformats.org/officeDocument/2006/relationships/hyperlink" Target="http://www.sec.gov/Archives/edgar/data/1838359/000119312522067932/d506107dex1018.htm" TargetMode="External"/><Relationship Id="rId191" Type="http://schemas.openxmlformats.org/officeDocument/2006/relationships/hyperlink" Target="http://www.sec.gov/Archives/edgar/data/1838359/000119312522067932/d506107dex1019.htm" TargetMode="External"/><Relationship Id="rId192" Type="http://schemas.openxmlformats.org/officeDocument/2006/relationships/hyperlink" Target="http://www.sec.gov/Archives/edgar/data/1838359/000119312522067932/d506107dex1020.htm" TargetMode="External"/><Relationship Id="rId193" Type="http://schemas.openxmlformats.org/officeDocument/2006/relationships/hyperlink" Target="http://www.sec.gov/Archives/edgar/data/1838359/000119312522067932/d506107dex1021.htm" TargetMode="External"/><Relationship Id="rId194" Type="http://schemas.openxmlformats.org/officeDocument/2006/relationships/hyperlink" Target="http://www.sec.gov/Archives/edgar/data/1838359/000119312522218918/d363252dex102.htm" TargetMode="External"/><Relationship Id="rId195" Type="http://schemas.openxmlformats.org/officeDocument/2006/relationships/hyperlink" Target="http://www.sec.gov/Archives/edgar/data/0001838359/000119312521362173/d248645dex1012.htm" TargetMode="External"/><Relationship Id="rId196" Type="http://schemas.openxmlformats.org/officeDocument/2006/relationships/hyperlink" Target="http://www.sec.gov/Archives/edgar/data/0001838359/000119312521362173/d248645dex1013.htm" TargetMode="External"/><Relationship Id="rId197" Type="http://schemas.openxmlformats.org/officeDocument/2006/relationships/hyperlink" Target="http://www.sec.gov/Archives/edgar/data/1838359/000119312522030892/d248645dex1024.htm" TargetMode="External"/><Relationship Id="rId198" Type="http://schemas.openxmlformats.org/officeDocument/2006/relationships/hyperlink" Target="http://www.sec.gov/Archives/edgar/data/1838359/000119312522030892/d248645dex1025.htm" TargetMode="External"/><Relationship Id="rId199" Type="http://schemas.openxmlformats.org/officeDocument/2006/relationships/hyperlink" Target="http://www.sec.gov/Archives/edgar/data/1838359/000119312522030892/d248645dex1026.htm" TargetMode="External"/><Relationship Id="rId200" Type="http://schemas.openxmlformats.org/officeDocument/2006/relationships/hyperlink" Target="http://www.sec.gov/Archives/edgar/data/1838359/000119312522030892/d248645dex1028.htm" TargetMode="External"/><Relationship Id="rId202" Type="http://schemas.openxmlformats.org/officeDocument/2006/relationships/hyperlink" Target="http://www.sec.gov/Archives/edgar/data/1838359/000119312522030892/d248645dex1029.htm" TargetMode="External"/><Relationship Id="rId203" Type="http://schemas.openxmlformats.org/officeDocument/2006/relationships/hyperlink" Target="http://www.sec.gov/Archives/edgar/data/1838359/000119312522082842/d200128dex1030.htm" TargetMode="External"/><Relationship Id="rId204" Type="http://schemas.openxmlformats.org/officeDocument/2006/relationships/hyperlink" Target="http://www.sec.gov/Archives/edgar/data/1838359/000119312522188287/d359677dex992.htm" TargetMode="External"/><Relationship Id="rId205" Type="http://schemas.openxmlformats.org/officeDocument/2006/relationships/hyperlink" Target="http://www.sec.gov/Archives/edgar/data/1838359/000119312522188287/d359677dex993.htm" TargetMode="External"/><Relationship Id="rId206" Type="http://schemas.openxmlformats.org/officeDocument/2006/relationships/hyperlink" Target="http://www.sec.gov/Archives/edgar/data/1838359/000119312522218918/d363252dex105.htm" TargetMode="External"/><Relationship Id="rId207" Type="http://schemas.openxmlformats.org/officeDocument/2006/relationships/hyperlink" Target="http://www.sec.gov/Archives/edgar/data/1838359/000119312522218918/d363252dex106.htm" TargetMode="External"/><Relationship Id="rId208" Type="http://schemas.openxmlformats.org/officeDocument/2006/relationships/hyperlink" Target="http://www.sec.gov/Archives/edgar/data/1838359/000119312522297563/d388782dex101.htm" TargetMode="External"/><Relationship Id="rId209" Type="http://schemas.openxmlformats.org/officeDocument/2006/relationships/hyperlink" Target="http://www.sec.gov/Archives/edgar/data/1838359/000119312522300553/d431423dex101.htm" TargetMode="External"/><Relationship Id="rId210" Type="http://schemas.openxmlformats.org/officeDocument/2006/relationships/hyperlink" Target="http://www.sec.gov/Archives/edgar/data/1838359/000119312523031410/d406416dex101.htm" TargetMode="External"/><Relationship Id="rId211" Type="http://schemas.openxmlformats.org/officeDocument/2006/relationships/hyperlink" Target="http://www.sec.gov/Archives/edgar/data/1838359/000119312523040758/d440145dex101.htm" TargetMode="External"/><Relationship Id="rId212" Type="http://schemas.openxmlformats.org/officeDocument/2006/relationships/hyperlink" Target="http://www.sec.gov/Archives/edgar/data/1838359/000119312522067932/d50610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2023-03-27T17:08:35Z</dcterms:created>
  <dcterms:modified xsi:type="dcterms:W3CDTF">2023-03-27T17:08:35Z</dcterms:modified>
</cp:coreProperties>
</file>