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0001184340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Rigetti Computing, Inc.</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001-40140</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775 HEINZ AVENUE</w:t>
              <w:br/>
              <w:t>BERKELEY</w:t>
              <w:br/>
              <w:t xml:space="preserve">CALIFORNIA </w:t>
              <w:br/>
              <w:t>94710</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(510) 210-5550</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Bertelsen Jeffrey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684"/>
        <w:gridCol w:w="1149"/>
        <w:gridCol w:w="1357"/>
        <w:gridCol w:w="1535"/>
        <w:gridCol w:w="1557"/>
        <w:gridCol w:w="1389"/>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684"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357"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 xml:space="preserve">Common Stock </w:t>
            </w:r>
          </w:p>
        </w:tc>
        <w:tc>
          <w:tcPr>
            <w:tcW w:w="1684" w:type="dxa"/>
            <w:tcBorders/>
            <w:vAlign w:val="center"/>
          </w:tcPr>
          <w:p>
            <w:pPr>
              <w:pStyle w:val="TableContents"/>
              <w:bidi w:val="0"/>
              <w:spacing w:before="0" w:after="0"/>
              <w:jc w:val="left"/>
              <w:rPr/>
            </w:pPr>
            <w:r>
              <w:rPr/>
              <w:t>Piper Sandler</w:t>
              <w:br/>
              <w:t>350 North 5th Street</w:t>
              <w:br/>
              <w:t>Minneapolis   MN   55401</w:t>
            </w:r>
          </w:p>
        </w:tc>
        <w:tc>
          <w:tcPr>
            <w:tcW w:w="1149" w:type="dxa"/>
            <w:tcBorders/>
            <w:vAlign w:val="center"/>
          </w:tcPr>
          <w:p>
            <w:pPr>
              <w:pStyle w:val="TableContents"/>
              <w:bidi w:val="0"/>
              <w:spacing w:before="0" w:after="283"/>
              <w:jc w:val="left"/>
              <w:rPr/>
            </w:pPr>
            <w:r>
              <w:rPr/>
              <w:t>3860</w:t>
            </w:r>
          </w:p>
        </w:tc>
        <w:tc>
          <w:tcPr>
            <w:tcW w:w="1357" w:type="dxa"/>
            <w:tcBorders/>
            <w:vAlign w:val="center"/>
          </w:tcPr>
          <w:p>
            <w:pPr>
              <w:pStyle w:val="TableContents"/>
              <w:bidi w:val="0"/>
              <w:spacing w:before="0" w:after="283"/>
              <w:jc w:val="left"/>
              <w:rPr/>
            </w:pPr>
            <w:r>
              <w:rPr/>
              <w:t>65620.00</w:t>
            </w:r>
          </w:p>
        </w:tc>
        <w:tc>
          <w:tcPr>
            <w:tcW w:w="1535" w:type="dxa"/>
            <w:tcBorders/>
            <w:vAlign w:val="center"/>
          </w:tcPr>
          <w:p>
            <w:pPr>
              <w:pStyle w:val="TableContents"/>
              <w:bidi w:val="0"/>
              <w:spacing w:before="0" w:after="283"/>
              <w:jc w:val="left"/>
              <w:rPr/>
            </w:pPr>
            <w:r>
              <w:rPr/>
              <w:t>333768747</w:t>
            </w:r>
          </w:p>
        </w:tc>
        <w:tc>
          <w:tcPr>
            <w:tcW w:w="1557" w:type="dxa"/>
            <w:tcBorders/>
            <w:vAlign w:val="center"/>
          </w:tcPr>
          <w:p>
            <w:pPr>
              <w:pStyle w:val="TableContents"/>
              <w:bidi w:val="0"/>
              <w:spacing w:before="0" w:after="283"/>
              <w:jc w:val="left"/>
              <w:rPr/>
            </w:pPr>
            <w:r>
              <w:rPr/>
              <w:t>08/20/2026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Jeffrey Bertelsen</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3860</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Jeffrey Bertelsen</w:t>
              <w:br/>
              <w:t>775 Heinz Avenue</w:t>
              <w:br/>
              <w:t>Berkeley   CA   94710</w:t>
            </w:r>
          </w:p>
        </w:tc>
        <w:tc>
          <w:tcPr>
            <w:tcW w:w="3008" w:type="dxa"/>
            <w:tcBorders/>
            <w:vAlign w:val="center"/>
          </w:tcPr>
          <w:p>
            <w:pPr>
              <w:pStyle w:val="TableContents"/>
              <w:bidi w:val="0"/>
              <w:spacing w:before="0" w:after="283"/>
              <w:jc w:val="left"/>
              <w:rPr/>
            </w:pPr>
            <w:r>
              <w:rPr/>
              <w:t xml:space="preserve">Common Stock </w:t>
            </w:r>
          </w:p>
        </w:tc>
        <w:tc>
          <w:tcPr>
            <w:tcW w:w="957" w:type="dxa"/>
            <w:tcBorders/>
            <w:vAlign w:val="center"/>
          </w:tcPr>
          <w:p>
            <w:pPr>
              <w:pStyle w:val="TableContents"/>
              <w:bidi w:val="0"/>
              <w:spacing w:before="0" w:after="283"/>
              <w:jc w:val="left"/>
              <w:rPr/>
            </w:pPr>
            <w:r>
              <w:rPr/>
              <w:t>05/22/2026</w:t>
            </w:r>
          </w:p>
        </w:tc>
        <w:tc>
          <w:tcPr>
            <w:tcW w:w="1579" w:type="dxa"/>
            <w:tcBorders/>
            <w:vAlign w:val="center"/>
          </w:tcPr>
          <w:p>
            <w:pPr>
              <w:pStyle w:val="TableContents"/>
              <w:bidi w:val="0"/>
              <w:spacing w:before="0" w:after="283"/>
              <w:jc w:val="left"/>
              <w:rPr/>
            </w:pPr>
            <w:r>
              <w:rPr/>
              <w:t>3682</w:t>
            </w:r>
          </w:p>
        </w:tc>
        <w:tc>
          <w:tcPr>
            <w:tcW w:w="1706" w:type="dxa"/>
            <w:tcBorders/>
            <w:vAlign w:val="center"/>
          </w:tcPr>
          <w:p>
            <w:pPr>
              <w:pStyle w:val="TableContents"/>
              <w:bidi w:val="0"/>
              <w:spacing w:before="0" w:after="283"/>
              <w:jc w:val="left"/>
              <w:rPr/>
            </w:pPr>
            <w:r>
              <w:rPr/>
              <w:t>84339.98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74"/>
        <w:gridCol w:w="8531"/>
      </w:tblGrid>
      <w:tr>
        <w:trPr/>
        <w:tc>
          <w:tcPr>
            <w:tcW w:w="1674" w:type="dxa"/>
            <w:tcBorders/>
            <w:vAlign w:val="center"/>
          </w:tcPr>
          <w:p>
            <w:pPr>
              <w:pStyle w:val="TableContents"/>
              <w:bidi w:val="0"/>
              <w:spacing w:before="0" w:after="283"/>
              <w:jc w:val="left"/>
              <w:rPr/>
            </w:pPr>
            <w:r>
              <w:rPr/>
              <w:t>Remarks</w:t>
            </w:r>
          </w:p>
        </w:tc>
        <w:tc>
          <w:tcPr>
            <w:tcW w:w="8531" w:type="dxa"/>
            <w:tcBorders/>
            <w:vAlign w:val="center"/>
          </w:tcPr>
          <w:p>
            <w:pPr>
              <w:pStyle w:val="TableContents"/>
              <w:bidi w:val="0"/>
              <w:spacing w:before="0" w:after="283"/>
              <w:jc w:val="left"/>
              <w:rPr>
                <w:sz w:val="4"/>
                <w:szCs w:val="4"/>
              </w:rPr>
            </w:pPr>
            <w:r>
              <w:rPr>
                <w:sz w:val="4"/>
                <w:szCs w:val="4"/>
              </w:rPr>
            </w:r>
          </w:p>
        </w:tc>
      </w:tr>
      <w:tr>
        <w:trPr/>
        <w:tc>
          <w:tcPr>
            <w:tcW w:w="1674" w:type="dxa"/>
            <w:tcBorders/>
            <w:vAlign w:val="center"/>
          </w:tcPr>
          <w:p>
            <w:pPr>
              <w:pStyle w:val="TableContents"/>
              <w:bidi w:val="0"/>
              <w:spacing w:before="0" w:after="283"/>
              <w:jc w:val="left"/>
              <w:rPr/>
            </w:pPr>
            <w:r>
              <w:rPr/>
              <w:t>Date of Notice</w:t>
            </w:r>
          </w:p>
        </w:tc>
        <w:tc>
          <w:tcPr>
            <w:tcW w:w="8531"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74" w:type="dxa"/>
            <w:tcBorders/>
            <w:vAlign w:val="center"/>
          </w:tcPr>
          <w:p>
            <w:pPr>
              <w:pStyle w:val="TableContents"/>
              <w:bidi w:val="0"/>
              <w:spacing w:before="0" w:after="283"/>
              <w:jc w:val="left"/>
              <w:rPr/>
            </w:pPr>
            <w:r>
              <w:rPr/>
              <w:t>Signature</w:t>
            </w:r>
          </w:p>
        </w:tc>
        <w:tc>
          <w:tcPr>
            <w:tcW w:w="8531" w:type="dxa"/>
            <w:tcBorders/>
            <w:vAlign w:val="center"/>
          </w:tcPr>
          <w:p>
            <w:pPr>
              <w:pStyle w:val="TableContents"/>
              <w:bidi w:val="0"/>
              <w:spacing w:before="0" w:after="0"/>
              <w:jc w:val="left"/>
              <w:rPr/>
            </w:pPr>
            <w:r>
              <w:rPr/>
              <w:t>Will Britton, a duly authorized representative of Piper Sandler &amp; Co Corporate &amp; Venture Services FA, as attorney-in-fact for Jeffrey Bertelsen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3128</Characters>
  <CharactersWithSpaces>3687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