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Supernova Partners Acquisition Company II, Ltd.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Supernova Partners Acquisition Company II, Ltd.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001-40140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 February 24, 2022</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Rigetti Computing Announces Michael Harburn as Chief Technical Officer</w:t>
      </w:r>
    </w:p>
    <w:p>
      <w:pPr>
        <w:spacing w:after="0" w:line="121" w:lineRule="exact"/>
        <w:rPr>
          <w:sz w:val="24"/>
          <w:szCs w:val="24"/>
          <w:color w:val="auto"/>
        </w:rPr>
      </w:pPr>
    </w:p>
    <w:p>
      <w:pPr>
        <w:ind w:right="220"/>
        <w:spacing w:after="0" w:line="263" w:lineRule="auto"/>
        <w:rPr>
          <w:sz w:val="20"/>
          <w:szCs w:val="20"/>
          <w:color w:val="auto"/>
        </w:rPr>
      </w:pPr>
      <w:r>
        <w:rPr>
          <w:rFonts w:ascii="Arial" w:cs="Arial" w:eastAsia="Arial" w:hAnsi="Arial"/>
          <w:sz w:val="18"/>
          <w:szCs w:val="18"/>
          <w:color w:val="auto"/>
        </w:rPr>
        <w:t>Berkeley, CA, Feb. 24, 2022 — Rigetti Holdings, Inc. (“Rigetti Computing”), a pioneer in hybrid quantum-classical computing systems, today announced Michael Harburn, who previously held the role of Senior Vice President, Fabrication Operations and QPU Engineering at Rigetti, has been appointed Chief Technical Officer.</w:t>
      </w:r>
    </w:p>
    <w:p>
      <w:pPr>
        <w:spacing w:after="0" w:line="184"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“A key pillar of Rigetti’s success is the talent across our technology stack,” says Chad Rigetti, CEO and founder of Rigetti Computing. “Michael Harburn has led these teams to accomplish significant milestones and as CTO will continue to oversee and lead the development of our next generation quantum computers.”</w:t>
      </w:r>
    </w:p>
    <w:p>
      <w:pPr>
        <w:spacing w:after="0" w:line="184" w:lineRule="exact"/>
        <w:rPr>
          <w:sz w:val="24"/>
          <w:szCs w:val="24"/>
          <w:color w:val="auto"/>
        </w:rPr>
      </w:pPr>
    </w:p>
    <w:p>
      <w:pPr>
        <w:ind w:right="240"/>
        <w:spacing w:after="0" w:line="263" w:lineRule="auto"/>
        <w:rPr>
          <w:sz w:val="20"/>
          <w:szCs w:val="20"/>
          <w:color w:val="auto"/>
        </w:rPr>
      </w:pPr>
      <w:r>
        <w:rPr>
          <w:rFonts w:ascii="Arial" w:cs="Arial" w:eastAsia="Arial" w:hAnsi="Arial"/>
          <w:sz w:val="18"/>
          <w:szCs w:val="18"/>
          <w:color w:val="auto"/>
        </w:rPr>
        <w:t>Michael Harburn has more than 25 years’ experience in the semiconductor, MEMS, and OLED industries, previously leading teams in operations, manufacturing, and R&amp;D engineering. Before joining Rigetti in 2018, Harburn served as VP of Global Operations at Kateeva, and prior was Director, Advanced Development and NPI at FormFactor.</w:t>
      </w:r>
    </w:p>
    <w:p>
      <w:pPr>
        <w:spacing w:after="0" w:line="184" w:lineRule="exact"/>
        <w:rPr>
          <w:sz w:val="24"/>
          <w:szCs w:val="24"/>
          <w:color w:val="auto"/>
        </w:rPr>
      </w:pPr>
    </w:p>
    <w:p>
      <w:pPr>
        <w:ind w:right="200"/>
        <w:spacing w:after="0" w:line="263" w:lineRule="auto"/>
        <w:rPr>
          <w:sz w:val="20"/>
          <w:szCs w:val="20"/>
          <w:color w:val="auto"/>
        </w:rPr>
      </w:pPr>
      <w:r>
        <w:rPr>
          <w:rFonts w:ascii="Arial" w:cs="Arial" w:eastAsia="Arial" w:hAnsi="Arial"/>
          <w:sz w:val="18"/>
          <w:szCs w:val="18"/>
          <w:color w:val="auto"/>
        </w:rPr>
        <w:t>“I’m excited to continue being a part of the team as CTO. Our progress towards building scalable quantum computers has been a full team accomplishment, and I look forward to continuing to lead these great teams of engineers and physicists as we work towards quantum advantage,” says Harburn.</w:t>
      </w: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Rigetti Computing</w:t>
      </w:r>
    </w:p>
    <w:p>
      <w:pPr>
        <w:spacing w:after="0" w:line="121" w:lineRule="exact"/>
        <w:rPr>
          <w:sz w:val="24"/>
          <w:szCs w:val="24"/>
          <w:color w:val="auto"/>
        </w:rPr>
      </w:pPr>
    </w:p>
    <w:p>
      <w:pPr>
        <w:ind w:right="100"/>
        <w:spacing w:after="0" w:line="293" w:lineRule="auto"/>
        <w:rPr>
          <w:sz w:val="20"/>
          <w:szCs w:val="20"/>
          <w:color w:val="auto"/>
        </w:rPr>
      </w:pPr>
      <w:r>
        <w:rPr>
          <w:rFonts w:ascii="Arial" w:cs="Arial" w:eastAsia="Arial" w:hAnsi="Arial"/>
          <w:sz w:val="16"/>
          <w:szCs w:val="16"/>
          <w:color w:val="auto"/>
        </w:rPr>
        <w:t xml:space="preserve">Rigetti Computing is a pioneer in full-stack quantum computing. The company has operated quantum computers over the cloud since 2017 and serves global enterprise, government, and research clients through its Rigetti Quantum Cloud Services platform. The company’s proprietary quantum-classical infrastructure provides ultra-low latency integration with public and private clouds for high-performance practical quantum computing. Rigetti has developed the industry’s first multi-chip quantum processor for scalable quantum computing systems. The company designs and manufactures its chips in-house at Fab-1, the industry’s first dedicated and integrated quantum device manufacturing facility. Rigetti was founded in 2013 by Chad Rigetti and today employs more than 140 people with offices in the United States, U.K., and Australia. Learn more at </w:t>
      </w:r>
      <w:r>
        <w:rPr>
          <w:rFonts w:ascii="Arial" w:cs="Arial" w:eastAsia="Arial" w:hAnsi="Arial"/>
          <w:sz w:val="16"/>
          <w:szCs w:val="16"/>
          <w:u w:val="single" w:color="auto"/>
          <w:color w:val="auto"/>
        </w:rPr>
        <w:t>www.rigetti.com</w:t>
      </w:r>
      <w:r>
        <w:rPr>
          <w:rFonts w:ascii="Arial" w:cs="Arial" w:eastAsia="Arial" w:hAnsi="Arial"/>
          <w:sz w:val="16"/>
          <w:szCs w:val="16"/>
          <w:color w:val="auto"/>
        </w:rPr>
        <w:t>.</w:t>
      </w:r>
    </w:p>
    <w:p>
      <w:pPr>
        <w:sectPr>
          <w:pgSz w:w="11900" w:h="16838" w:orient="portrait"/>
          <w:cols w:equalWidth="0" w:num="1">
            <w:col w:w="11020"/>
          </w:cols>
          <w:pgMar w:left="440" w:top="229" w:right="439" w:bottom="1440" w:gutter="0" w:footer="0" w:header="0"/>
        </w:sectPr>
      </w:pPr>
    </w:p>
    <w:bookmarkStart w:id="1" w:name="page2"/>
    <w:bookmarkEnd w:id="1"/>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Rigetti announced in October 2021 that it had entered into an agreement and plan to merge with Supernova Partners Acquisition Company II, Ltd. (NYSE: SNII) (“Supernova”), a publicly traded special purpose acquisition company. The proposed business combination is subject to the approval of Supernova stockholders and other closing conditions. Following completion of the proposed business combination, the combined company will be named Rigetti Computing, Inc. and its common stock is expected to be listed on the NASDAQ under the ticker “RGTI.”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Supernova</w:t>
      </w:r>
    </w:p>
    <w:p>
      <w:pPr>
        <w:spacing w:after="0" w:line="121"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Supernova is led by Michael Clifton, who was most recently a technology investor at The Carlyle Group; Robert Reid, a long-time senior partner at Blackstone; Spencer Rascoff, a serial entrepreneur who co-founded Hotwire, Zillow, dot.LA and Pacaso and who led Zillow as CEO for nearly a decade; and Alexander Klabin, founder and CEO of Ancient and former managing partner, co-CIO and co-founder of Senator Investment Group.</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the previously announced proposed business combination between Rigetti and Supernova, Supernova has filed a registration statement on Form S-4 (as amended, the “Form S-4”) with the SEC, which includes a proxy statement/prospectus, that is both the proxy statement to be distributed to holders of Supernova’s ordinary shares in connection with its solicitation of proxies for the vote by Supernova’s shareholders with respect to the proposed business combination and other matters as may be described in the registration statement, as well as the prospectus relating to the offer and sale of the securities to be issued in the business combination. Supernova has mailed a definitive proxy statement/prospectus and other relevant documents to its shareholders. This communication does not contain all the information that should be considered concerning the proposed business combination and is not intended to form the basis of any investment decision or any other decision in respect of the business combination. Supernova’s shareholders and other interested persons are advised to read the definitive proxy statement/prospectus and other documents filed in connection with the proposed business combination, as these materials will contain important information about Rigetti, Supernova and the business combination. The Registration Statement was declared effective by the SEC on February 9, 2022 and the definitive proxy statement/prospectus and other relevant documents were mailed to shareholders of Supernova as of the record date established for voting on the proposed Business Combination and the other proposals regarding the Business Combination. Shareholders are also able to obtain copies of the definitive proxy statement and other documents filed with the SEC, without charge, at the SEC’s website at www.sec.gov, or by directing a request to Supernova’s secretary at 4301 50th Street NW, Suite 300 PMB 1044, Washington, D.C. 20016, (202) 918-7050.</w:t>
      </w:r>
    </w:p>
    <w:p>
      <w:pPr>
        <w:sectPr>
          <w:pgSz w:w="11900" w:h="16838" w:orient="portrait"/>
          <w:cols w:equalWidth="0" w:num="1">
            <w:col w:w="10940"/>
          </w:cols>
          <w:pgMar w:left="440" w:top="274" w:right="5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Supernova and its directors and executive officers may be deemed participants in the solicitation of proxies from Supernova’s shareholders with respect to the proposed business combination. A list of the names of those directors and executive officers and a description of their interests in Supernova is contained in Supernova’s definitive proxy statement/prospectus, which was filed with the SEC and is available free of charge at the SEC’s website at www.sec.gov. To the extent such holdings of Supernova’s securities may have changed since that time, such changes have been or will be reflected on Statements of Change in Ownership on Form 4 filed with the SEC.</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Rigetti and its directors and executive officers may also be deemed to be participants in the solicitation of proxies from the shareholders of Supernova in connection with the proposed business combination. A list of the names of such directors and executive officers and information regarding their interests in the proposed business combination is included in the proxy statement/prospectus for the proposed business combination.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This communication does not constitute (i) a solicitation of a proxy, consent or authorization with respect to any securities or in respect of the proposed business combination or (ii) an offer to sell, a solicitation of an offer to buy, or a recommendation to purchase any security of Supernova, Rigetti, or any of their respective affiliates.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Certain statements in this communication may be considered forward-looking statements. Forward-looking statements generally relate to future events and can be identified by terminology such as “pro forma”, “may”, “should”, “could”, “might”, “plan”, “possible”, “project”, “strive”, “budget”, “forecast”, “expect”, “intend”, “will”, “estimate”, “anticipate”, “believe”, “predict”, “potential”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 These forward-looking statements are based upon estimates and assumptions that, while considered reasonable by Supernova and its management, and Rigetti and its management, as the case may be, are inherently uncertain. Factors that may cause actual results to differ materially from current expectations include, but are not limited to: the outcome of any legal proceedings that may be instituted against Supernova, Rigetti, the combined company or others following the announcement of the business combination and any definitive agreements with respect thereto; the inability to complete the proposed business combination due to the failure to obtain approval of the shareholders of Supernova or to satisfy other conditions to closing; changes to the proposed structure of the business combination that may be required or appropriate as a result of applicable laws or regulations or as a condition to obtaining regulatory approval of the business combination; the ability to meet stock exchange listing standards following the consummation of the business combination; the risk that the proposed business combination disrupts current plans and operations of Rigetti as a result of</w:t>
      </w:r>
    </w:p>
    <w:p>
      <w:pPr>
        <w:sectPr>
          <w:pgSz w:w="11900" w:h="16838" w:orient="portrait"/>
          <w:cols w:equalWidth="0" w:num="1">
            <w:col w:w="11000"/>
          </w:cols>
          <w:pgMar w:left="440" w:top="270" w:right="459" w:bottom="1440" w:gutter="0" w:footer="0" w:header="0"/>
        </w:sectPr>
      </w:pPr>
    </w:p>
    <w:bookmarkStart w:id="3" w:name="page4"/>
    <w:bookmarkEnd w:id="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announcement and consummation of the proposed business combination;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costs related to the business combination; changes in applicable laws or regulations; the possibility that Rigetti or the combined company may be adversely affected by other economic, business, or competitive factors; Rigetti’s estimates of expenses and profitability; the evolution of the markets in which Rigetti competes; the ability of Rigetti to execute on its technology roadmap; the ability of Rigetti to implement its strategic initiatives, expansion plans and continue to innovate its existing services; the impact of the COVID-19 pandemic on Rigetti’s business; and other risks and uncertainties set forth in the sections entitled “Risk Factors” and “Cautionary Note Regarding Forward-Looking Statements” in the registration statement on Form S-4 and proxy statement/prospectus discussed above and other documents filed by Supernova from time to time with the SEC.</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Supernova nor Rigetti undertakes any duty to update these forward-looking statements.</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2022-02-24T08:19:25Z</dcterms:created>
  <dcterms:modified xsi:type="dcterms:W3CDTF">2022-02-24T08:19:25Z</dcterms:modified>
</cp:coreProperties>
</file>