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RIGETTI COMPUTING, INC.</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001-40140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88-0950636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565" w:right="339" w:bottom="1440" w:gutter="0" w:footer="0" w:header="0"/>
          <w:type w:val="continuous"/>
        </w:sectPr>
      </w:pPr>
    </w:p>
    <w:p>
      <w:pPr>
        <w:spacing w:after="0" w:line="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775 Heinz Avenue, Berkeley, California</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94710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6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210-5550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52"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r>
      <w:tr>
        <w:trPr>
          <w:trHeight w:val="238"/>
        </w:trPr>
        <w:tc>
          <w:tcPr>
            <w:tcW w:w="5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RGTI</w:t>
            </w:r>
          </w:p>
        </w:tc>
        <w:tc>
          <w:tcPr>
            <w:tcW w:w="2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RGTIW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62"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8.01 below is incorporated by reference herein. It is expected that the offer and sale of the securities by the Company (as defined below) will be made in reliance upon an exemption from registration under the Securities Act of 1933, pursuant to Section 4(a)(2) thereof and/or Regulation D for a sale of securities in transactions not involving any public offering.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Rigetti Computing, Inc. (the “Company”) issued a press release announcing the entry by its wholly-owned subsidiary, Rigetti &amp; Co, LLC (“Rigetti Sub”), into the Letter of Intent (as defined below). A copy of the press release is furnished as Exhibit 99.1 to this Current Report on Form 8-K (this “Current Report”) and is hereby incorporated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Item 7.01 of this Current Report (including Exhibit 99.1 hereto) is being furnished and shall not be deemed “filed” for purposes of Section 18 of the Securities Exchange Act of 1934, as amended (the “Exchange Act”), or otherwise subject to liabilities of that section, and shall not be deemed incorporated by reference into any filing under the Exchange Act or the Securities Act of 1933, as amended, except as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2026, Rigetti Sub entered into a letter of intent (the “Letter of Intent”) with the U.S. Department of Commerce with respect to a proposed $100 million award (the “Award”) under the U.S. CHIPS and Science Act over a three-year period to accelerate superconducting quantum computing research and development. The Letter of Intent contemplates that the Department will be issued shares of the Company’s common stock in an amount consistent with the total amount of the Award. The implied issuance price for the shares will be the lowest reported closing price per share on: (i) the date that the first draft of the letter of intent was transmitted from the Department to Rigetti Sub (May 5, 2026), (ii) the date that the LOI is executed by Rigetti LLC and the Department (May 20, 2026), and (iii) the date the award is issued, in each case, discounted by fifteen percent (15%). Pursuant to the LOI, the Company and the Department have agreed to negotiate in good faith to enter into definitive transaction agreements with respect to the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Current Report may be considered “forward-looking statements” within the meaning of the federal securities laws, including with respect to the Company’s expectations regarding its future success and performance including expectations with respect to its research and development; the ability of the Company and the Department to successfully enter into definitive transaction agreements as contemplated in the Letter of Intent; the Company’s ability to receive funding amounts as contemplated by the Letter of Intent including the timeline for any such funding; and the issuance of securities by the Company to the Department as part of the transaction.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 and the Department’s ability to enter into definitive transaction agreements; the timing of entry into any such definitive transaction agreements; potential impact on the Company, its business and price of its securities with respect to the transactions contemplated by the Letter of Intent and definitive transaction agreements; the Company’s issuance of securities to the Department pursuant to the transaction (including dilution to existing stockholders); the Company’s ability to achieve milestones, technological advancements, including with respect to its technology roadmap; Company’s ability to deliver products to customers in time or at all, including actions by customers, such as controls over their facilities and cancelling orders; the ability of the Company to obtain government contracts successfully and in a timely manner and the availability of government funding; the potential of quantum computing; the success of the Company’s partnerships and collaborations; the Company’s ability to accelerate its development of multiple generations of quantum processors; the outcome of any legal proceedings that may be instituted against the Company or others; the ability to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expansion plans; the expected use of proceeds from the Company’s past and future financings or other capital; the sufficiency of the Company’s cash resources; unfavorable conditions in the Company’s industry, the global economy or global supply chain, including rising inflation and interest rates, deteriorating international trade relations, political turmoil, natural catastrophes, military conflicts, and terrorist attacks; and other risks and uncertainties set forth in the section entitled “Risk Factors” and “Cautionary Note Regarding Forward-Looking Statements” in the Company’s Annual Report on Form 10-K for the year ended December 31, 2025 and Quarterly Report on Form 10-Q for the quarter ended March 31, 2026 and other documents filed by the Company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the Company on May 21, 2026.</w:t>
      </w:r>
    </w:p>
    <w:p>
      <w:pPr>
        <w:spacing w:after="0" w:line="225"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7"/>
          <w:szCs w:val="17"/>
          <w:b w:val="1"/>
          <w:bCs w:val="1"/>
          <w:color w:val="auto"/>
        </w:rPr>
        <w:t>RIGETTI COMPUTING,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Bertelsen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Signs Letter of Intent with U.S. Government for Quantum Computing Research</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Rigetti announces that it has signed a letter of intent with the U.S. Department of Commerce for an award of up to $100 million to accelerate R&amp;D projects addressing key technical challenges in scaling and advancing superconducting quantum computers.</w:t>
      </w:r>
    </w:p>
    <w:p>
      <w:pPr>
        <w:spacing w:after="0" w:line="16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Berkeley, CA -- Rigetti Computing, Inc. (Nasdaq: RGTI) (“Rigetti” or the “Company”), a pioneer in full-stack quantum-classical computing, today announced that it has signed a letter of intent (“LOI”) with the U.S. Department of Commerce (the “Department”) for an award of up to $100 million in funding over three years to accelerate superconducting quantum computing R&amp;D.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funding is allocated under the CHIPS Research and Development Office Broad Agency Announcement pursuant to the CHIPS Act to grow U.S. leadership in emerging technologies, including quantum computing. The LOI contemplates that the Department will receive an equity stake in Rigetti consistent with the total amount of the funding. Under the LOI, Rigetti would pursue R&amp;D projects that address major technical challenges in scaling and advancing superconducting quantum computing.</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“Quantum computing will have far reaching impacts on our nation’s national security, economic interests, and overall prosperity,” said Dr. Subodh Kulkarni, Rigetti’s CEO. “We are honored that the U.S. government is seeking to partner with Rigetti to accelerate the pace of quantum computing commercialization and to bolster U.S. leadership in this revolutionary field. This investment will allow us to tackle key scaling bottlenecks more rapidly and get us closer to utility-scale quantum computing.”</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“With today’s CHIPS Research and Development investments in quantum computing, the Trump administration is leading the world into a new era of American innovation,” said Secretary of Commerce Howard Lutnick. “These strategic quantum technology investments will build on our domestic industry, creating thousands of high-paying American jobs while advancing American quantum capabilities.”</w:t>
      </w:r>
    </w:p>
    <w:p>
      <w:pPr>
        <w:spacing w:after="0" w:line="176"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Department of Commerce’s incentives strengthen and accelerate U.S. quantum leadership and technological resilience,” said Bill Frauenhofer, Executive Director of Semiconductor Investment and Innovation. “Quantum computing has significant implications for national defense, advanced materials and biopharmaceutical discovery, financial modeling and energy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Rigetti</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Rigetti is a pioneer in full-stack quantum computing. Rigetti quantum computers are based on superconducting qubits, which are widely believed to be the leading qubit modality given their maturity, clear path to scaling, and fast gate speeds. Rigetti quantum computing systems achieve gate speeds of 50-70 nanoseconds, which is about 1,000 times faster than alternative modalities such as trapped-ion and neutral-atom systems.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Rigetti sells on-premises 9-qubit to 108-qubit quantum computing systems, which support national laboratories and quantum computing centers. Rigetti’s Cepheus 36-qubit to 108-qubit systems are based on the Company’s proprietary chiplet-based technology and include the Company’s control electronics. Rigetti’s 9-qubit Novera QPU supports a broader R&amp;D community with a high-performance, on-premises QPU designed to plug into a customer’s existing cryogenic and control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operates quantum computers over the cloud through its Rigetti Quantum Cloud Services (QCS) platform, enabling global enterprise, government, and research clients to pursue R&amp;D. The Company’s proprietary quantum-classical infrastructure provides high-performance integration with public and private clouds for practical quantum computing.</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Rigetti developed the industry’s first multi-chip quantum processor for scalable quantum computing systems. Leveraging this proprietary technology, Rigetti deployed the industry’s largest multi-chip quantum computer in 2026 with Cepheus-1-108Q, based on twelve 9-qubit chiplets tiled together. The Company designs and manufactures its chips in-house at Fab-1, the industry’s first dedicated and integrated quantum device manufacturing facility. Learn more at </w:t>
      </w:r>
      <w:r>
        <w:rPr>
          <w:rFonts w:ascii="Times New Roman" w:cs="Times New Roman" w:eastAsia="Times New Roman" w:hAnsi="Times New Roman"/>
          <w:sz w:val="18"/>
          <w:szCs w:val="18"/>
          <w:u w:val="single" w:color="auto"/>
          <w:color w:val="auto"/>
        </w:rPr>
        <w:t>https://www.rigetti.com/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Rigetti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press@rigetti.com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and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federal securities laws, including with respect to the Company’s expectations regarding its future success and performance including expectations with respect to its R&amp;D, ability to tackle key scaling bottlenecks more rapidly, and ability to get closer to utility-scale quantum computing; expectations on quantum computing’s ability to have far reaching impacts on the nation’s national security, economic interests, and overall prosperity; the ability of the Company and the Department to successfully enter into definitive transaction agreements as contemplated in the LOI; the Company’s ability to receive funding amounts as contemplated by the LOI including the timeline for such funding; and the issuance of securities by the Company to the Department as part of the transaction.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 and the Department’s ability to enter into definitive transaction agreements; the timing of entry into any such definitive transaction agreements; potential impact on the Company, its business and price of its securities with respect to the transactions contemplated by the LOI and definitive transaction agreements; the Company’s issuance of securities to the Department pursuant to the transaction (including dilution to existing stockholders); the Company’s ability to achieve milestones, technological advancements, including with respect to its technology roadmap; Company’s ability to deliver products to customers in time or at all, including actions by customers, such as controls over their facilities and cancelling orders; the ability of the Company to obtain government contracts successfully and in a timely manner and the availability of government funding; the potential of quantum computing; the success of the Company’s partnerships and collaborations; the Company’s ability to accelerate its development of multiple generations of quantum processors; the outcome of any legal proceedings that may be instituted against the Company or others; the ability to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expansion plans; the expected use of proceeds from the Company’s past and future financings or other capital; the sufficiency of the Company’s cash resources; unfavorable conditions in the Company’s industry, the global economy or global supply chain, including rising inflation and interest rates, deteriorating international trade relations, political turmoil, natural catastrophes, military conflicts, and terrorist attacks; and other risks and uncertainties set forth in the section entitled “Risk Factors” and “Cautionary Note Regarding Forward-Looking Statements” in the Company’s Annual Report on Form 10-K for the year ended December 31, 2025 and Quarterly Report on Form 10-Q for the quarter ended March 31, 2026 and other documents filed by the Company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2026-05-21T06:32:22Z</dcterms:created>
  <dcterms:modified xsi:type="dcterms:W3CDTF">2026-05-21T06:32:22Z</dcterms:modified>
</cp:coreProperties>
</file>