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50930x10q.htm"/>
        <w:bookmarkStart w:id="1" w:name="ksrgti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dc1d8140_2470_4d44_b276_deef9feb72c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September 30, 2025</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ct6fBWeP-0CM_lHyvUTSkQ_7_1"/>
      <w:bookmarkStart w:id="4" w:name="Tc_-8-XiWOMEkeLAtsKcunUeg_7_0"/>
      <w:bookmarkStart w:id="5" w:name="Tc_5j-bj23HKk-id4FjD2pZQw_6_0"/>
      <w:bookmarkStart w:id="6" w:name="Tc_B6MTgYklO0O4ao07rnrftQ_3_1"/>
      <w:bookmarkStart w:id="7" w:name="Tc_MerrBCHjCEqSq9WSVAPrBA_3_0"/>
      <w:bookmarkStart w:id="8" w:name="Tc_Y7t8OqO2aUykZaNCZyWyig_2_1"/>
      <w:bookmarkStart w:id="9" w:name="Tc_mSpnJ-3m1UGXUS33xrjQSQ_2_0"/>
      <w:bookmarkStart w:id="10" w:name="_dfc1e86d_ec87_4945_a6b1_fd30f03e93cd"/>
      <w:bookmarkStart w:id="11" w:name="Tc_ct6fBWeP-0CM_lHyvUTSkQ_7_1"/>
      <w:bookmarkStart w:id="12" w:name="Tc_-8-XiWOMEkeLAtsKcunUeg_7_0"/>
      <w:bookmarkStart w:id="13" w:name="Tc_5j-bj23HKk-id4FjD2pZQw_6_0"/>
      <w:bookmarkStart w:id="14" w:name="Tc_B6MTgYklO0O4ao07rnrftQ_3_1"/>
      <w:bookmarkStart w:id="15" w:name="Tc_MerrBCHjCEqSq9WSVAPrBA_3_0"/>
      <w:bookmarkStart w:id="16" w:name="Tc_Y7t8OqO2aUykZaNCZyWyig_2_1"/>
      <w:bookmarkStart w:id="17" w:name="Tc_mSpnJ-3m1UGXUS33xrjQSQ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45DUEQ0aX0ifMSrUdgFEGA_4_4"/>
      <w:bookmarkStart w:id="20" w:name="Tc_Im4V2zMtxkKNkGyt1Z120g_3_4"/>
      <w:bookmarkStart w:id="21" w:name="Tc_ur-Vlzq-4EGBq-z5KJRvjg_1_4"/>
      <w:bookmarkStart w:id="22" w:name="Tc_PPHkROrlJk2K-f7AOpN1Xg_1_2"/>
      <w:bookmarkStart w:id="23" w:name="Tc_AWx-pdmE_kexz_txSjHSLQ_1_0"/>
      <w:bookmarkStart w:id="24" w:name="_5984a18d_87b3_46a4_9531_5d4b401e2ea4"/>
      <w:bookmarkStart w:id="25" w:name="Tc_45DUEQ0aX0ifMSrUdgFEGA_4_4"/>
      <w:bookmarkStart w:id="26" w:name="Tc_Im4V2zMtxkKNkGyt1Z120g_3_4"/>
      <w:bookmarkStart w:id="27" w:name="Tc_ur-Vlzq-4EGBq-z5KJRvjg_1_4"/>
      <w:bookmarkStart w:id="28" w:name="Tc_PPHkROrlJk2K-f7AOpN1Xg_1_2"/>
      <w:bookmarkStart w:id="29" w:name="Tc_AWx-pdmE_kexz_txSjHSLQ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7h7GyA8FA0-tzKj8b8m-UQ_3_2"/>
      <w:bookmarkStart w:id="32" w:name="Tc_2Ncivr5frEeAvg7dwlj5yw_2_2"/>
      <w:bookmarkStart w:id="33" w:name="Tc__QK7cDsZx0iHlTfbQDEVMQ_2_1"/>
      <w:bookmarkStart w:id="34" w:name="Tc_XxEseB30mke0MO9XA6HbcQ_1_3"/>
      <w:bookmarkStart w:id="35" w:name="Tc_S4Ea_Ru6Dkq2acOvEysHfg_1_2"/>
      <w:bookmarkStart w:id="36" w:name="Tc_vAqbUTDQZ0usXzVAQv8iCg_1_1"/>
      <w:bookmarkStart w:id="37" w:name="Tc_ppd6wdFNnkKD9yKCuAW67A_1_0"/>
      <w:bookmarkStart w:id="38" w:name="_29c24b4a_0c86_4bba_8642_6971b7ff25cf"/>
      <w:bookmarkStart w:id="39" w:name="Tc_7h7GyA8FA0-tzKj8b8m-UQ_3_2"/>
      <w:bookmarkStart w:id="40" w:name="Tc_2Ncivr5frEeAvg7dwlj5yw_2_2"/>
      <w:bookmarkStart w:id="41" w:name="Tc__QK7cDsZx0iHlTfbQDEVMQ_2_1"/>
      <w:bookmarkStart w:id="42" w:name="Tc_XxEseB30mke0MO9XA6HbcQ_1_3"/>
      <w:bookmarkStart w:id="43" w:name="Tc_S4Ea_Ru6Dkq2acOvEysHfg_1_2"/>
      <w:bookmarkStart w:id="44" w:name="Tc_vAqbUTDQZ0usXzVAQv8iCg_1_1"/>
      <w:bookmarkStart w:id="45" w:name="Tc_ppd6wdFNnkKD9yKCuAW67A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November 6, 2025, there were 330,026,078 shares of the registrant’s Common Stock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TOC"/>
      <w:bookmarkStart w:id="48" w:name="_64ce0ebc_5007_4222_94b4_f4f55bdfb7bd"/>
      <w:bookmarkEnd w:id="47"/>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_CONDENSED_CONSOLIDATED_BALANCE">
              <w:r>
                <w:rPr>
                  <w:rStyle w:val="InternetLink"/>
                  <w:rFonts w:ascii="Times New Roman;Times;serif" w:hAnsi="Times New Roman;Times;serif"/>
                  <w:b w:val="false"/>
                  <w:i w:val="false"/>
                  <w:caps w:val="false"/>
                  <w:smallCaps w:val="false"/>
                  <w:sz w:val="20"/>
                </w:rPr>
                <w:t>Condensed Consolidated Balance Sheets as of September 30, 2025 and December 31,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Loss for the Three and Nine Months ended September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372875">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82e7e2bf_b2e6_4089_b7a2_65d6e189f4e9"/>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Most of such risks and uncertainties are difficult to predict and many are beyond our control. Discussion of the risks and uncertainties material to our business can be found under “Risk Factors” in Part I, Item 1A of our Annual Report on Form 10-K for the year ended December 31, 2024, as updated under “Risk Factors” in Part II, Item 1A of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Given such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2024 materialize, or should underlying assumptions prove incorrect, actual results and plans could differ materially from those expressed in any forward-looking statements.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Also, these forward-looking statements represent our plans, objectives, estimates, expectations, assumptions, and intentions only as of the date of this filing.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Forward-looking statements in this Quarterly Report on Form 10-Q may include, for example, statements about:</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including the expectation of releasing a 100+ qubit chiplet-based system with a 99.5% median two-qubit gate fidelity before the end of 2025, and developing practical applications,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p>
      <w:pPr>
        <w:pStyle w:val="TextBody"/>
        <w:pBdr/>
        <w:bidi w:val="0"/>
        <w:spacing w:before="0" w:after="240"/>
        <w:ind w:left="547" w:right="0" w:hanging="547"/>
        <w:jc w:val="both"/>
        <w:rPr/>
      </w:pPr>
      <w:r>
        <w:rPr/>
        <w:t>​</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timeline to monetize our investments in quantum computing, if at all,</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 including the recent Collaboration Agreement with Quanta Computer, Inc. (“Quanta”),</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future and ongoing military conflicts and wars around the world and sanctions related thereto and trade protections and tariffs), levels of future economic activity, inflation, interest rates and financial and credit market fluctuations,</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global economic and geopolitical conditions, government shutdowns, disruptions to and volatility and uncertainty in the credit and financial markets, uncertainty in levels of future economic activity, inflation and interest rates,</w:t>
            </w:r>
          </w:p>
        </w:tc>
      </w:tr>
    </w:tbl>
    <w:p>
      <w:pPr>
        <w:pStyle w:val="TextBody"/>
        <w:bidi w:val="0"/>
        <w:spacing w:before="0" w:after="240"/>
        <w:ind w:left="1094"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547" w:right="0" w:hanging="547"/>
        <w:jc w:val="left"/>
        <w:rPr/>
      </w:pPr>
      <w:r>
        <w:rPr/>
        <w:t>​</w:t>
      </w:r>
    </w:p>
    <w:p>
      <w:pPr>
        <w:pStyle w:val="TextBody"/>
        <w:pBdr/>
        <w:bidi w:val="0"/>
        <w:spacing w:before="0" w:after="240"/>
        <w:ind w:left="547" w:right="0" w:hanging="547"/>
        <w:jc w:val="both"/>
        <w:rPr/>
      </w:pPr>
      <w:r>
        <w:rPr/>
        <w:t>​</w:t>
      </w:r>
    </w:p>
    <w:p>
      <w:pPr>
        <w:pStyle w:val="TextBody"/>
        <w:bidi w:val="0"/>
        <w:spacing w:before="0" w:after="240"/>
        <w:ind w:left="0" w:right="0" w:hanging="0"/>
        <w:jc w:val="both"/>
        <w:rPr/>
      </w:pPr>
      <w:r>
        <w:rPr/>
        <w:t>​</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p>
      <w:pPr>
        <w:pStyle w:val="TextBody"/>
        <w:pBdr/>
        <w:bidi w:val="0"/>
        <w:spacing w:before="0" w:after="0"/>
        <w:ind w:left="547" w:right="0" w:hanging="547"/>
        <w:jc w:val="left"/>
        <w:rPr/>
      </w:pPr>
      <w:r>
        <w:rPr/>
        <w:t>​</w:t>
      </w:r>
    </w:p>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p>
      <w:pPr>
        <w:pStyle w:val="TextBody"/>
        <w:pBdr/>
        <w:bidi w:val="0"/>
        <w:spacing w:before="0" w:after="0"/>
        <w:ind w:left="547" w:right="0" w:hanging="547"/>
        <w:jc w:val="left"/>
        <w:rPr/>
      </w:pPr>
      <w:r>
        <w:rPr/>
        <w:t>​</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p>
      <w:pPr>
        <w:pStyle w:val="TextBody"/>
        <w:pBdr/>
        <w:bidi w:val="0"/>
        <w:spacing w:before="0" w:after="0"/>
        <w:ind w:left="547" w:right="0" w:hanging="547"/>
        <w:jc w:val="left"/>
        <w:rPr/>
      </w:pPr>
      <w:r>
        <w:rPr/>
        <w:t>​</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and manage growth profitably, maintain relationships with customers and suppliers and retain our management and key employees,</w:t>
            </w:r>
          </w:p>
        </w:tc>
      </w:tr>
    </w:tbl>
    <w:p>
      <w:pPr>
        <w:pStyle w:val="TextBody"/>
        <w:pBdr/>
        <w:bidi w:val="0"/>
        <w:spacing w:before="0" w:after="24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related to operating as a public company, including the additional costs associated with the pending loss of our smaller reporting company (“SRC”) status under the current rules of the Securities and Exchange Commission (the “SEC”), </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attention necessary with respect to our increased disclosure and compliance obligations associated with the pending loss of our SRC status under the current rules of the SEC.</w:t>
            </w:r>
          </w:p>
        </w:tc>
      </w:tr>
    </w:tbl>
    <w:p>
      <w:pPr>
        <w:pStyle w:val="TextBody"/>
        <w:pBdr/>
        <w:bidi w:val="0"/>
        <w:spacing w:before="0" w:after="0"/>
        <w:ind w:left="547" w:right="0" w:hanging="547"/>
        <w:jc w:val="left"/>
        <w:rPr/>
      </w:pPr>
      <w:r>
        <w:rPr/>
        <w:t>​</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effective internal controls over financial reporting,</w:t>
            </w:r>
          </w:p>
        </w:tc>
      </w:tr>
    </w:tbl>
    <w:p>
      <w:pPr>
        <w:pStyle w:val="TextBody"/>
        <w:pBdr/>
        <w:bidi w:val="0"/>
        <w:spacing w:before="0" w:after="0"/>
        <w:ind w:left="547" w:right="0" w:hanging="547"/>
        <w:jc w:val="left"/>
        <w:rPr/>
      </w:pPr>
      <w:r>
        <w:rPr/>
        <w:t>​</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international trade policies and tax legislation,</w:t>
            </w:r>
          </w:p>
        </w:tc>
      </w:tr>
    </w:tbl>
    <w:p>
      <w:pPr>
        <w:pStyle w:val="TextBody"/>
        <w:pBdr/>
        <w:bidi w:val="0"/>
        <w:spacing w:before="0" w:after="0"/>
        <w:ind w:left="547" w:right="0" w:hanging="547"/>
        <w:jc w:val="both"/>
        <w:rPr/>
      </w:pPr>
      <w:r>
        <w:rPr/>
        <w:t>​</w:t>
      </w:r>
    </w:p>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p>
      <w:pPr>
        <w:pStyle w:val="TextBody"/>
        <w:pBdr/>
        <w:bidi w:val="0"/>
        <w:spacing w:before="0" w:after="0"/>
        <w:ind w:left="547" w:right="0" w:hanging="547"/>
        <w:jc w:val="left"/>
        <w:rPr/>
      </w:pPr>
      <w:r>
        <w:rPr/>
        <w:t>​</w:t>
      </w:r>
    </w:p>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p>
      <w:pPr>
        <w:pStyle w:val="TextBody"/>
        <w:pBdr/>
        <w:bidi w:val="0"/>
        <w:spacing w:before="0" w:after="0"/>
        <w:ind w:left="547" w:right="0" w:hanging="547"/>
        <w:jc w:val="left"/>
        <w:rPr/>
      </w:pPr>
      <w:r>
        <w:rPr/>
        <w:t>​</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and our ability to raise additional capital when needed and on attractive terms,</w:t>
            </w:r>
          </w:p>
        </w:tc>
      </w:tr>
    </w:tbl>
    <w:p>
      <w:pPr>
        <w:pStyle w:val="TextBody"/>
        <w:pBdr/>
        <w:bidi w:val="0"/>
        <w:spacing w:before="0" w:after="0"/>
        <w:ind w:left="547" w:right="0" w:hanging="547"/>
        <w:jc w:val="left"/>
        <w:rPr/>
      </w:pPr>
      <w:r>
        <w:rPr/>
        <w:t>​</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p>
      <w:pPr>
        <w:pStyle w:val="TextBody"/>
        <w:pBdr/>
        <w:bidi w:val="0"/>
        <w:spacing w:before="0" w:after="0"/>
        <w:ind w:left="547" w:right="0" w:hanging="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 and</w:t>
            </w:r>
          </w:p>
        </w:tc>
      </w:tr>
    </w:tbl>
    <w:p>
      <w:pPr>
        <w:pStyle w:val="TextBody"/>
        <w:pBdr/>
        <w:bidi w:val="0"/>
        <w:spacing w:before="0" w:after="0"/>
        <w:ind w:left="547" w:right="0" w:hanging="547"/>
        <w:jc w:val="both"/>
        <w:rPr/>
      </w:pPr>
      <w:r>
        <w:rPr/>
        <w:t>​</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w:t>
            </w:r>
          </w:p>
        </w:tc>
      </w:tr>
    </w:tbl>
    <w:p>
      <w:pPr>
        <w:pStyle w:val="TextBody"/>
        <w:bidi w:val="0"/>
        <w:spacing w:before="0" w:after="0"/>
        <w:ind w:left="1094"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547"/>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58aa1a1c_d61b_4f78_a892_cb90a6884723"/>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4" w:name="Balance_Sheets"/>
      <w:bookmarkEnd w:id="54"/>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5" w:name="INTERIMCONDENSEDCONSOLIDATEDBALANCESHEET"/>
      <w:bookmarkStart w:id="56" w:name="_CONDENSED_CONSOLIDATED_BALANCE"/>
      <w:bookmarkEnd w:id="55"/>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7" w:name="Tc_94E836Ua30CKLL1WEPpNMQ_37_5"/>
      <w:bookmarkStart w:id="58" w:name="Tc_qUYOJBs03UKp7Tg00urDdA_37_2"/>
      <w:bookmarkStart w:id="59" w:name="Tc_rNCo7bTb3k-inEtb07fk2Q_37_0"/>
      <w:bookmarkStart w:id="60" w:name="Tc_4DeJqLKjzkGgeEulfTrVJQ_36_0"/>
      <w:bookmarkStart w:id="61" w:name="Tc_DHJD1GkzQEe4eZx6pTYJFw_35_0"/>
      <w:bookmarkStart w:id="62" w:name="Tc_67_teGVe_EeFLbyUpW4-mw_34_0"/>
      <w:bookmarkStart w:id="63" w:name="Tc_OQaQC3fUaEuKnY_pi002Hg_33_0"/>
      <w:bookmarkStart w:id="64" w:name="Tc_My4l9jKpPEKi1-vzPF6YDQ_32_0"/>
      <w:bookmarkStart w:id="65" w:name="Tc_R7V_Y5HyKkOpMqgWxsnkRQ_31_0"/>
      <w:bookmarkStart w:id="66" w:name="Tc_KVfVsQ3DAEO7Z49pB5S3_A_30_0"/>
      <w:bookmarkStart w:id="67" w:name="Tc_TaSQRNzraE2AC0GbpUOy2A_29_0"/>
      <w:bookmarkStart w:id="68" w:name="Tc_QNG1DSQAfEeZvg2OOY9KWw_28_0"/>
      <w:bookmarkStart w:id="69" w:name="Tc_YpjHnJ9SpE-xLZu7aPD51Q_27_3"/>
      <w:bookmarkStart w:id="70" w:name="Tc_wj6o3F2XjEWJP7EHLC4bBw_27_0"/>
      <w:bookmarkStart w:id="71" w:name="Tc_Oqa3qOrMIEmb6-kv1lLdHg_26_0"/>
      <w:bookmarkStart w:id="72" w:name="Tc_GkZsZ3eH_0i2M5SLKGwwBQ_25_0"/>
      <w:bookmarkStart w:id="73" w:name="Tc__uuN9P8WO0uDiyou0JfwwQ_24_0"/>
      <w:bookmarkStart w:id="74" w:name="Tc_2BdQQ1tu40-t4t4-PW6JLw_23_0"/>
      <w:bookmarkStart w:id="75" w:name="Tc_ubATDDeo4UOFBmKSw3G0VA_22_0"/>
      <w:bookmarkStart w:id="76" w:name="Tc_47LvfcO98E-pH-XVdB_jYw_21_3"/>
      <w:bookmarkStart w:id="77" w:name="Tc_5TYV2pOw3E6CYt4Jyrp4Cw_21_0"/>
      <w:bookmarkStart w:id="78" w:name="Tc_BVK3wBE31EC4Ut7rkYl-Ag_20_0"/>
      <w:bookmarkStart w:id="79" w:name="Tc_oFxpbz8QaEaiYWxTIiORQw_19_5"/>
      <w:bookmarkStart w:id="80" w:name="Tc_ggj7aRIsbUCK0dQ24eF9ZQ_19_2"/>
      <w:bookmarkStart w:id="81" w:name="Tc_YDJdGmN0yUag15u7ugNMvg_19_0"/>
      <w:bookmarkStart w:id="82" w:name="Tc_X8RSq-R-Aka_Qv-ooe9XGw_18_0"/>
      <w:bookmarkStart w:id="83" w:name="Tc_6AWfv5oDjkyUYAvg0lZw3Q_17_0"/>
      <w:bookmarkStart w:id="84" w:name="Tc_eeofQ1313kOyLNFx1ajI-g_15_5"/>
      <w:bookmarkStart w:id="85" w:name="Tc_R2oixXkmS06pHd46DPlqtA_15_2"/>
      <w:bookmarkStart w:id="86" w:name="Tc_zIOenCVYEkCkJwS_VUk5rA_15_0"/>
      <w:bookmarkStart w:id="87" w:name="Tc_G0tRVhQJ4Uq_HNfBEySYyw_14_0"/>
      <w:bookmarkStart w:id="88" w:name="Tc_-EXFqsgpOUWo3cvta674Gg_13_0"/>
      <w:bookmarkStart w:id="89" w:name="Tc_coC2q4po1EmsONeVxlrqqQ_12_0"/>
      <w:bookmarkStart w:id="90" w:name="Tc_oyv5ULI2MUC00eYgGZWA4Q_11_0"/>
      <w:bookmarkStart w:id="91" w:name="Tc_NKQxRWN1FE2sh_QnCIMnIw_10_0"/>
      <w:bookmarkStart w:id="92" w:name="Tc_FBzaqzf5aEWkhA6CqrHvdQ_9_0"/>
      <w:bookmarkStart w:id="93" w:name="Tc_xF6NdVtnEkGJGfnPrnycqQ_8_0"/>
      <w:bookmarkStart w:id="94" w:name="Tc_wgXyanpk6k6TWX7zBccexA_7_0"/>
      <w:bookmarkStart w:id="95" w:name="Tc_vC2T16N7L0eJBdZfx9EBrg_6_0"/>
      <w:bookmarkStart w:id="96" w:name="Tc_zxr9Xp5TVUCcmCzN2A-qEg_5_5"/>
      <w:bookmarkStart w:id="97" w:name="Tc_TYgQsWdHsU2yvdq2DxNX1g_5_2"/>
      <w:bookmarkStart w:id="98" w:name="Tc_dwPdGmiXBE-n3se4oxBJaQ_5_0"/>
      <w:bookmarkStart w:id="99" w:name="Tc_vSIRepqTV0yrZ0Zp4jN_oQ_4_0"/>
      <w:bookmarkStart w:id="100" w:name="Tc_xHLeuJlag0yDCpjdVObA8g_3_0"/>
      <w:bookmarkStart w:id="101" w:name="Tc_QDsnJiU1PUWVlTsLfaEnhw_2_5"/>
      <w:bookmarkStart w:id="102" w:name="Tc_yWpiIuJx6USOi2rWpzy3Ag_2_2"/>
      <w:bookmarkStart w:id="103" w:name="Tc_Q9CMwOUo7km9oCBhQk_sJA_1_5"/>
      <w:bookmarkStart w:id="104" w:name="Tc_D2tX4B_vnEiVsSryg46_6Q_1_2"/>
      <w:bookmarkStart w:id="105" w:name="_95bee19d_95c9_4e6b_b568_6985b0035237"/>
      <w:bookmarkStart w:id="106" w:name="Tc_94E836Ua30CKLL1WEPpNMQ_37_5"/>
      <w:bookmarkStart w:id="107" w:name="Tc_qUYOJBs03UKp7Tg00urDdA_37_2"/>
      <w:bookmarkStart w:id="108" w:name="Tc_rNCo7bTb3k-inEtb07fk2Q_37_0"/>
      <w:bookmarkStart w:id="109" w:name="Tc_4DeJqLKjzkGgeEulfTrVJQ_36_0"/>
      <w:bookmarkStart w:id="110" w:name="Tc_DHJD1GkzQEe4eZx6pTYJFw_35_0"/>
      <w:bookmarkStart w:id="111" w:name="Tc_67_teGVe_EeFLbyUpW4-mw_34_0"/>
      <w:bookmarkStart w:id="112" w:name="Tc_OQaQC3fUaEuKnY_pi002Hg_33_0"/>
      <w:bookmarkStart w:id="113" w:name="Tc_My4l9jKpPEKi1-vzPF6YDQ_32_0"/>
      <w:bookmarkStart w:id="114" w:name="Tc_R7V_Y5HyKkOpMqgWxsnkRQ_31_0"/>
      <w:bookmarkStart w:id="115" w:name="Tc_KVfVsQ3DAEO7Z49pB5S3_A_30_0"/>
      <w:bookmarkStart w:id="116" w:name="Tc_TaSQRNzraE2AC0GbpUOy2A_29_0"/>
      <w:bookmarkStart w:id="117" w:name="Tc_QNG1DSQAfEeZvg2OOY9KWw_28_0"/>
      <w:bookmarkStart w:id="118" w:name="Tc_YpjHnJ9SpE-xLZu7aPD51Q_27_3"/>
      <w:bookmarkStart w:id="119" w:name="Tc_wj6o3F2XjEWJP7EHLC4bBw_27_0"/>
      <w:bookmarkStart w:id="120" w:name="Tc_Oqa3qOrMIEmb6-kv1lLdHg_26_0"/>
      <w:bookmarkStart w:id="121" w:name="Tc_GkZsZ3eH_0i2M5SLKGwwBQ_25_0"/>
      <w:bookmarkStart w:id="122" w:name="Tc__uuN9P8WO0uDiyou0JfwwQ_24_0"/>
      <w:bookmarkStart w:id="123" w:name="Tc_2BdQQ1tu40-t4t4-PW6JLw_23_0"/>
      <w:bookmarkStart w:id="124" w:name="Tc_ubATDDeo4UOFBmKSw3G0VA_22_0"/>
      <w:bookmarkStart w:id="125" w:name="Tc_47LvfcO98E-pH-XVdB_jYw_21_3"/>
      <w:bookmarkStart w:id="126" w:name="Tc_5TYV2pOw3E6CYt4Jyrp4Cw_21_0"/>
      <w:bookmarkStart w:id="127" w:name="Tc_BVK3wBE31EC4Ut7rkYl-Ag_20_0"/>
      <w:bookmarkStart w:id="128" w:name="Tc_oFxpbz8QaEaiYWxTIiORQw_19_5"/>
      <w:bookmarkStart w:id="129" w:name="Tc_ggj7aRIsbUCK0dQ24eF9ZQ_19_2"/>
      <w:bookmarkStart w:id="130" w:name="Tc_YDJdGmN0yUag15u7ugNMvg_19_0"/>
      <w:bookmarkStart w:id="131" w:name="Tc_X8RSq-R-Aka_Qv-ooe9XGw_18_0"/>
      <w:bookmarkStart w:id="132" w:name="Tc_6AWfv5oDjkyUYAvg0lZw3Q_17_0"/>
      <w:bookmarkStart w:id="133" w:name="Tc_eeofQ1313kOyLNFx1ajI-g_15_5"/>
      <w:bookmarkStart w:id="134" w:name="Tc_R2oixXkmS06pHd46DPlqtA_15_2"/>
      <w:bookmarkStart w:id="135" w:name="Tc_zIOenCVYEkCkJwS_VUk5rA_15_0"/>
      <w:bookmarkStart w:id="136" w:name="Tc_G0tRVhQJ4Uq_HNfBEySYyw_14_0"/>
      <w:bookmarkStart w:id="137" w:name="Tc_-EXFqsgpOUWo3cvta674Gg_13_0"/>
      <w:bookmarkStart w:id="138" w:name="Tc_coC2q4po1EmsONeVxlrqqQ_12_0"/>
      <w:bookmarkStart w:id="139" w:name="Tc_oyv5ULI2MUC00eYgGZWA4Q_11_0"/>
      <w:bookmarkStart w:id="140" w:name="Tc_NKQxRWN1FE2sh_QnCIMnIw_10_0"/>
      <w:bookmarkStart w:id="141" w:name="Tc_FBzaqzf5aEWkhA6CqrHvdQ_9_0"/>
      <w:bookmarkStart w:id="142" w:name="Tc_xF6NdVtnEkGJGfnPrnycqQ_8_0"/>
      <w:bookmarkStart w:id="143" w:name="Tc_wgXyanpk6k6TWX7zBccexA_7_0"/>
      <w:bookmarkStart w:id="144" w:name="Tc_vC2T16N7L0eJBdZfx9EBrg_6_0"/>
      <w:bookmarkStart w:id="145" w:name="Tc_zxr9Xp5TVUCcmCzN2A-qEg_5_5"/>
      <w:bookmarkStart w:id="146" w:name="Tc_TYgQsWdHsU2yvdq2DxNX1g_5_2"/>
      <w:bookmarkStart w:id="147" w:name="Tc_dwPdGmiXBE-n3se4oxBJaQ_5_0"/>
      <w:bookmarkStart w:id="148" w:name="Tc_vSIRepqTV0yrZ0Zp4jN_oQ_4_0"/>
      <w:bookmarkStart w:id="149" w:name="Tc_xHLeuJlag0yDCpjdVObA8g_3_0"/>
      <w:bookmarkStart w:id="150" w:name="Tc_QDsnJiU1PUWVlTsLfaEnhw_2_5"/>
      <w:bookmarkStart w:id="151" w:name="Tc_yWpiIuJx6USOi2rWpzy3Ag_2_2"/>
      <w:bookmarkStart w:id="152" w:name="Tc_Q9CMwOUo7km9oCBhQk_sJA_1_5"/>
      <w:bookmarkStart w:id="153" w:name="Tc_D2tX4B_vnEiVsSryg46_6Q_1_2"/>
      <w:bookmarkStart w:id="154" w:name="_95bee19d_95c9_4e6b_b568_6985b0035237"/>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286"/>
        <w:gridCol w:w="326"/>
        <w:gridCol w:w="211"/>
        <w:gridCol w:w="931"/>
        <w:gridCol w:w="326"/>
        <w:gridCol w:w="211"/>
        <w:gridCol w:w="914"/>
      </w:tblGrid>
      <w:tr>
        <w:trPr/>
        <w:tc>
          <w:tcPr>
            <w:tcW w:w="7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1185" cy="175260"/>
                      <wp:effectExtent l="0" t="0" r="0" b="0"/>
                      <wp:wrapNone/>
                      <wp:docPr id="11" name="Frame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0390" cy="175260"/>
                      <wp:effectExtent l="0" t="0" r="0" b="0"/>
                      <wp:wrapNone/>
                      <wp:docPr id="14" name="Frame14"/>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206,758</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44,643</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284,787</w:t>
            </w:r>
          </w:p>
        </w:tc>
      </w:tr>
      <w:tr>
        <w:trPr/>
        <w:tc>
          <w:tcPr>
            <w:tcW w:w="7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  </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11,867</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6,641</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158,198</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par value $0.0001 per share, 1,000,000,000 shares authorized, 325,307,895 shares issued and outstanding at September 30, 2025 and 283,546,871 shares issued and outstanding at 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1,123,853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(752,750)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r>
      <w:tr>
        <w:trPr/>
        <w:tc>
          <w:tcPr>
            <w:tcW w:w="7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371,826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284,787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edd41d3f_2791_4e4a_b1f6_779cb1ec7b73"/>
      <w:bookmarkEnd w:id="155"/>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56" w:name="STATEMENTS_OF_OPERATIONS"/>
      <w:bookmarkEnd w:id="156"/>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7" w:name="Tc_pkU23Jmo0kKz1ChF2_JCSQ_22_0"/>
      <w:bookmarkStart w:id="158" w:name="Tc_FSGJdKtlfkyuQM2wVutV9w_21_11"/>
      <w:bookmarkStart w:id="159" w:name="Tc_2j_lKODuAU2d7PNOKW72oA_21_8"/>
      <w:bookmarkStart w:id="160" w:name="Tc_zDaxhEpDKU22PWP7tzkPPA_21_5"/>
      <w:bookmarkStart w:id="161" w:name="Tc_AVxb8fgQH0iy6_Vdb2ertg_21_2"/>
      <w:bookmarkStart w:id="162" w:name="Tc_eyLIrECPgUGebrLlXMrW_g_21_0"/>
      <w:bookmarkStart w:id="163" w:name="Tc_PIb-TiC2RkCD2_pBg_ZwAQ_20_11"/>
      <w:bookmarkStart w:id="164" w:name="Tc_X3LqJwIsmEW5rPxKVJiuCA_20_8"/>
      <w:bookmarkStart w:id="165" w:name="Tc_1ypghIWGska9uTQsJFL_TA_20_5"/>
      <w:bookmarkStart w:id="166" w:name="Tc_p052lF8OR0S6l9hav-ZD_Q_20_2"/>
      <w:bookmarkStart w:id="167" w:name="Tc_1Jj7kp3Qn0yVE2ROcS-Lvg_20_0"/>
      <w:bookmarkStart w:id="168" w:name="Tc_gEt7OGQgu06ZoW514J3XFw_19_12"/>
      <w:bookmarkStart w:id="169" w:name="Tc_qOjBCc3PDUCi7thr9524DA_19_9"/>
      <w:bookmarkStart w:id="170" w:name="Tc_g4AL6aqNekC_xykVWSma_w_19_6"/>
      <w:bookmarkStart w:id="171" w:name="Tc_28XPPVzjT0iwzRm93xuPuw_19_3"/>
      <w:bookmarkStart w:id="172" w:name="Tc_VIFbMLONHUykdRfm5AIZug_19_0"/>
      <w:bookmarkStart w:id="173" w:name="Tc_b_M7LskHwk6t5H3YITdBFw_18_0"/>
      <w:bookmarkStart w:id="174" w:name="Tc_DtEMJyRLl0iBep7J11hgiw_17_0"/>
      <w:bookmarkStart w:id="175" w:name="Tc_qGeaoXqvjEWzMu6L8uxgjQ_16_0"/>
      <w:bookmarkStart w:id="176" w:name="Tc_9lxCh5Yx7UKOj_1wSVc0cg_15_0"/>
      <w:bookmarkStart w:id="177" w:name="Tc_t-mgmhuHt0yqxtxFOpjgXg_14_0"/>
      <w:bookmarkStart w:id="178" w:name="Tc_YlsGX4pwAEeAE1_WgwFCQw_13_9"/>
      <w:bookmarkStart w:id="179" w:name="Tc_LqLmaBhSfUKfGORifUjSYw_13_3"/>
      <w:bookmarkStart w:id="180" w:name="Tc_6_AX2md5-Uu1wIRU01joCA_13_0"/>
      <w:bookmarkStart w:id="181" w:name="Tc_3p6CR7Yybkq-16_jN73iIA_12_0"/>
      <w:bookmarkStart w:id="182" w:name="Tc_xOLt1k8FGUiCU2AEYqb9vg_11_0"/>
      <w:bookmarkStart w:id="183" w:name="Tc_Q1jAYiRHTEu7bnxFzSEPdA_10_0"/>
      <w:bookmarkStart w:id="184" w:name="Tc_RNHp6tgOD0mhYAacORitKg_9_0"/>
      <w:bookmarkStart w:id="185" w:name="Tc_AVLnPrvcd0aGdtLPn05apQ_8_0"/>
      <w:bookmarkStart w:id="186" w:name="Tc_ZEpI5Ieaw0uTKdEUXVcF-w_7_0"/>
      <w:bookmarkStart w:id="187" w:name="Tc_mKc2_soFGUuqI-fgqVC8Ig_6_0"/>
      <w:bookmarkStart w:id="188" w:name="Tc_T0jHyZ0fgU-8Gf4mX3Ubng_5_0"/>
      <w:bookmarkStart w:id="189" w:name="Tc_Hkt-xji9V0Sm8LfIemrd7A_4_11"/>
      <w:bookmarkStart w:id="190" w:name="Tc_jMaszBZglUKAa2R7aWC9ng_4_8"/>
      <w:bookmarkStart w:id="191" w:name="Tc_Jw9d8YuFkUCFq2bZUa_hFw_4_5"/>
      <w:bookmarkStart w:id="192" w:name="Tc_VVkdUa_FaEml6w3cfq7Wug_4_2"/>
      <w:bookmarkStart w:id="193" w:name="Tc_uyxPG1pvxEG0Vm_YwrPEQA_4_0"/>
      <w:bookmarkStart w:id="194" w:name="Tc_GKrZUPvOUUGj1-kLEMkM9g_3_11"/>
      <w:bookmarkStart w:id="195" w:name="Tc_ZXbC5Mjc9UWelypIcqgg-A_3_8"/>
      <w:bookmarkStart w:id="196" w:name="Tc_jxfU-PvW_kC9AgfdGCr8FA_3_5"/>
      <w:bookmarkStart w:id="197" w:name="Tc_0wGaLZK180uOvwjslXbJNg_3_2"/>
      <w:bookmarkStart w:id="198" w:name="Tc_o6sfuCL1kUyViXhx8bVZ9w_2_8"/>
      <w:bookmarkStart w:id="199" w:name="Tc_FOs-KoNsGU2cCo-zWIhvIA_2_2"/>
      <w:bookmarkStart w:id="200" w:name="_94655d95_3a9a_492f_9919_27e66ae8726e"/>
      <w:bookmarkStart w:id="201" w:name="_fdc0b01b_c892_47a2_ad8b_e4fbdeef6d86"/>
      <w:bookmarkStart w:id="202" w:name="Tc_pkU23Jmo0kKz1ChF2_JCSQ_22_0"/>
      <w:bookmarkStart w:id="203" w:name="Tc_FSGJdKtlfkyuQM2wVutV9w_21_11"/>
      <w:bookmarkStart w:id="204" w:name="Tc_2j_lKODuAU2d7PNOKW72oA_21_8"/>
      <w:bookmarkStart w:id="205" w:name="Tc_zDaxhEpDKU22PWP7tzkPPA_21_5"/>
      <w:bookmarkStart w:id="206" w:name="Tc_AVxb8fgQH0iy6_Vdb2ertg_21_2"/>
      <w:bookmarkStart w:id="207" w:name="Tc_eyLIrECPgUGebrLlXMrW_g_21_0"/>
      <w:bookmarkStart w:id="208" w:name="Tc_PIb-TiC2RkCD2_pBg_ZwAQ_20_11"/>
      <w:bookmarkStart w:id="209" w:name="Tc_X3LqJwIsmEW5rPxKVJiuCA_20_8"/>
      <w:bookmarkStart w:id="210" w:name="Tc_1ypghIWGska9uTQsJFL_TA_20_5"/>
      <w:bookmarkStart w:id="211" w:name="Tc_p052lF8OR0S6l9hav-ZD_Q_20_2"/>
      <w:bookmarkStart w:id="212" w:name="Tc_1Jj7kp3Qn0yVE2ROcS-Lvg_20_0"/>
      <w:bookmarkStart w:id="213" w:name="Tc_gEt7OGQgu06ZoW514J3XFw_19_12"/>
      <w:bookmarkStart w:id="214" w:name="Tc_qOjBCc3PDUCi7thr9524DA_19_9"/>
      <w:bookmarkStart w:id="215" w:name="Tc_g4AL6aqNekC_xykVWSma_w_19_6"/>
      <w:bookmarkStart w:id="216" w:name="Tc_28XPPVzjT0iwzRm93xuPuw_19_3"/>
      <w:bookmarkStart w:id="217" w:name="Tc_VIFbMLONHUykdRfm5AIZug_19_0"/>
      <w:bookmarkStart w:id="218" w:name="Tc_b_M7LskHwk6t5H3YITdBFw_18_0"/>
      <w:bookmarkStart w:id="219" w:name="Tc_DtEMJyRLl0iBep7J11hgiw_17_0"/>
      <w:bookmarkStart w:id="220" w:name="Tc_qGeaoXqvjEWzMu6L8uxgjQ_16_0"/>
      <w:bookmarkStart w:id="221" w:name="Tc_9lxCh5Yx7UKOj_1wSVc0cg_15_0"/>
      <w:bookmarkStart w:id="222" w:name="Tc_t-mgmhuHt0yqxtxFOpjgXg_14_0"/>
      <w:bookmarkStart w:id="223" w:name="Tc_YlsGX4pwAEeAE1_WgwFCQw_13_9"/>
      <w:bookmarkStart w:id="224" w:name="Tc_LqLmaBhSfUKfGORifUjSYw_13_3"/>
      <w:bookmarkStart w:id="225" w:name="Tc_6_AX2md5-Uu1wIRU01joCA_13_0"/>
      <w:bookmarkStart w:id="226" w:name="Tc_3p6CR7Yybkq-16_jN73iIA_12_0"/>
      <w:bookmarkStart w:id="227" w:name="Tc_xOLt1k8FGUiCU2AEYqb9vg_11_0"/>
      <w:bookmarkStart w:id="228" w:name="Tc_Q1jAYiRHTEu7bnxFzSEPdA_10_0"/>
      <w:bookmarkStart w:id="229" w:name="Tc_RNHp6tgOD0mhYAacORitKg_9_0"/>
      <w:bookmarkStart w:id="230" w:name="Tc_AVLnPrvcd0aGdtLPn05apQ_8_0"/>
      <w:bookmarkStart w:id="231" w:name="Tc_ZEpI5Ieaw0uTKdEUXVcF-w_7_0"/>
      <w:bookmarkStart w:id="232" w:name="Tc_mKc2_soFGUuqI-fgqVC8Ig_6_0"/>
      <w:bookmarkStart w:id="233" w:name="Tc_T0jHyZ0fgU-8Gf4mX3Ubng_5_0"/>
      <w:bookmarkStart w:id="234" w:name="Tc_Hkt-xji9V0Sm8LfIemrd7A_4_11"/>
      <w:bookmarkStart w:id="235" w:name="Tc_jMaszBZglUKAa2R7aWC9ng_4_8"/>
      <w:bookmarkStart w:id="236" w:name="Tc_Jw9d8YuFkUCFq2bZUa_hFw_4_5"/>
      <w:bookmarkStart w:id="237" w:name="Tc_VVkdUa_FaEml6w3cfq7Wug_4_2"/>
      <w:bookmarkStart w:id="238" w:name="Tc_uyxPG1pvxEG0Vm_YwrPEQA_4_0"/>
      <w:bookmarkStart w:id="239" w:name="Tc_GKrZUPvOUUGj1-kLEMkM9g_3_11"/>
      <w:bookmarkStart w:id="240" w:name="Tc_ZXbC5Mjc9UWelypIcqgg-A_3_8"/>
      <w:bookmarkStart w:id="241" w:name="Tc_jxfU-PvW_kC9AgfdGCr8FA_3_5"/>
      <w:bookmarkStart w:id="242" w:name="Tc_0wGaLZK180uOvwjslXbJNg_3_2"/>
      <w:bookmarkStart w:id="243" w:name="Tc_o6sfuCL1kUyViXhx8bVZ9w_2_8"/>
      <w:bookmarkStart w:id="244" w:name="Tc_FOs-KoNsGU2cCo-zWIhvIA_2_2"/>
      <w:bookmarkStart w:id="245" w:name="_94655d95_3a9a_492f_9919_27e66ae8726e"/>
      <w:bookmarkStart w:id="246" w:name="_fdc0b01b_c892_47a2_ad8b_e4fbdeef6d86"/>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10205" w:type="dxa"/>
        <w:jc w:val="left"/>
        <w:tblInd w:w="0" w:type="dxa"/>
        <w:tblLayout w:type="fixed"/>
        <w:tblCellMar>
          <w:top w:w="0" w:type="dxa"/>
          <w:left w:w="0" w:type="dxa"/>
          <w:bottom w:w="0" w:type="dxa"/>
          <w:right w:w="0" w:type="dxa"/>
        </w:tblCellMar>
      </w:tblPr>
      <w:tblGrid>
        <w:gridCol w:w="4398"/>
        <w:gridCol w:w="326"/>
        <w:gridCol w:w="223"/>
        <w:gridCol w:w="917"/>
        <w:gridCol w:w="346"/>
        <w:gridCol w:w="223"/>
        <w:gridCol w:w="835"/>
        <w:gridCol w:w="326"/>
        <w:gridCol w:w="219"/>
        <w:gridCol w:w="897"/>
        <w:gridCol w:w="339"/>
        <w:gridCol w:w="219"/>
        <w:gridCol w:w="937"/>
      </w:tblGrid>
      <w:tr>
        <w:trPr/>
        <w:tc>
          <w:tcPr>
            <w:tcW w:w="43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1605" cy="175260"/>
                      <wp:effectExtent l="0" t="0" r="0" b="0"/>
                      <wp:wrapNone/>
                      <wp:docPr id="16" name="Frame1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2295" cy="175260"/>
                      <wp:effectExtent l="0" t="0" r="0" b="0"/>
                      <wp:wrapNone/>
                      <wp:docPr id="17" name="Frame1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1605" cy="175260"/>
                      <wp:effectExtent l="0" t="0" r="0" b="0"/>
                      <wp:wrapNone/>
                      <wp:docPr id="19" name="Frame1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30225" cy="175260"/>
                      <wp:effectExtent l="0" t="0" r="0" b="0"/>
                      <wp:wrapNone/>
                      <wp:docPr id="20" name="Frame20"/>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9065" cy="175260"/>
                      <wp:effectExtent l="0" t="0" r="0" b="0"/>
                      <wp:wrapNone/>
                      <wp:docPr id="22" name="Frame2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69595" cy="175260"/>
                      <wp:effectExtent l="0" t="0" r="0" b="0"/>
                      <wp:wrapNone/>
                      <wp:docPr id="23" name="Frame23"/>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5265" cy="175260"/>
                      <wp:effectExtent l="0" t="0" r="0" b="0"/>
                      <wp:wrapNone/>
                      <wp:docPr id="24" name="Frame2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9065" cy="175260"/>
                      <wp:effectExtent l="0" t="0" r="0" b="0"/>
                      <wp:wrapNone/>
                      <wp:docPr id="25" name="Frame2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4995" cy="175260"/>
                      <wp:effectExtent l="0" t="0" r="0" b="0"/>
                      <wp:wrapNone/>
                      <wp:docPr id="26" name="Frame2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left"/>
              <w:rPr/>
            </w:pPr>
            <w:r>
              <w:rPr/>
              <w:t>​</w:t>
            </w:r>
          </w:p>
        </w:tc>
      </w:tr>
      <w:tr>
        <w:trPr/>
        <w:tc>
          <w:tcPr>
            <w:tcW w:w="43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w:t>
            </w:r>
          </w:p>
        </w:tc>
        <w:tc>
          <w:tcPr>
            <w:tcW w:w="326" w:type="dxa"/>
            <w:tcBorders/>
            <w:vAlign w:val="center"/>
          </w:tcPr>
          <w:p>
            <w:pPr>
              <w:pStyle w:val="TableContents"/>
              <w:bidi w:val="0"/>
              <w:spacing w:before="0" w:after="0"/>
              <w:ind w:left="0" w:right="0" w:hanging="0"/>
              <w:jc w:val="left"/>
              <w:rPr/>
            </w:pPr>
            <w:r>
              <w:rPr/>
              <w:t> </w:t>
            </w:r>
          </w:p>
        </w:tc>
        <w:tc>
          <w:tcPr>
            <w:tcW w:w="26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w:t>
            </w:r>
          </w:p>
        </w:tc>
      </w:tr>
      <w:tr>
        <w:trPr/>
        <w:tc>
          <w:tcPr>
            <w:tcW w:w="43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39" w:type="dxa"/>
            <w:tcBorders/>
            <w:vAlign w:val="center"/>
          </w:tcPr>
          <w:p>
            <w:pPr>
              <w:pStyle w:val="TableContents"/>
              <w:bidi w:val="0"/>
              <w:spacing w:before="0" w:after="0"/>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4,694</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  </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12,752</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43,997</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36,093</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5,933</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5,798</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19,478</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18,617</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18,550</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63,475</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54,710</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(20,549)</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(17,346)</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(62,063)</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(50,016)</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  </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  </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10,792</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(181,955)</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2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(149,250)</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(180,419)</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(135,940)</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4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r>
      <w:tr>
        <w:trPr/>
        <w:tc>
          <w:tcPr>
            <w:tcW w:w="4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325,024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188,389</w:t>
            </w:r>
          </w:p>
        </w:tc>
        <w:tc>
          <w:tcPr>
            <w:tcW w:w="32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302,807</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170,665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7" w:name="_e079cbf7_e738_4578_9360_7be0f4387436"/>
      <w:bookmarkEnd w:id="247"/>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48" w:name="STATEMENTS_OF_COMPREHENSIVE_LOSS"/>
      <w:bookmarkEnd w:id="248"/>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49" w:name="Tc_r0lYqLFz7Ey-G9F9q3RRvw_11_11"/>
      <w:bookmarkStart w:id="250" w:name="Tc_s65DvLv5ikuM3r-uozAgKw_11_8"/>
      <w:bookmarkStart w:id="251" w:name="Tc_2yjU1bIPH02mEnJ51MFLnQ_11_5"/>
      <w:bookmarkStart w:id="252" w:name="Tc_TEStL0cgkUKWlHxo6Rkt-w_11_2"/>
      <w:bookmarkStart w:id="253" w:name="Tc_AlFMnC-yNU-zEiXwOTzz4w_11_0"/>
      <w:bookmarkStart w:id="254" w:name="Tc_A0edsCHGVkSfLyagy9zOvQ_10_0"/>
      <w:bookmarkStart w:id="255" w:name="Tc_tclGZhCumkCMIHU93RiJgw_9_12"/>
      <w:bookmarkStart w:id="256" w:name="Tc_oHue5vcKn0-pT1RfxPXGLA_9_9"/>
      <w:bookmarkStart w:id="257" w:name="Tc_bOoI5-KPRkORjkSX4unWvQ_9_6"/>
      <w:bookmarkStart w:id="258" w:name="Tc_UGB3btp1cUi-TVsCPBtiOg_9_3"/>
      <w:bookmarkStart w:id="259" w:name="Tc_hFJ_r4ocikWo5p9Mv-YIwA_9_0"/>
      <w:bookmarkStart w:id="260" w:name="Tc_SEAijMNvY0KoVDzvROS5ZA_8_0"/>
      <w:bookmarkStart w:id="261" w:name="Tc_YCAV7y5UcEa7zbc7fDusZQ_7_0"/>
      <w:bookmarkStart w:id="262" w:name="Tc_M2O80FjHvkCgqTnyBEFH0g_6_0"/>
      <w:bookmarkStart w:id="263" w:name="Tc_PEwOs49eIki2qMk0hOBJgQ_5_0"/>
      <w:bookmarkStart w:id="264" w:name="Tc_GkWVb6HVNEGYw6B9JJJJ0g_4_11"/>
      <w:bookmarkStart w:id="265" w:name="Tc_RHUf0bz30EeuIAMFLqf5hQ_4_8"/>
      <w:bookmarkStart w:id="266" w:name="Tc_UFrcx9Z2sEesrRmQnHrn9Q_4_5"/>
      <w:bookmarkStart w:id="267" w:name="Tc_JVH1lR9Ojk6L3OAQWSt4Sw_4_2"/>
      <w:bookmarkStart w:id="268" w:name="Tc_cJTg2_yIJkmRBZUoaKUlSw_4_0"/>
      <w:bookmarkStart w:id="269" w:name="Tc_0OrOG6spIE-SxfTZZvNxRA_3_11"/>
      <w:bookmarkStart w:id="270" w:name="Tc_fj2LM9AuZUGA6uvG4QV43w_3_8"/>
      <w:bookmarkStart w:id="271" w:name="Tc_k4rUqXh2IE2nim65LWSLfA_3_5"/>
      <w:bookmarkStart w:id="272" w:name="Tc_hhbfRTBXgkmINeOmy5emaw_3_2"/>
      <w:bookmarkStart w:id="273" w:name="Tc_Hppio38tbUSUtj09ZxRjEg_2_8"/>
      <w:bookmarkStart w:id="274" w:name="Tc_Ly6S1S2NakGP32-Cst1MlA_2_2"/>
      <w:bookmarkStart w:id="275" w:name="_99dc7a5b_c2f8_4f00_98a6_3090063f1ae3"/>
      <w:bookmarkStart w:id="276" w:name="Tc_r0lYqLFz7Ey-G9F9q3RRvw_11_11"/>
      <w:bookmarkStart w:id="277" w:name="Tc_s65DvLv5ikuM3r-uozAgKw_11_8"/>
      <w:bookmarkStart w:id="278" w:name="Tc_2yjU1bIPH02mEnJ51MFLnQ_11_5"/>
      <w:bookmarkStart w:id="279" w:name="Tc_TEStL0cgkUKWlHxo6Rkt-w_11_2"/>
      <w:bookmarkStart w:id="280" w:name="Tc_AlFMnC-yNU-zEiXwOTzz4w_11_0"/>
      <w:bookmarkStart w:id="281" w:name="Tc_A0edsCHGVkSfLyagy9zOvQ_10_0"/>
      <w:bookmarkStart w:id="282" w:name="Tc_tclGZhCumkCMIHU93RiJgw_9_12"/>
      <w:bookmarkStart w:id="283" w:name="Tc_oHue5vcKn0-pT1RfxPXGLA_9_9"/>
      <w:bookmarkStart w:id="284" w:name="Tc_bOoI5-KPRkORjkSX4unWvQ_9_6"/>
      <w:bookmarkStart w:id="285" w:name="Tc_UGB3btp1cUi-TVsCPBtiOg_9_3"/>
      <w:bookmarkStart w:id="286" w:name="Tc_hFJ_r4ocikWo5p9Mv-YIwA_9_0"/>
      <w:bookmarkStart w:id="287" w:name="Tc_SEAijMNvY0KoVDzvROS5ZA_8_0"/>
      <w:bookmarkStart w:id="288" w:name="Tc_YCAV7y5UcEa7zbc7fDusZQ_7_0"/>
      <w:bookmarkStart w:id="289" w:name="Tc_M2O80FjHvkCgqTnyBEFH0g_6_0"/>
      <w:bookmarkStart w:id="290" w:name="Tc_PEwOs49eIki2qMk0hOBJgQ_5_0"/>
      <w:bookmarkStart w:id="291" w:name="Tc_GkWVb6HVNEGYw6B9JJJJ0g_4_11"/>
      <w:bookmarkStart w:id="292" w:name="Tc_RHUf0bz30EeuIAMFLqf5hQ_4_8"/>
      <w:bookmarkStart w:id="293" w:name="Tc_UFrcx9Z2sEesrRmQnHrn9Q_4_5"/>
      <w:bookmarkStart w:id="294" w:name="Tc_JVH1lR9Ojk6L3OAQWSt4Sw_4_2"/>
      <w:bookmarkStart w:id="295" w:name="Tc_cJTg2_yIJkmRBZUoaKUlSw_4_0"/>
      <w:bookmarkStart w:id="296" w:name="Tc_0OrOG6spIE-SxfTZZvNxRA_3_11"/>
      <w:bookmarkStart w:id="297" w:name="Tc_fj2LM9AuZUGA6uvG4QV43w_3_8"/>
      <w:bookmarkStart w:id="298" w:name="Tc_k4rUqXh2IE2nim65LWSLfA_3_5"/>
      <w:bookmarkStart w:id="299" w:name="Tc_hhbfRTBXgkmINeOmy5emaw_3_2"/>
      <w:bookmarkStart w:id="300" w:name="Tc_Hppio38tbUSUtj09ZxRjEg_2_8"/>
      <w:bookmarkStart w:id="301" w:name="Tc_Ly6S1S2NakGP32-Cst1MlA_2_2"/>
      <w:bookmarkStart w:id="302" w:name="_99dc7a5b_c2f8_4f00_98a6_3090063f1ae3"/>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4295"/>
        <w:gridCol w:w="326"/>
        <w:gridCol w:w="228"/>
        <w:gridCol w:w="974"/>
        <w:gridCol w:w="354"/>
        <w:gridCol w:w="228"/>
        <w:gridCol w:w="860"/>
        <w:gridCol w:w="326"/>
        <w:gridCol w:w="221"/>
        <w:gridCol w:w="943"/>
        <w:gridCol w:w="343"/>
        <w:gridCol w:w="221"/>
        <w:gridCol w:w="886"/>
      </w:tblGrid>
      <w:tr>
        <w:trPr/>
        <w:tc>
          <w:tcPr>
            <w:tcW w:w="4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27325" cy="175260"/>
                      <wp:effectExtent l="0" t="0" r="0" b="0"/>
                      <wp:wrapNone/>
                      <wp:docPr id="27" name="Frame27"/>
                      <a:graphic xmlns:a="http://schemas.openxmlformats.org/drawingml/2006/main">
                        <a:graphicData uri="http://schemas.microsoft.com/office/word/2010/wordprocessingShape">
                          <wps:wsp>
                            <wps:cNvSpPr txBox="1"/>
                            <wps:spPr>
                              <a:xfrm>
                                <a:off x="0" y="0"/>
                                <a:ext cx="272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4780" cy="175260"/>
                      <wp:effectExtent l="0" t="0" r="0" b="0"/>
                      <wp:wrapNone/>
                      <wp:docPr id="29" name="Frame2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18490" cy="175260"/>
                      <wp:effectExtent l="0" t="0" r="0" b="0"/>
                      <wp:wrapNone/>
                      <wp:docPr id="30" name="Frame3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4790" cy="175260"/>
                      <wp:effectExtent l="0" t="0" r="0" b="0"/>
                      <wp:wrapNone/>
                      <wp:docPr id="31" name="Frame3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4780" cy="175260"/>
                      <wp:effectExtent l="0" t="0" r="0" b="0"/>
                      <wp:wrapNone/>
                      <wp:docPr id="32" name="Frame3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46100" cy="175260"/>
                      <wp:effectExtent l="0" t="0" r="0" b="0"/>
                      <wp:wrapNone/>
                      <wp:docPr id="33" name="Frame33"/>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0335" cy="175260"/>
                      <wp:effectExtent l="0" t="0" r="0" b="0"/>
                      <wp:wrapNone/>
                      <wp:docPr id="35" name="Frame3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8805" cy="175260"/>
                      <wp:effectExtent l="0" t="0" r="0" b="0"/>
                      <wp:wrapNone/>
                      <wp:docPr id="36" name="Frame36"/>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7805" cy="175260"/>
                      <wp:effectExtent l="0" t="0" r="0" b="0"/>
                      <wp:wrapNone/>
                      <wp:docPr id="37" name="Frame3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0335" cy="175260"/>
                      <wp:effectExtent l="0" t="0" r="0" b="0"/>
                      <wp:wrapNone/>
                      <wp:docPr id="38" name="Frame3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2610" cy="175260"/>
                      <wp:effectExtent l="0" t="0" r="0" b="0"/>
                      <wp:wrapNone/>
                      <wp:docPr id="39" name="Frame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974" w:type="dxa"/>
            <w:tcBorders/>
            <w:vAlign w:val="center"/>
          </w:tcPr>
          <w:p>
            <w:pPr>
              <w:pStyle w:val="TableContents"/>
              <w:bidi w:val="0"/>
              <w:spacing w:before="0" w:after="0"/>
              <w:ind w:left="0" w:right="0" w:hanging="0"/>
              <w:jc w:val="center"/>
              <w:rPr/>
            </w:pPr>
            <w:r>
              <w:rPr/>
              <w:t>​</w:t>
            </w:r>
          </w:p>
        </w:tc>
        <w:tc>
          <w:tcPr>
            <w:tcW w:w="35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 </w:t>
            </w:r>
          </w:p>
        </w:tc>
        <w:tc>
          <w:tcPr>
            <w:tcW w:w="26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4" w:type="dxa"/>
            <w:tcBorders/>
            <w:vAlign w:val="center"/>
          </w:tcPr>
          <w:p>
            <w:pPr>
              <w:pStyle w:val="TableContents"/>
              <w:bidi w:val="0"/>
              <w:spacing w:before="0" w:after="0"/>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5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4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4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c>
          <w:tcPr>
            <w:tcW w:w="35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  </w:t>
            </w:r>
          </w:p>
        </w:tc>
        <w:tc>
          <w:tcPr>
            <w:tcW w:w="34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5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54"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5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54"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3"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(200,411)</w:t>
            </w:r>
          </w:p>
        </w:tc>
        <w:tc>
          <w:tcPr>
            <w:tcW w:w="354"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(197,418)</w:t>
            </w:r>
          </w:p>
        </w:tc>
        <w:tc>
          <w:tcPr>
            <w:tcW w:w="343"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3" w:name="_6a500af1_fb7c_4383_a356_47f4294c0366"/>
      <w:bookmarkEnd w:id="303"/>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04" w:name="STATEMENTS_OF_CASH_FLOWS"/>
      <w:bookmarkEnd w:id="30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05" w:name="Tc_Jbd5lTZUJ0qfy9jskvYZzg_49_0"/>
      <w:bookmarkStart w:id="306" w:name="Tc_UOswt9a0Nk2WhAiqH0wjXw_48_6"/>
      <w:bookmarkStart w:id="307" w:name="Tc_oABLPQZaAE6ZOzDwiI9kDw_48_0"/>
      <w:bookmarkStart w:id="308" w:name="Tc_FMBu9NkUSkeYJE4o-D3QAQ_47_6"/>
      <w:bookmarkStart w:id="309" w:name="Tc_QGb0dgKwhkSXfHoeXuatyA_47_0"/>
      <w:bookmarkStart w:id="310" w:name="Tc_mXQRBcYUuEuir16ZMYvDog_46_3"/>
      <w:bookmarkStart w:id="311" w:name="Tc_XzAVu2JrhE2wl19UetpHxA_46_0"/>
      <w:bookmarkStart w:id="312" w:name="Tc_mzqkb7zl_UCCFJglA8VkGw_45_0"/>
      <w:bookmarkStart w:id="313" w:name="Tc_R0QTwDPNqUypovYOiW5LSQ_44_0"/>
      <w:bookmarkStart w:id="314" w:name="Tc_iyMPejp1K0S08lXlpIWxog_43_3"/>
      <w:bookmarkStart w:id="315" w:name="Tc_tM8rCxLyYE6Uax9dXhlJpg_43_0"/>
      <w:bookmarkStart w:id="316" w:name="Tc_4N--3-HDSESq5aEqINiPgw_42_0"/>
      <w:bookmarkStart w:id="317" w:name="Tc_24AHbvuUuU2RHnIJr81zkw_41_5"/>
      <w:bookmarkStart w:id="318" w:name="Tc_jAZNoQ8oykGz5hjXbmrS3w_41_3"/>
      <w:bookmarkStart w:id="319" w:name="Tc_kCHEfUW1y0WumxJsgukbhw_41_2"/>
      <w:bookmarkStart w:id="320" w:name="Tc_CS7Wrm_BIk-QpmBx1cBI7g_41_0"/>
      <w:bookmarkStart w:id="321" w:name="Tc_xVdK7ShCyUGTOLbhrHPfSQ_40_0"/>
      <w:bookmarkStart w:id="322" w:name="Tc_QvM5pP0v4Emh836Bi6qhCw_39_5"/>
      <w:bookmarkStart w:id="323" w:name="Tc_TZXEiBLoTUyNRJUovsW1HQ_39_2"/>
      <w:bookmarkStart w:id="324" w:name="Tc_GyGGGOfDjEaSQhmUIK4N2A_39_0"/>
      <w:bookmarkStart w:id="325" w:name="Tc_k_FShIaKaUCu_V1gyQL2jw_38_0"/>
      <w:bookmarkStart w:id="326" w:name="Tc_S5xb6GkNokupp0ChLOc6Rg_37_0"/>
      <w:bookmarkStart w:id="327" w:name="Tc_kEG7pYrtlE-B2IuyL8x5Ww_36_0"/>
      <w:bookmarkStart w:id="328" w:name="Tc_muC9WQtcv0656N6ftiWplg_35_0"/>
      <w:bookmarkStart w:id="329" w:name="Tc_4IYRceZ5EkW_aYGj3S43RA_34_6"/>
      <w:bookmarkStart w:id="330" w:name="Tc_XMe4OKZ8ykGanpUlWJ2S7A_34_0"/>
      <w:bookmarkStart w:id="331" w:name="Tc_62cjGexO5ki8lN9Ph9QzwA_33_0"/>
      <w:bookmarkStart w:id="332" w:name="Tc_shpSR07oJEel4bkefuxeQA_32_6"/>
      <w:bookmarkStart w:id="333" w:name="Tc_YFiQBAsGQ0CNj-a6xG3bRg_32_0"/>
      <w:bookmarkStart w:id="334" w:name="Tc_33UaUNRxM0imE8U9B4mhYQ_31_0"/>
      <w:bookmarkStart w:id="335" w:name="Tc_W__FZa_6hkiosYuZ09nZYA_30_6"/>
      <w:bookmarkStart w:id="336" w:name="Tc_pYQmh4yRc0y8XrVyXw1ZGg_30_0"/>
      <w:bookmarkStart w:id="337" w:name="Tc_OEub8tWK3Eiw6yTtRCVi8A_29_0"/>
      <w:bookmarkStart w:id="338" w:name="Tc_y7_ulgvpNUSGRbc1LK-KFQ_28_3"/>
      <w:bookmarkStart w:id="339" w:name="Tc_jYL1z1EL406OSoniiwqDyw_28_0"/>
      <w:bookmarkStart w:id="340" w:name="Tc_xAgfT4vgOU6cxbzHT9Fgnw_27_3"/>
      <w:bookmarkStart w:id="341" w:name="Tc_nCM1l8wFkEi2HgAPz0Z0DQ_27_0"/>
      <w:bookmarkStart w:id="342" w:name="Tc_cmLHstODsEaH1EYvpMfdqA_26_0"/>
      <w:bookmarkStart w:id="343" w:name="Tc_QHCZElA7Ykqams4jcNj1-w_25_0"/>
      <w:bookmarkStart w:id="344" w:name="Tc_OPsH9WBGYUaUEn-vl22uxw_24_0"/>
      <w:bookmarkStart w:id="345" w:name="Tc_XTtJWsaw8Eq4j1iMY3Tpzw_23_0"/>
      <w:bookmarkStart w:id="346" w:name="Tc_ahNryNupbEi5meD2ZhY6Vg_22_0"/>
      <w:bookmarkStart w:id="347" w:name="Tc_R31EYFjjqE66LBXdZnAugQ_21_0"/>
      <w:bookmarkStart w:id="348" w:name="Tc_dg-Y9JoSiESHFFq3Wpue4g_20_0"/>
      <w:bookmarkStart w:id="349" w:name="Tc_BCQtudH4f0SovdSGE5VNWQ_19_0"/>
      <w:bookmarkStart w:id="350" w:name="Tc_45pble0NwUKC7rhHWJlv8g_18_0"/>
      <w:bookmarkStart w:id="351" w:name="Tc_lBi85NLWcUe63_YAvktqKg_17_0"/>
      <w:bookmarkStart w:id="352" w:name="Tc_HYY8S2ccQkipeCRzXR551g_16_0"/>
      <w:bookmarkStart w:id="353" w:name="Tc_8ZPgZNA1t06VchF9PvWL3g_15_0"/>
      <w:bookmarkStart w:id="354" w:name="Tc_5jLfNjJAA06NDql03wY5JA_14_0"/>
      <w:bookmarkStart w:id="355" w:name="Tc_w_X0gfL8MUCGuUU7E_1lGg_13_0"/>
      <w:bookmarkStart w:id="356" w:name="Tc_IsRqifN3kEezsKoPXkSWzg_12_3"/>
      <w:bookmarkStart w:id="357" w:name="Tc_sNlmXslryEumW82sAeuMvA_12_0"/>
      <w:bookmarkStart w:id="358" w:name="Tc_0e2QgpLvh0mteb0mnCdjsw_11_0"/>
      <w:bookmarkStart w:id="359" w:name="Tc_U9xUcinvIEqBSG4Id3DKiQ_10_0"/>
      <w:bookmarkStart w:id="360" w:name="Tc_XP-xz-8YW0WfqNiPwxi5Rg_9_0"/>
      <w:bookmarkStart w:id="361" w:name="Tc_FNXw0xbYs0W_vj5pnPYYzw_8_0"/>
      <w:bookmarkStart w:id="362" w:name="Tc_8Lo6OBvV3UGwYtlR4MIdSg_7_0"/>
      <w:bookmarkStart w:id="363" w:name="Tc_fb5fJo4scEC5cbNDB2N_mg_6_0"/>
      <w:bookmarkStart w:id="364" w:name="Tc_2ArS2QySL0y6cSdjZ8VCyw_5_5"/>
      <w:bookmarkStart w:id="365" w:name="Tc_eWWo2NwNakWZCYu8Vn4isA_5_2"/>
      <w:bookmarkStart w:id="366" w:name="Tc_rTl6XtXeh0yUQCdTL_Vxsg_5_0"/>
      <w:bookmarkStart w:id="367" w:name="Tc_ETMYyN0AwUW7Sdn6rIGydQ_4_0"/>
      <w:bookmarkStart w:id="368" w:name="Tc_SCdQ-O-4qUOh9ejjfMB2jw_3_5"/>
      <w:bookmarkStart w:id="369" w:name="Tc_M4i9yOBtkUaVrnerO2-ymg_3_2"/>
      <w:bookmarkStart w:id="370" w:name="Tc_g5C8kn9jLkGWTlVo8fIkqQ_2_2"/>
      <w:bookmarkStart w:id="371" w:name="_89fc5de3_f81b_4da5_95e4_97e486411872"/>
      <w:bookmarkStart w:id="372" w:name="Tc_Jbd5lTZUJ0qfy9jskvYZzg_49_0"/>
      <w:bookmarkStart w:id="373" w:name="Tc_UOswt9a0Nk2WhAiqH0wjXw_48_6"/>
      <w:bookmarkStart w:id="374" w:name="Tc_oABLPQZaAE6ZOzDwiI9kDw_48_0"/>
      <w:bookmarkStart w:id="375" w:name="Tc_FMBu9NkUSkeYJE4o-D3QAQ_47_6"/>
      <w:bookmarkStart w:id="376" w:name="Tc_QGb0dgKwhkSXfHoeXuatyA_47_0"/>
      <w:bookmarkStart w:id="377" w:name="Tc_mXQRBcYUuEuir16ZMYvDog_46_3"/>
      <w:bookmarkStart w:id="378" w:name="Tc_XzAVu2JrhE2wl19UetpHxA_46_0"/>
      <w:bookmarkStart w:id="379" w:name="Tc_mzqkb7zl_UCCFJglA8VkGw_45_0"/>
      <w:bookmarkStart w:id="380" w:name="Tc_R0QTwDPNqUypovYOiW5LSQ_44_0"/>
      <w:bookmarkStart w:id="381" w:name="Tc_iyMPejp1K0S08lXlpIWxog_43_3"/>
      <w:bookmarkStart w:id="382" w:name="Tc_tM8rCxLyYE6Uax9dXhlJpg_43_0"/>
      <w:bookmarkStart w:id="383" w:name="Tc_4N--3-HDSESq5aEqINiPgw_42_0"/>
      <w:bookmarkStart w:id="384" w:name="Tc_24AHbvuUuU2RHnIJr81zkw_41_5"/>
      <w:bookmarkStart w:id="385" w:name="Tc_jAZNoQ8oykGz5hjXbmrS3w_41_3"/>
      <w:bookmarkStart w:id="386" w:name="Tc_kCHEfUW1y0WumxJsgukbhw_41_2"/>
      <w:bookmarkStart w:id="387" w:name="Tc_CS7Wrm_BIk-QpmBx1cBI7g_41_0"/>
      <w:bookmarkStart w:id="388" w:name="Tc_xVdK7ShCyUGTOLbhrHPfSQ_40_0"/>
      <w:bookmarkStart w:id="389" w:name="Tc_QvM5pP0v4Emh836Bi6qhCw_39_5"/>
      <w:bookmarkStart w:id="390" w:name="Tc_TZXEiBLoTUyNRJUovsW1HQ_39_2"/>
      <w:bookmarkStart w:id="391" w:name="Tc_GyGGGOfDjEaSQhmUIK4N2A_39_0"/>
      <w:bookmarkStart w:id="392" w:name="Tc_k_FShIaKaUCu_V1gyQL2jw_38_0"/>
      <w:bookmarkStart w:id="393" w:name="Tc_S5xb6GkNokupp0ChLOc6Rg_37_0"/>
      <w:bookmarkStart w:id="394" w:name="Tc_kEG7pYrtlE-B2IuyL8x5Ww_36_0"/>
      <w:bookmarkStart w:id="395" w:name="Tc_muC9WQtcv0656N6ftiWplg_35_0"/>
      <w:bookmarkStart w:id="396" w:name="Tc_4IYRceZ5EkW_aYGj3S43RA_34_6"/>
      <w:bookmarkStart w:id="397" w:name="Tc_XMe4OKZ8ykGanpUlWJ2S7A_34_0"/>
      <w:bookmarkStart w:id="398" w:name="Tc_62cjGexO5ki8lN9Ph9QzwA_33_0"/>
      <w:bookmarkStart w:id="399" w:name="Tc_shpSR07oJEel4bkefuxeQA_32_6"/>
      <w:bookmarkStart w:id="400" w:name="Tc_YFiQBAsGQ0CNj-a6xG3bRg_32_0"/>
      <w:bookmarkStart w:id="401" w:name="Tc_33UaUNRxM0imE8U9B4mhYQ_31_0"/>
      <w:bookmarkStart w:id="402" w:name="Tc_W__FZa_6hkiosYuZ09nZYA_30_6"/>
      <w:bookmarkStart w:id="403" w:name="Tc_pYQmh4yRc0y8XrVyXw1ZGg_30_0"/>
      <w:bookmarkStart w:id="404" w:name="Tc_OEub8tWK3Eiw6yTtRCVi8A_29_0"/>
      <w:bookmarkStart w:id="405" w:name="Tc_y7_ulgvpNUSGRbc1LK-KFQ_28_3"/>
      <w:bookmarkStart w:id="406" w:name="Tc_jYL1z1EL406OSoniiwqDyw_28_0"/>
      <w:bookmarkStart w:id="407" w:name="Tc_xAgfT4vgOU6cxbzHT9Fgnw_27_3"/>
      <w:bookmarkStart w:id="408" w:name="Tc_nCM1l8wFkEi2HgAPz0Z0DQ_27_0"/>
      <w:bookmarkStart w:id="409" w:name="Tc_cmLHstODsEaH1EYvpMfdqA_26_0"/>
      <w:bookmarkStart w:id="410" w:name="Tc_QHCZElA7Ykqams4jcNj1-w_25_0"/>
      <w:bookmarkStart w:id="411" w:name="Tc_OPsH9WBGYUaUEn-vl22uxw_24_0"/>
      <w:bookmarkStart w:id="412" w:name="Tc_XTtJWsaw8Eq4j1iMY3Tpzw_23_0"/>
      <w:bookmarkStart w:id="413" w:name="Tc_ahNryNupbEi5meD2ZhY6Vg_22_0"/>
      <w:bookmarkStart w:id="414" w:name="Tc_R31EYFjjqE66LBXdZnAugQ_21_0"/>
      <w:bookmarkStart w:id="415" w:name="Tc_dg-Y9JoSiESHFFq3Wpue4g_20_0"/>
      <w:bookmarkStart w:id="416" w:name="Tc_BCQtudH4f0SovdSGE5VNWQ_19_0"/>
      <w:bookmarkStart w:id="417" w:name="Tc_45pble0NwUKC7rhHWJlv8g_18_0"/>
      <w:bookmarkStart w:id="418" w:name="Tc_lBi85NLWcUe63_YAvktqKg_17_0"/>
      <w:bookmarkStart w:id="419" w:name="Tc_HYY8S2ccQkipeCRzXR551g_16_0"/>
      <w:bookmarkStart w:id="420" w:name="Tc_8ZPgZNA1t06VchF9PvWL3g_15_0"/>
      <w:bookmarkStart w:id="421" w:name="Tc_5jLfNjJAA06NDql03wY5JA_14_0"/>
      <w:bookmarkStart w:id="422" w:name="Tc_w_X0gfL8MUCGuUU7E_1lGg_13_0"/>
      <w:bookmarkStart w:id="423" w:name="Tc_IsRqifN3kEezsKoPXkSWzg_12_3"/>
      <w:bookmarkStart w:id="424" w:name="Tc_sNlmXslryEumW82sAeuMvA_12_0"/>
      <w:bookmarkStart w:id="425" w:name="Tc_0e2QgpLvh0mteb0mnCdjsw_11_0"/>
      <w:bookmarkStart w:id="426" w:name="Tc_U9xUcinvIEqBSG4Id3DKiQ_10_0"/>
      <w:bookmarkStart w:id="427" w:name="Tc_XP-xz-8YW0WfqNiPwxi5Rg_9_0"/>
      <w:bookmarkStart w:id="428" w:name="Tc_FNXw0xbYs0W_vj5pnPYYzw_8_0"/>
      <w:bookmarkStart w:id="429" w:name="Tc_8Lo6OBvV3UGwYtlR4MIdSg_7_0"/>
      <w:bookmarkStart w:id="430" w:name="Tc_fb5fJo4scEC5cbNDB2N_mg_6_0"/>
      <w:bookmarkStart w:id="431" w:name="Tc_2ArS2QySL0y6cSdjZ8VCyw_5_5"/>
      <w:bookmarkStart w:id="432" w:name="Tc_eWWo2NwNakWZCYu8Vn4isA_5_2"/>
      <w:bookmarkStart w:id="433" w:name="Tc_rTl6XtXeh0yUQCdTL_Vxsg_5_0"/>
      <w:bookmarkStart w:id="434" w:name="Tc_ETMYyN0AwUW7Sdn6rIGydQ_4_0"/>
      <w:bookmarkStart w:id="435" w:name="Tc_SCdQ-O-4qUOh9ejjfMB2jw_3_5"/>
      <w:bookmarkStart w:id="436" w:name="Tc_M4i9yOBtkUaVrnerO2-ymg_3_2"/>
      <w:bookmarkStart w:id="437" w:name="Tc_g5C8kn9jLkGWTlVo8fIkqQ_2_2"/>
      <w:bookmarkStart w:id="438" w:name="_89fc5de3_f81b_4da5_95e4_97e486411872"/>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tbl>
      <w:tblPr>
        <w:tblW w:w="10205" w:type="dxa"/>
        <w:jc w:val="left"/>
        <w:tblInd w:w="0" w:type="dxa"/>
        <w:tblLayout w:type="fixed"/>
        <w:tblCellMar>
          <w:top w:w="0" w:type="dxa"/>
          <w:left w:w="0" w:type="dxa"/>
          <w:bottom w:w="0" w:type="dxa"/>
          <w:right w:w="0" w:type="dxa"/>
        </w:tblCellMar>
      </w:tblPr>
      <w:tblGrid>
        <w:gridCol w:w="7105"/>
        <w:gridCol w:w="326"/>
        <w:gridCol w:w="374"/>
        <w:gridCol w:w="923"/>
        <w:gridCol w:w="374"/>
        <w:gridCol w:w="224"/>
        <w:gridCol w:w="879"/>
      </w:tblGrid>
      <w:tr>
        <w:trPr/>
        <w:tc>
          <w:tcPr>
            <w:tcW w:w="7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11675" cy="175260"/>
                      <wp:effectExtent l="0" t="0" r="0" b="0"/>
                      <wp:wrapNone/>
                      <wp:docPr id="40" name="Frame40"/>
                      <a:graphic xmlns:a="http://schemas.openxmlformats.org/drawingml/2006/main">
                        <a:graphicData uri="http://schemas.microsoft.com/office/word/2010/wordprocessingShape">
                          <wps:wsp>
                            <wps:cNvSpPr txBox="1"/>
                            <wps:spPr>
                              <a:xfrm>
                                <a:off x="0" y="0"/>
                                <a:ext cx="451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7490" cy="175260"/>
                      <wp:effectExtent l="0" t="0" r="0" b="0"/>
                      <wp:wrapNone/>
                      <wp:docPr id="42" name="Frame4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6105" cy="175260"/>
                      <wp:effectExtent l="0" t="0" r="0" b="0"/>
                      <wp:wrapNone/>
                      <wp:docPr id="43" name="Frame4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7490" cy="175260"/>
                      <wp:effectExtent l="0" t="0" r="0" b="0"/>
                      <wp:wrapNone/>
                      <wp:docPr id="44" name="Frame44"/>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2240" cy="175260"/>
                      <wp:effectExtent l="0" t="0" r="0" b="0"/>
                      <wp:wrapNone/>
                      <wp:docPr id="45" name="Frame4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58165" cy="175260"/>
                      <wp:effectExtent l="0" t="0" r="0" b="0"/>
                      <wp:wrapNone/>
                      <wp:docPr id="46" name="Frame4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center"/>
              <w:rPr/>
            </w:pPr>
            <w:r>
              <w:rPr/>
              <w:t>​</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7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7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w:t>
            </w:r>
          </w:p>
        </w:tc>
      </w:tr>
      <w:tr>
        <w:trPr/>
        <w:tc>
          <w:tcPr>
            <w:tcW w:w="71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74" w:type="dxa"/>
            <w:tcBorders/>
            <w:vAlign w:val="center"/>
          </w:tcPr>
          <w:p>
            <w:pPr>
              <w:pStyle w:val="TableContents"/>
              <w:bidi w:val="0"/>
              <w:spacing w:before="0" w:after="0"/>
              <w:ind w:left="0" w:right="0" w:hanging="0"/>
              <w:jc w:val="left"/>
              <w:rPr/>
            </w:pPr>
            <w:r>
              <w:rPr/>
              <w:t>    </w:t>
            </w:r>
          </w:p>
        </w:tc>
        <w:tc>
          <w:tcPr>
            <w:tcW w:w="11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 </w:t>
            </w:r>
          </w:p>
        </w:tc>
        <w:tc>
          <w:tcPr>
            <w:tcW w:w="879" w:type="dxa"/>
            <w:tcBorders/>
            <w:shd w:fill="CCEEFF" w:val="clear"/>
            <w:vAlign w:val="center"/>
          </w:tcPr>
          <w:p>
            <w:pPr>
              <w:pStyle w:val="TableContents"/>
              <w:bidi w:val="0"/>
              <w:spacing w:before="0" w:after="0"/>
              <w:ind w:left="0" w:right="0" w:hanging="0"/>
              <w:jc w:val="right"/>
              <w:rPr/>
            </w:pPr>
            <w:r>
              <w:rPr/>
              <w:t>  </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(198,003)</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(48,027)</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5,797</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5,155</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12,027</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9,705</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149,250</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(7,025)</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(2,752)</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final payment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2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w:t>
            </w:r>
          </w:p>
        </w:tc>
        <w:tc>
          <w:tcPr>
            <w:tcW w:w="374"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(3,632)</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(43,642)</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(42,083)</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  </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(14,103)</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(9,816)</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(522,605)</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(98,451)</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147,000</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107,499</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(389,708)</w:t>
            </w:r>
          </w:p>
        </w:tc>
        <w:tc>
          <w:tcPr>
            <w:tcW w:w="374"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  </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(9,491)</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through At-The-Market (ATM) Offerings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346,719</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38,831</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Quanta private placement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35,000</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proceeds from tax withholdings on sell-to-cover equity award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1,809</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2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391,912</w:t>
            </w:r>
          </w:p>
        </w:tc>
        <w:tc>
          <w:tcPr>
            <w:tcW w:w="374"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41,785</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(41,541)</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67,674</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26" w:type="dxa"/>
            <w:tcBorders/>
            <w:vAlign w:val="center"/>
          </w:tcPr>
          <w:p>
            <w:pPr>
              <w:pStyle w:val="TableContents"/>
              <w:bidi w:val="0"/>
              <w:spacing w:before="0" w:after="0"/>
              <w:ind w:left="0" w:right="0" w:hanging="0"/>
              <w:jc w:val="left"/>
              <w:rPr/>
            </w:pPr>
            <w:r>
              <w:rPr/>
              <w:t>​</w:t>
            </w:r>
          </w:p>
        </w:tc>
        <w:tc>
          <w:tcPr>
            <w:tcW w:w="3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26,133</w:t>
            </w:r>
          </w:p>
        </w:tc>
        <w:tc>
          <w:tcPr>
            <w:tcW w:w="374"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20,286</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  </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2,057</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1,586</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addition to operating lease right-of-use asset and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earn-out liabilities to additional paid-in capital for vesting of Promote Sponsor Vesting Shares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43,379</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r>
      <w:tr>
        <w:trPr/>
        <w:tc>
          <w:tcPr>
            <w:tcW w:w="71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derivative liabilities to additional paid-in capital due to exercise of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1,609</w:t>
            </w:r>
          </w:p>
        </w:tc>
        <w:tc>
          <w:tcPr>
            <w:tcW w:w="37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71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on short term investments</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w:t>
            </w:r>
          </w:p>
        </w:tc>
        <w:tc>
          <w:tcPr>
            <w:tcW w:w="37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9" w:name="_8bc08b51_4913_4430_af8a_dcfd70e5676c"/>
      <w:bookmarkEnd w:id="439"/>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440" w:name="NOTESTOTHEUNAUDITEDINTERIMCONDENSEDCONSO"/>
      <w:bookmarkEnd w:id="440"/>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British Columbia, Canada; and Mumbai, India. The Company’s revenue is derived primarily from operations in the United States and the United Kingdom.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Certain warrants held by SNII became warrants to purchase shares of Common Stock, each entitling the holder to purchase one share of Common Stock at an exercise price of $11.50 per share, that trade on the Nasdaq Capital Market (the “Public Warrants”), while certain other warrants held by SNII became private placement warrants, each entitling the holder to purchase one share of Common Stock at an exercise price of $11.50 per share (the “Private Warrants”). The Company’s Common Stock and Public Warrants trade on the Nasdaq Capital Market under the ticker symbols “RGTI” and “RGTIW,” respectively. 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met liability classification subject to fair value adjustment measurements upon closing of the Business Combination (the “Closing”).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and nine months ended September 30, 2025 are not necessarily indicative of the results to be expected for the year ending December 31, 2025 or for other interim periods or future years.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2024,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2024, which was filed with the SEC on March 7, 2025.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0"/>
        <w:ind w:left="0" w:right="0" w:firstLine="547"/>
        <w:jc w:val="both"/>
        <w:rPr/>
      </w:pPr>
      <w:r>
        <w:rPr/>
        <w:t> </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 xml:space="preserve">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it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condensed consolidated financial statements may not be comparable to companies that comply with the new or revised accounting standards as of public company effective dates. </w:t>
      </w:r>
    </w:p>
    <w:p>
      <w:pPr>
        <w:pStyle w:val="TextBody"/>
        <w:bidi w:val="0"/>
        <w:spacing w:before="0" w:after="24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2024, which was filed with the SEC on March 7, 2025.</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Macroeconomic Conditions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supply chain constraints, international trade policies including tariffs and export controls, national security interests, pandemics, political turmoil, government shutdowns, natural catastrophes, warfare, and terrorist attacks in the United States or elsewhere, could negatively affect the Company’s business, including progress toward the development of quantum computing by increasing the cost of materials and components and our operating costs. It is not possible at this time to estimate the long-term impact that these and related events could have on the Company’s business, as the impact will depend on future developments, which are highly uncertain and cannot be predicted.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June 2022, the Financial Standards Board (“FASB”) issued Accounting Standards Update (“ASU”) No. 2022-03- Fair Value Measurement (Topic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ASU 2022-03 was effective for the Company for annual periods beginning after December 15, 2024, and interim periods within those fiscal years, with early adoption permitted. The Company determined that the adoption of this standard did not have an impact on the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December 2023, the FASB issued ASU 2023-09, “Income Taxes – Improvements to Income Tax Disclosures” requiring enhancements and further transparency to certain income tax disclosures, most notably the tax rate reconciliation and income taxes paid. ASU 2023-09 is effective for the Company for annual periods beginning after December 15, 2024 on a prospective basis. Retrospective application is also permitted. The Company is still evaluating the impact of this pronouncement on the consolidated financial statements.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condensed consolidated financial statements.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May 2025, the FASB issued ASU 2025-04, “Compensation  –  Stock Compensation (Topic 718) and Revenue from Contracts with Customers (Topic 606): Clarifications to Share-Based Consideration Payable to a Customer,” which provides clarifying guidance on the accounting for share-based consideration payable to a customer. ASU 2025-04 is effective for the Company for annual periods beginning after December 31, 2026. Early adoption is permitted using either a full retrospective or modified retrospective transition method. The Company is still evaluating the impact of this pronouncement on the condensed consolidated financial statements.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July 2025, the FASB issued ASU 2025-05 “Financial Statements  –  Credit Losses (Topic 326): Measurement of Credit Losses for Accounts Receivable and Contract Assets,” which provides practical expedients for current accounts receivable and current contract assets arising from transactions accounted for under Topic 606 (revenue from contracts with customers). ASU 2025-05 is effective for the Company for the interim and annual periods beginning after December 31, 2025. Early adoption is permitted using either a full retrospective or modified retrospective transition method. The Company does not expect the adoption of this standard to have a material impact on the condensed consolidated financial statements.</w:t>
      </w:r>
    </w:p>
    <w:p>
      <w:pPr>
        <w:pStyle w:val="TextBody"/>
        <w:bidi w:val="0"/>
        <w:spacing w:before="0" w:after="240"/>
        <w:ind w:left="0" w:right="0" w:firstLine="540"/>
        <w:jc w:val="both"/>
        <w:rPr/>
      </w:pPr>
      <w:r>
        <w:rPr/>
        <w:t>​</w:t>
      </w:r>
    </w:p>
    <w:p>
      <w:pPr>
        <w:pStyle w:val="TextBody"/>
        <w:pBdr/>
        <w:bidi w:val="0"/>
        <w:spacing w:before="0" w:after="0"/>
        <w:ind w:left="0" w:right="0" w:hanging="90"/>
        <w:jc w:val="left"/>
        <w:rPr>
          <w:rFonts w:ascii="Times New Roman;Times;serif" w:hAnsi="Times New Roman;Times;serif"/>
          <w:sz w:val="20"/>
        </w:rPr>
      </w:pPr>
      <w:bookmarkStart w:id="441" w:name="Tc_Oz8M8mvf-Eexd-FzDe2Vsg_14_16"/>
      <w:bookmarkStart w:id="442" w:name="Tc_B1OybFv0JE6nqbO9HfX6qg_14_13"/>
      <w:bookmarkStart w:id="443" w:name="Tc_lvEhmZkuDkiTIOln8VlL3g_14_10"/>
      <w:bookmarkStart w:id="444" w:name="Tc_1W6KPalj0UKbmlEDOAUhuw_14_7"/>
      <w:bookmarkStart w:id="445" w:name="Tc_RJLPcKGb602UtHvSGUunGA_14_4"/>
      <w:bookmarkStart w:id="446" w:name="Tc_qFu9gFxKAU-IV2EGWAJ6NA_14_0"/>
      <w:bookmarkStart w:id="447" w:name="Tc_gFZhqVFqn0yoElHrtz1Hcg_13_11"/>
      <w:bookmarkStart w:id="448" w:name="Tc_A5ifGkMsCU24AsxUrukpng_13_8"/>
      <w:bookmarkStart w:id="449" w:name="Tc_S527bPe7KUOVq4TJBJmx6w_13_5"/>
      <w:bookmarkStart w:id="450" w:name="Tc_BsfQY5JyJEK-zum5-QJAeQ_13_2"/>
      <w:bookmarkStart w:id="451" w:name="Tc_wWlOmJ5AUU2BgXIDmLrFsA_13_0"/>
      <w:bookmarkStart w:id="452" w:name="Tc_5cYlCF_S_0iDbeQV-u_63A_12_14"/>
      <w:bookmarkStart w:id="453" w:name="Tc_74oGkL0_f0SJbcdnSrTWQw_12_8"/>
      <w:bookmarkStart w:id="454" w:name="Tc_Gp3s9-0ufUG4ufgac9icow_12_5"/>
      <w:bookmarkStart w:id="455" w:name="Tc_levU1_sk_0CZUtqCjcZT5Q_12_2"/>
      <w:bookmarkStart w:id="456" w:name="Tc_W7ZupkJ6eEa6HbJ_1601mA_12_0"/>
      <w:bookmarkStart w:id="457" w:name="Tc_bTYtHMaSyk6MKy3W9lGOdA_11_14"/>
      <w:bookmarkStart w:id="458" w:name="Tc_vVKGw4enlUiJv_40D_H82Q_11_8"/>
      <w:bookmarkStart w:id="459" w:name="Tc_z38pukNmb0GZ5yBTeGrlkQ_11_5"/>
      <w:bookmarkStart w:id="460" w:name="Tc_I2MV8D1XgkuaJqD9EoWtiQ_11_2"/>
      <w:bookmarkStart w:id="461" w:name="Tc_RaR6Qng6HEyd_zd5MoCXxQ_11_0"/>
      <w:bookmarkStart w:id="462" w:name="Tc_HDqee3BtIUGUhFcVKi5qvw_10_14"/>
      <w:bookmarkStart w:id="463" w:name="Tc_ZoPvzFZeKE69iOruIwQrrQ_10_11"/>
      <w:bookmarkStart w:id="464" w:name="Tc_YPRs35Bgek25FE4OyU2zww_10_5"/>
      <w:bookmarkStart w:id="465" w:name="Tc_mwwPh8M-oka3ppEuMSNHYQ_10_2"/>
      <w:bookmarkStart w:id="466" w:name="Tc_AchJrDVJNka9FzZN2lknfQ_10_0"/>
      <w:bookmarkStart w:id="467" w:name="Tc_GJcG2R-kmkSc-EE4LlQnXg_9_14"/>
      <w:bookmarkStart w:id="468" w:name="Tc_NCP3h7JkNkWCehRtEDXInQ_9_11"/>
      <w:bookmarkStart w:id="469" w:name="Tc_61E-Hwvf7UefoqGWDyfLEg_9_5"/>
      <w:bookmarkStart w:id="470" w:name="Tc_XQC7KUYxuEO0q1qCCl6cGA_9_2"/>
      <w:bookmarkStart w:id="471" w:name="Tc_1QeAByBwS0CHSBPIx9YJhw_9_0"/>
      <w:bookmarkStart w:id="472" w:name="Tc_YBESQG8-70Ctiu1qoueM3g_8_17"/>
      <w:bookmarkStart w:id="473" w:name="Tc_dolJDhy7BEyCGYRT323Q7Q_8_14"/>
      <w:bookmarkStart w:id="474" w:name="Tc_SuWmlVLa40KCmksxbmSDOg_8_11"/>
      <w:bookmarkStart w:id="475" w:name="Tc_TJAFTXBCXUylDswJIfoSQQ_8_8"/>
      <w:bookmarkStart w:id="476" w:name="Tc_7G1jhrfoRkyjB_oBr1cU3A_8_5"/>
      <w:bookmarkStart w:id="477" w:name="Tc_yjVcypz-Y0uP3s6UgH5ilw_8_0"/>
      <w:bookmarkStart w:id="478" w:name="Tc_rrS5YxCudEansfI6NqW2oQ_7_14"/>
      <w:bookmarkStart w:id="479" w:name="Tc_57PVVI8hxEuIS6e0Wj3aNw_7_11"/>
      <w:bookmarkStart w:id="480" w:name="Tc_PHtbFxQvAEOeQYEBMPep1g_7_5"/>
      <w:bookmarkStart w:id="481" w:name="Tc_mU9hLGZexE-Q9DXF3p2P6w_7_0"/>
      <w:bookmarkStart w:id="482" w:name="Tc_PZlARFaP1kGq0yyU2-qbpQ_6_14"/>
      <w:bookmarkStart w:id="483" w:name="Tc_IgNBFPMYE0ucNBvPiGdgDg_6_11"/>
      <w:bookmarkStart w:id="484" w:name="Tc_wmGYZRK3-EqhNP-bqJ98tw_6_0"/>
      <w:bookmarkStart w:id="485" w:name="Tc_nXv5MpbBIkWm_BabxEFeHQ_5_16"/>
      <w:bookmarkStart w:id="486" w:name="Tc_jNqF9qgJ-Ui56Y4rGBkpzA_5_13"/>
      <w:bookmarkStart w:id="487" w:name="Tc_Ow6ZM4Lz10O1tC3HmW_wjw_5_10"/>
      <w:bookmarkStart w:id="488" w:name="Tc_uSKuzeH2Nk-sF7AIUMRA5Q_5_7"/>
      <w:bookmarkStart w:id="489" w:name="Tc_KpW-ivVpIkyix9mYn-QPWw_5_4"/>
      <w:bookmarkStart w:id="490" w:name="Tc_k1u9PdxQXUCHBiGHYM7w6A_5_0"/>
      <w:bookmarkStart w:id="491" w:name="Tc_jNGmkG719E288InDG-yCCA_4_17"/>
      <w:bookmarkStart w:id="492" w:name="Tc_fgljd43NDUudcsoYyqW-OA_4_14"/>
      <w:bookmarkStart w:id="493" w:name="Tc_qb1qSZx45USQhexmz9Y79A_4_11"/>
      <w:bookmarkStart w:id="494" w:name="Tc_-3kyuImqu0a8bEehKF7m4Q_4_8"/>
      <w:bookmarkStart w:id="495" w:name="Tc_IFsVAZwd9kemyRqDEEeMEA_4_4"/>
      <w:bookmarkStart w:id="496" w:name="Tc_qbpISE1pnEKzaGGeQ5AWgw_4_2"/>
      <w:bookmarkStart w:id="497" w:name="Tc_-h15Ql61H0yCUpnAwV0VBg_3_17"/>
      <w:bookmarkStart w:id="498" w:name="Tc_18WT3ubUK0enK-1FVisF5g_3_14"/>
      <w:bookmarkStart w:id="499" w:name="Tc_6rH6dFuJHE6rfidRVnIRBA_3_11"/>
      <w:bookmarkStart w:id="500" w:name="Tc_fE7kWow0k02gE4YGXCo15Q_3_8"/>
      <w:bookmarkStart w:id="501" w:name="Tc_mMMJCVndSEe3EmN4XEcy3w_3_2"/>
      <w:bookmarkStart w:id="502" w:name="Tc_wCUvf6yn_kei8i7L-MigJg_2_17"/>
      <w:bookmarkStart w:id="503" w:name="Tc_R2K-MiuiBUCiIpVpbE7q-w_2_11"/>
      <w:bookmarkStart w:id="504" w:name="Tc_Gw2hct_ynU6nKESPm8O2zg_2_8"/>
      <w:bookmarkStart w:id="505" w:name="Tc_I56weUprH0m0MebYWsK11A_1_11"/>
      <w:bookmarkStart w:id="506" w:name="_ad500b62_a949_45ec_8457_29c1b90ca47e"/>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ascii="Times New Roman;Times;serif" w:hAnsi="Times New Roman;Times;serif"/>
          <w:b/>
          <w:sz w:val="20"/>
        </w:rPr>
        <w:t>(3</w:t>
      </w:r>
      <w:r>
        <w:rPr>
          <w:rFonts w:ascii="Times New Roman;Times;serif" w:hAnsi="Times New Roman;Times;serif"/>
          <w:sz w:val="20"/>
        </w:rPr>
        <w:t xml:space="preserve">) </w:t>
      </w:r>
      <w:r>
        <w:rPr>
          <w:rFonts w:ascii="Times New Roman;Times;serif" w:hAnsi="Times New Roman;Times;serif"/>
          <w:b/>
          <w:sz w:val="20"/>
        </w:rPr>
        <w:t xml:space="preserve">Changes in Stockholders’ Equity </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Nine Months Ended September 30, 2025 and 2024 (in thousands):</w:t>
      </w:r>
    </w:p>
    <w:tbl>
      <w:tblPr>
        <w:tblW w:w="10205" w:type="dxa"/>
        <w:jc w:val="left"/>
        <w:tblInd w:w="0" w:type="dxa"/>
        <w:tblLayout w:type="fixed"/>
        <w:tblCellMar>
          <w:top w:w="0" w:type="dxa"/>
          <w:left w:w="0" w:type="dxa"/>
          <w:bottom w:w="0" w:type="dxa"/>
          <w:right w:w="0" w:type="dxa"/>
        </w:tblCellMar>
      </w:tblPr>
      <w:tblGrid>
        <w:gridCol w:w="1952"/>
        <w:gridCol w:w="326"/>
        <w:gridCol w:w="781"/>
        <w:gridCol w:w="326"/>
        <w:gridCol w:w="335"/>
        <w:gridCol w:w="356"/>
        <w:gridCol w:w="326"/>
        <w:gridCol w:w="326"/>
        <w:gridCol w:w="931"/>
        <w:gridCol w:w="326"/>
        <w:gridCol w:w="211"/>
        <w:gridCol w:w="902"/>
        <w:gridCol w:w="314"/>
        <w:gridCol w:w="211"/>
        <w:gridCol w:w="844"/>
        <w:gridCol w:w="326"/>
        <w:gridCol w:w="326"/>
        <w:gridCol w:w="1086"/>
      </w:tblGrid>
      <w:tr>
        <w:trPr/>
        <w:tc>
          <w:tcPr>
            <w:tcW w:w="19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2725" cy="175260"/>
                      <wp:effectExtent l="0" t="0" r="0" b="0"/>
                      <wp:wrapNone/>
                      <wp:docPr id="50" name="Frame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6060" cy="175260"/>
                      <wp:effectExtent l="0" t="0" r="0" b="0"/>
                      <wp:wrapNone/>
                      <wp:docPr id="51" name="Frame5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1185" cy="175260"/>
                      <wp:effectExtent l="0" t="0" r="0" b="0"/>
                      <wp:wrapNone/>
                      <wp:docPr id="54" name="Frame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2770" cy="175260"/>
                      <wp:effectExtent l="0" t="0" r="0" b="0"/>
                      <wp:wrapNone/>
                      <wp:docPr id="57" name="Frame57"/>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9390" cy="175260"/>
                      <wp:effectExtent l="0" t="0" r="0" b="0"/>
                      <wp:wrapNone/>
                      <wp:docPr id="58" name="Frame58"/>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5940" cy="175260"/>
                      <wp:effectExtent l="0" t="0" r="0" b="0"/>
                      <wp:wrapNone/>
                      <wp:docPr id="60" name="Frame60"/>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89610" cy="175260"/>
                      <wp:effectExtent l="0" t="0" r="0" b="0"/>
                      <wp:wrapNone/>
                      <wp:docPr id="63" name="Frame63"/>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center"/>
              <w:rPr/>
            </w:pPr>
            <w:r>
              <w:rPr/>
              <w:t>​</w:t>
            </w:r>
          </w:p>
        </w:tc>
      </w:tr>
      <w:tr>
        <w:trPr/>
        <w:tc>
          <w:tcPr>
            <w:tcW w:w="19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11"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11"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center"/>
              <w:rPr/>
            </w:pPr>
            <w:r>
              <w:rPr/>
              <w:t>​</w:t>
            </w:r>
          </w:p>
        </w:tc>
        <w:tc>
          <w:tcPr>
            <w:tcW w:w="10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323,762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(551,782)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553,263</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195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2"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 ("RSUs")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pPr>
            <w:r>
              <w:rPr/>
              <w:t>—</w:t>
            </w:r>
          </w:p>
        </w:tc>
      </w:tr>
      <w:tr>
        <w:trPr/>
        <w:tc>
          <w:tcPr>
            <w:tcW w:w="1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Sponsor Redemption-Based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r>
      <w:tr>
        <w:trPr/>
        <w:tc>
          <w:tcPr>
            <w:tcW w:w="195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14"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14"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r>
      <w:tr>
        <w:trPr/>
        <w:tc>
          <w:tcPr>
            <w:tcW w:w="19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r>
      <w:tr>
        <w:trPr/>
        <w:tc>
          <w:tcPr>
            <w:tcW w:w="1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325,308</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1,123,853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14"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(752,750)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371,826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07" w:name="Tc_H5E6Ot5EhU6qvEaH-yLHWA_15_16"/>
      <w:bookmarkStart w:id="508" w:name="Tc_OoFmwbhQlEeqenneKVjXCA_15_13"/>
      <w:bookmarkStart w:id="509" w:name="Tc_h0eHLLsAuE-viEFuPE9zbg_15_10"/>
      <w:bookmarkStart w:id="510" w:name="Tc_H14msGNX-0STRUvQz-rs_w_15_7"/>
      <w:bookmarkStart w:id="511" w:name="Tc_x6Or_0I5HEq9z1WTO_mqCQ_15_4"/>
      <w:bookmarkStart w:id="512" w:name="Tc_qZgCji3OJk-hwEnu2upF-g_15_0"/>
      <w:bookmarkStart w:id="513" w:name="Tc_2_R_33alXUyYC1pPXUn_cw_14_11"/>
      <w:bookmarkStart w:id="514" w:name="Tc_igYmQ99gH0ygVfzT-IjTaQ_14_8"/>
      <w:bookmarkStart w:id="515" w:name="Tc_Ucdlq2tktky6EaVjdZa3GQ_14_5"/>
      <w:bookmarkStart w:id="516" w:name="Tc_2FkXQiA5TESs3YFk4lbxgA_14_2"/>
      <w:bookmarkStart w:id="517" w:name="Tc_kDfJO08u60O7t5YIzLrE4Q_14_0"/>
      <w:bookmarkStart w:id="518" w:name="Tc_k0ZVt2fY4kmJzDPYiBSDSw_13_14"/>
      <w:bookmarkStart w:id="519" w:name="Tc_0GZ3w2wszka78OXn6KSU8A_13_8"/>
      <w:bookmarkStart w:id="520" w:name="Tc_OU2Y6Kqpqk6ygjKJ7h0mHA_13_5"/>
      <w:bookmarkStart w:id="521" w:name="Tc_RCA9GuGM9keAH6KrjRM3Vw_13_2"/>
      <w:bookmarkStart w:id="522" w:name="Tc_VxHqylOCrkyl8Yw9_K8sNw_13_0"/>
      <w:bookmarkStart w:id="523" w:name="Tc_mZQY7fHU_0SdRXw0OnEsrw_12_14"/>
      <w:bookmarkStart w:id="524" w:name="Tc_e8JuX7kRtk6t1kxjERiaXQ_12_8"/>
      <w:bookmarkStart w:id="525" w:name="Tc_MahZtGK9wkWey-wpjeT-Rg_12_5"/>
      <w:bookmarkStart w:id="526" w:name="Tc_fvZYxy5gs06AMX5LRotDJg_12_2"/>
      <w:bookmarkStart w:id="527" w:name="Tc_HldLeDsAu02cg_aH9iJ-jA_12_0"/>
      <w:bookmarkStart w:id="528" w:name="Tc_B0L35xs0oU-bY751P_H10w_11_14"/>
      <w:bookmarkStart w:id="529" w:name="Tc_KqsXmKwK8Ueo-WwLibfTLw_11_11"/>
      <w:bookmarkStart w:id="530" w:name="Tc_XJw5U26fmkWg9T25R8ZGTg_11_5"/>
      <w:bookmarkStart w:id="531" w:name="Tc_geqQH0H400-xEUmoKsonlg_11_2"/>
      <w:bookmarkStart w:id="532" w:name="Tc_kjNNxtxU4kube5pckXxoiQ_11_0"/>
      <w:bookmarkStart w:id="533" w:name="Tc_2duD4NC2rkmvSMLCci0VfA_10_14"/>
      <w:bookmarkStart w:id="534" w:name="Tc_gKmgEu1A4kuHst-a96U7nw_10_11"/>
      <w:bookmarkStart w:id="535" w:name="Tc_bkE9QrgoNUWrqhaF3myq1A_10_5"/>
      <w:bookmarkStart w:id="536" w:name="Tc_SFR_8PpYGUicz3AtNKe0NA_10_2"/>
      <w:bookmarkStart w:id="537" w:name="Tc_yOYYBVnYzUyuKDRyfnKd7Q_10_0"/>
      <w:bookmarkStart w:id="538" w:name="Tc_MmALJs-FvEOtVPdYeh7lWw_9_14"/>
      <w:bookmarkStart w:id="539" w:name="Tc_DEDXN-adKUKOfklLUJnprQ_9_11"/>
      <w:bookmarkStart w:id="540" w:name="Tc_hAx9qxxCnEyX09kRooYyxg_9_0"/>
      <w:bookmarkStart w:id="541" w:name="Tc_l5suEEbwdkmOTCZNL2BjxQ_8_14"/>
      <w:bookmarkStart w:id="542" w:name="Tc_Ya83o3k61EKmdDETxHdLmg_8_11"/>
      <w:bookmarkStart w:id="543" w:name="Tc_WWUOzzXmhkiieVXe11HD3g_8_0"/>
      <w:bookmarkStart w:id="544" w:name="Tc_Mz3tOcTNQEa09Zcg4ZV1SQ_7_17"/>
      <w:bookmarkStart w:id="545" w:name="Tc_6QJOGtEKRkOkaJtR89eq9A_7_14"/>
      <w:bookmarkStart w:id="546" w:name="Tc_n0T6AGP-xEOO57Af4AWEgw_7_11"/>
      <w:bookmarkStart w:id="547" w:name="Tc_ruVPliaapkagksLaErPKig_7_8"/>
      <w:bookmarkStart w:id="548" w:name="Tc_VpvISZ81VEqSawfvDm5KDw_7_5"/>
      <w:bookmarkStart w:id="549" w:name="Tc_Nhf6g92kEE-khM1R5nNOyg_7_0"/>
      <w:bookmarkStart w:id="550" w:name="Tc_KLCu4_X6T0iJt5sUXgaheA_6_14"/>
      <w:bookmarkStart w:id="551" w:name="Tc_tkeqF1mask60ojxSYW60zg_6_11"/>
      <w:bookmarkStart w:id="552" w:name="Tc_u0akSVI5NUKXbcENX9dL_w_6_5"/>
      <w:bookmarkStart w:id="553" w:name="Tc_nc-GgLDFx0-uRDAoHiFUEg_6_0"/>
      <w:bookmarkStart w:id="554" w:name="Tc_kMmKL3WCNEaXEroka2sRmw_5_16"/>
      <w:bookmarkStart w:id="555" w:name="Tc_NA7mLwLHmUm5wUrvvz9trg_5_13"/>
      <w:bookmarkStart w:id="556" w:name="Tc_8U8VZNY91ESR7gYFAewX7w_5_10"/>
      <w:bookmarkStart w:id="557" w:name="Tc_fJPxwSN2oEqo2nvKE5UdgQ_5_7"/>
      <w:bookmarkStart w:id="558" w:name="Tc_7O4Vchvmm02fGo_FZadh_A_5_4"/>
      <w:bookmarkStart w:id="559" w:name="Tc_6oFr_MtWuEOw6qei06IP2A_5_0"/>
      <w:bookmarkStart w:id="560" w:name="Tc_tZaGFS69n0-l6VvNyqSvFQ_4_16"/>
      <w:bookmarkStart w:id="561" w:name="Tc_l9ONISNnM0mVQU4_Mr52mA_4_13"/>
      <w:bookmarkStart w:id="562" w:name="Tc_vL-teHBq4kSauvAxgsOr9w_4_10"/>
      <w:bookmarkStart w:id="563" w:name="Tc_3tcXPreQkEKaGjQkBxZpIA_4_7"/>
      <w:bookmarkStart w:id="564" w:name="Tc_VYGu2EWx3EWZ8lpQAZI58A_4_4"/>
      <w:bookmarkStart w:id="565" w:name="Tc_O6oXaKaANUOzRiTOYhtUhg_4_2"/>
      <w:bookmarkStart w:id="566" w:name="Tc_0SqL50nPpUaL1zwz5UphSg_3_16"/>
      <w:bookmarkStart w:id="567" w:name="Tc_mgKcNPJJYk-4cMqxI81Uyg_3_13"/>
      <w:bookmarkStart w:id="568" w:name="Tc_W0VIe9tbm0OOmtBkdzR75A_3_10"/>
      <w:bookmarkStart w:id="569" w:name="Tc_rf-k05tuHE6F3mHudZAZ9w_3_7"/>
      <w:bookmarkStart w:id="570" w:name="Tc_cW0W-n1Hukq_ur4wg_EhBQ_3_2"/>
      <w:bookmarkStart w:id="571" w:name="Tc_f-imZjGu0Eqf1jeXepk_SQ_2_16"/>
      <w:bookmarkStart w:id="572" w:name="Tc_I_g8wrifgEiSbeaHAqCA9w_2_10"/>
      <w:bookmarkStart w:id="573" w:name="Tc_7pTQW9PuyE6y53zPTn6Whg_2_7"/>
      <w:bookmarkStart w:id="574" w:name="Tc_RX-TCNt1JUWxG-q2ti5RkQ_1_10"/>
      <w:bookmarkStart w:id="575" w:name="_6007a34d_8081_4b8c_96f4_c6da09326556"/>
      <w:bookmarkStart w:id="576" w:name="Tc_bT3ij1nsqE-7HCvLU1eNDA_14_16"/>
      <w:bookmarkStart w:id="577" w:name="Tc_O8j7WLDktUKyi1AOGloBAw_14_13"/>
      <w:bookmarkStart w:id="578" w:name="Tc_OEnNUyfYykuu52JniX_lwQ_14_10"/>
      <w:bookmarkStart w:id="579" w:name="Tc_VNzX7YnvnkecuYTHSHGaig_14_7"/>
      <w:bookmarkStart w:id="580" w:name="Tc_U80R6FIdp0C9jW1ILnHp3w_14_4"/>
      <w:bookmarkStart w:id="581" w:name="Tc_HBBEyCTOdkSM1GsgRm7h_Q_14_0"/>
      <w:bookmarkStart w:id="582" w:name="Tc_YY4cu7JiZESFl_O4oCPgoQ_13_11"/>
      <w:bookmarkStart w:id="583" w:name="Tc_Py2Xpeqi80y8UcK7XrsWWQ_13_8"/>
      <w:bookmarkStart w:id="584" w:name="Tc_oQmXO6RuR0ODfZy4yBCIGA_13_5"/>
      <w:bookmarkStart w:id="585" w:name="Tc_cUyI4HfPV0ufiXHn9eA_rQ_13_2"/>
      <w:bookmarkStart w:id="586" w:name="Tc_RdFQ-okPUkqauk-g3PDZAA_13_0"/>
      <w:bookmarkStart w:id="587" w:name="Tc_L_anUVql9UOfo2zi4MWSnw_12_14"/>
      <w:bookmarkStart w:id="588" w:name="Tc_Zhb5i3qtAE2KGqc8yGafpQ_12_8"/>
      <w:bookmarkStart w:id="589" w:name="Tc_f3BbWsdOakK1vBK_zy_Unw_12_5"/>
      <w:bookmarkStart w:id="590" w:name="Tc_RP6Jy4DQkkeYghiRC4GJ7w_12_2"/>
      <w:bookmarkStart w:id="591" w:name="Tc_uQB-Jk8Ktk-Nqc_LzDKpYg_12_0"/>
      <w:bookmarkStart w:id="592" w:name="Tc_C0-__xKiHkC21C3JDOHP3w_11_14"/>
      <w:bookmarkStart w:id="593" w:name="Tc_BVVbaLMyDkGg8GChZxZZJg_11_8"/>
      <w:bookmarkStart w:id="594" w:name="Tc_EKn8SH2VXkSFNc8vr0f9pg_11_5"/>
      <w:bookmarkStart w:id="595" w:name="Tc_gnx7VJ_MV0euugL_1sbuVA_11_2"/>
      <w:bookmarkStart w:id="596" w:name="Tc_5gnJfP2VmkK8OaReUplYSw_11_0"/>
      <w:bookmarkStart w:id="597" w:name="Tc_5lJoJVOsK0qR8tNXF8lrIA_10_14"/>
      <w:bookmarkStart w:id="598" w:name="Tc_1DloQTdH8Um02OqlAuFUPA_10_11"/>
      <w:bookmarkStart w:id="599" w:name="Tc_bP0RXdTxuUezu9P1zVOogg_10_5"/>
      <w:bookmarkStart w:id="600" w:name="Tc_JiE5XnqygECcl51pS0TjSA_10_2"/>
      <w:bookmarkStart w:id="601" w:name="Tc_0Qft1jKcdUaqPjz3WnK3ag_10_0"/>
      <w:bookmarkStart w:id="602" w:name="Tc_CQMIAm4B20aXWgIxdNoVGw_9_14"/>
      <w:bookmarkStart w:id="603" w:name="Tc_7EcXKPngk0m3hWkltYRKaQ_9_11"/>
      <w:bookmarkStart w:id="604" w:name="Tc_gDUgrMTCD0i3g7w5HxtDGA_9_5"/>
      <w:bookmarkStart w:id="605" w:name="Tc_TKlVapW5Gka04bACppjrIA_9_2"/>
      <w:bookmarkStart w:id="606" w:name="Tc_QWh5NC_qnUaGyYHGDnRLLg_9_0"/>
      <w:bookmarkStart w:id="607" w:name="Tc_jnXdhDdg2kyCdKTs3yMoSw_8_14"/>
      <w:bookmarkStart w:id="608" w:name="Tc_znFkKtiCr0uZiq8MrBKfmw_8_11"/>
      <w:bookmarkStart w:id="609" w:name="Tc_7FEpUUcOIE65_FTMbBAl-g_8_0"/>
      <w:bookmarkStart w:id="610" w:name="Tc_S3K-xh2XxE6WVH4gUhbUXA_7_17"/>
      <w:bookmarkStart w:id="611" w:name="Tc_UqboJqWvykKx6W_A8-qjmw_7_14"/>
      <w:bookmarkStart w:id="612" w:name="Tc_PQ5DdWKU9EWOkrcj0PO3Rw_7_11"/>
      <w:bookmarkStart w:id="613" w:name="Tc_yhLi_qj-BUWTsQ4qDZUO4A_7_8"/>
      <w:bookmarkStart w:id="614" w:name="Tc_9mIg7FB4S0G1YDL95UUu3Q_7_5"/>
      <w:bookmarkStart w:id="615" w:name="Tc_phGHw6m06EWBAEXvacZlGA_7_0"/>
      <w:bookmarkStart w:id="616" w:name="Tc_DXcIIdh_hE2ISm9RqyMT3Q_6_14"/>
      <w:bookmarkStart w:id="617" w:name="Tc_cWv3FJYErEOPIAXM9mK6Hw_6_11"/>
      <w:bookmarkStart w:id="618" w:name="Tc_vW8FQBzQdkaTXrqchzt2xA_6_5"/>
      <w:bookmarkStart w:id="619" w:name="Tc_RQfm5IoPlUyQAb3Q1lZwIw_6_0"/>
      <w:bookmarkStart w:id="620" w:name="Tc_74lO_yy_IUK2cuqwWKJ8Vw_5_16"/>
      <w:bookmarkStart w:id="621" w:name="Tc_MDABg2d4kkW1Er9cnIroDw_5_13"/>
      <w:bookmarkStart w:id="622" w:name="Tc_7w-tmmYwLE2o9XwXnseuig_5_10"/>
      <w:bookmarkStart w:id="623" w:name="Tc_nV-ogpZxAkWDr_w8qrh26Q_5_7"/>
      <w:bookmarkStart w:id="624" w:name="Tc_eaD3rxUyy0iJzQWBqO9IHg_5_4"/>
      <w:bookmarkStart w:id="625" w:name="Tc_Rx0_2T9zAUaO6XH2Oyb9ng_5_0"/>
      <w:bookmarkStart w:id="626" w:name="Tc_C5J9DoNOm0azXp6KlXw1LA_4_16"/>
      <w:bookmarkStart w:id="627" w:name="Tc_uP7U__-Rgkajq7j4Yqd-TQ_4_13"/>
      <w:bookmarkStart w:id="628" w:name="Tc_CsuaXKcfM0Wq9Ed1yXgUmw_4_10"/>
      <w:bookmarkStart w:id="629" w:name="Tc_KPYDEnhnxE-w1DMqgXWFRg_4_7"/>
      <w:bookmarkStart w:id="630" w:name="Tc_ZPa1EaOj7E6X8sZyUsePPg_4_4"/>
      <w:bookmarkStart w:id="631" w:name="Tc_e7bQSpLp0EG8WhAKZXx-5w_4_2"/>
      <w:bookmarkStart w:id="632" w:name="Tc_uNwHtQaCikS3lBTBW0pv7Q_3_16"/>
      <w:bookmarkStart w:id="633" w:name="Tc_g2SXz2Jo1UWzPfYk7ApDJQ_3_13"/>
      <w:bookmarkStart w:id="634" w:name="Tc_zIfGa6o-HUK_h0HQtvQNwg_3_10"/>
      <w:bookmarkStart w:id="635" w:name="Tc_-6MfqMbEcUG58FjAPLowew_3_7"/>
      <w:bookmarkStart w:id="636" w:name="Tc_xrDK_szb1Ee4cDq0WAVGLQ_3_2"/>
      <w:bookmarkStart w:id="637" w:name="Tc_k3dpNZWGjEScyLouWGY8Ow_2_16"/>
      <w:bookmarkStart w:id="638" w:name="Tc_ibieu2QSk0-DUx86wbQddg_2_10"/>
      <w:bookmarkStart w:id="639" w:name="Tc_feep8U-QH0KTdGKeFg4g8g_2_7"/>
      <w:bookmarkStart w:id="640" w:name="Tc_1rE_aPFyr0OpgN61cuOifw_1_10"/>
      <w:bookmarkStart w:id="641" w:name="_f3ae4884_7dcc_4693_8ff0_4da3591f5090"/>
      <w:bookmarkStart w:id="642" w:name="Tc_pZ3Os5w4TUC8fHFFn3kisA_18_16"/>
      <w:bookmarkStart w:id="643" w:name="Tc_FHyfhQxCzUOum8ShkgwNbA_18_13"/>
      <w:bookmarkStart w:id="644" w:name="Tc_GwLbqCBMQEap9kjw1T43QQ_18_10"/>
      <w:bookmarkStart w:id="645" w:name="Tc_3gKwKjJkeUaefasHztqsoA_18_7"/>
      <w:bookmarkStart w:id="646" w:name="Tc_0KjOmVDXnkuhzBaRnlWqow_18_4"/>
      <w:bookmarkStart w:id="647" w:name="Tc_u6-CnKLAg0-NsFdaotNbcA_18_0"/>
      <w:bookmarkStart w:id="648" w:name="Tc_Kb_tpKth40adnWRQIKpkbA_17_11"/>
      <w:bookmarkStart w:id="649" w:name="Tc_2VNmGKxsnEGRAXhdvAIxgQ_17_8"/>
      <w:bookmarkStart w:id="650" w:name="Tc_69F0gWWCREeZORUNH3Ww-A_17_5"/>
      <w:bookmarkStart w:id="651" w:name="Tc_7_Y54EoCD06_aJ8q4IKHqg_17_2"/>
      <w:bookmarkStart w:id="652" w:name="Tc_la5uVZhhqkmJynyRg3iyzQ_17_0"/>
      <w:bookmarkStart w:id="653" w:name="Tc_7Aww2GzoZEKSRVnKqYBsRg_16_14"/>
      <w:bookmarkStart w:id="654" w:name="Tc_X7eE9mrHbEmTW_Tgw80i4Q_16_8"/>
      <w:bookmarkStart w:id="655" w:name="Tc_LAUUBZCRgUel-zVtolKmQA_16_5"/>
      <w:bookmarkStart w:id="656" w:name="Tc_RkAK2yQEsE6IN7En1NwdOg_16_2"/>
      <w:bookmarkStart w:id="657" w:name="Tc_-7tQBHqbqkSaXZHU3WYP1Q_16_0"/>
      <w:bookmarkStart w:id="658" w:name="Tc_zY0euJb8OkOr46H4K514Ow_15_14"/>
      <w:bookmarkStart w:id="659" w:name="Tc_ysptOwZsikiwScx1RnTyqQ_15_8"/>
      <w:bookmarkStart w:id="660" w:name="Tc_uqxZO5nrQkqMepFJNW1lEw_15_5"/>
      <w:bookmarkStart w:id="661" w:name="Tc_sNTgE_s8LUOiRaYHMXOR4g_15_2"/>
      <w:bookmarkStart w:id="662" w:name="Tc_NABP7kfBx0yjsnMY_CTthg_15_0"/>
      <w:bookmarkStart w:id="663" w:name="Tc_43qPGKEGoE6ubdCFkGxYYA_14_14"/>
      <w:bookmarkStart w:id="664" w:name="Tc_7YiWZw_2uUONjCMcJQTw8g_14_11"/>
      <w:bookmarkStart w:id="665" w:name="Tc_9uwAJd6s80-u1hQ7Ng8mMA_14_5"/>
      <w:bookmarkStart w:id="666" w:name="Tc_EXXfRiEHGkWoowSrLKwPbQ_14_2"/>
      <w:bookmarkStart w:id="667" w:name="Tc_QOZFXENJQUyd4X-n7lf0yw_14_0"/>
      <w:bookmarkStart w:id="668" w:name="Tc_oIgeOutUR02mdV9LRCAVBg_13_14"/>
      <w:bookmarkStart w:id="669" w:name="Tc_r-TupFH1wkiwNST_zQ-eWQ_13_11"/>
      <w:bookmarkStart w:id="670" w:name="Tc_l8JulBeD7kawRVdCdyd65w_13_5"/>
      <w:bookmarkStart w:id="671" w:name="Tc_PlCzhtg92Ei9r2K-iOQm_g_13_2"/>
      <w:bookmarkStart w:id="672" w:name="Tc_OQhauDFRKUeaE3_Envrn1g_13_0"/>
      <w:bookmarkStart w:id="673" w:name="Tc_c87yobRtcU6oYxMHV6pE2Q_12_14"/>
      <w:bookmarkStart w:id="674" w:name="Tc_Cezvib90O0ux64JDRVD13Q_12_11"/>
      <w:bookmarkStart w:id="675" w:name="Tc_Flm9YZgbfUKA-IC7TYWVWA_12_5"/>
      <w:bookmarkStart w:id="676" w:name="Tc_U_H-n85CTkWfAPZwDWVEpA_12_2"/>
      <w:bookmarkStart w:id="677" w:name="Tc_tS6oBiNSxUGbjQj7ToFrsQ_12_0"/>
      <w:bookmarkStart w:id="678" w:name="Tc_pZyK3iX2UEW7turpe47ukw_11_14"/>
      <w:bookmarkStart w:id="679" w:name="Tc_ywOrgxDMikyGnp6WX4_2FQ_11_11"/>
      <w:bookmarkStart w:id="680" w:name="Tc_CvFzwm-440aZ1K5DAdgiSg_11_5"/>
      <w:bookmarkStart w:id="681" w:name="Tc_jaeHrOgG70-1dr807LJS7w_11_2"/>
      <w:bookmarkStart w:id="682" w:name="Tc_bp2PXMkdIU2NdKULyyHfSA_11_0"/>
      <w:bookmarkStart w:id="683" w:name="Tc_D6SBaT_EtEytqsM_oKT84g_10_14"/>
      <w:bookmarkStart w:id="684" w:name="Tc_-8YrttJZXEqp250zxVvElg_10_11"/>
      <w:bookmarkStart w:id="685" w:name="Tc_xQt7NBZLtUqzkR27EIx7lQ_10_0"/>
      <w:bookmarkStart w:id="686" w:name="Tc_ZVfDboiCVUqdQ-8DxwdWdw_9_14"/>
      <w:bookmarkStart w:id="687" w:name="Tc_4lI6Eqk95k6Qu9rGVU_xDg_9_11"/>
      <w:bookmarkStart w:id="688" w:name="Tc_bQBz0IVLx0-ZZmeSzfRbfw_9_5"/>
      <w:bookmarkStart w:id="689" w:name="Tc_ZYE6tA8IYkWdKhCfydgMfw_9_0"/>
      <w:bookmarkStart w:id="690" w:name="Tc_yt3xYibSvkmBh9HuZ8yg-Q_8_17"/>
      <w:bookmarkStart w:id="691" w:name="Tc_gXkQ1dK5IUi25btytMUNFQ_8_14"/>
      <w:bookmarkStart w:id="692" w:name="Tc_eui_fxNRn0Oa5wG0eL-hSQ_8_11"/>
      <w:bookmarkStart w:id="693" w:name="Tc_RzOCsqJpVUO7XUDnAHKtPQ_8_8"/>
      <w:bookmarkStart w:id="694" w:name="Tc__qr78C326UGaYchmIyCN_Q_8_5"/>
      <w:bookmarkStart w:id="695" w:name="Tc_CSni0cf9uUyrO4atQjP-gw_8_0"/>
      <w:bookmarkStart w:id="696" w:name="Tc_LPKT84_XOkC5RnjE3pqyXw_7_14"/>
      <w:bookmarkStart w:id="697" w:name="Tc_EfjXXTNFj0KiJmimpcgEoA_7_11"/>
      <w:bookmarkStart w:id="698" w:name="Tc_POU70JfsqE6xn0x71qP1kQ_7_5"/>
      <w:bookmarkStart w:id="699" w:name="Tc_ibyk4zVZFESaDsoN6FNxAA_7_0"/>
      <w:bookmarkStart w:id="700" w:name="Tc_eTWf-ss4dkOmKYDTgz__FQ_6_14"/>
      <w:bookmarkStart w:id="701" w:name="Tc_FGG8Efmn9k2j65aLXr6LzA_6_11"/>
      <w:bookmarkStart w:id="702" w:name="Tc_iYyzSH5C5kCXAdQ7QhO_qg_6_0"/>
      <w:bookmarkStart w:id="703" w:name="Tc_fOWT4wIxJEaDnGZKDa2-RQ_5_16"/>
      <w:bookmarkStart w:id="704" w:name="Tc_kYBu_i8dekO4UbJDyAyuhg_5_13"/>
      <w:bookmarkStart w:id="705" w:name="Tc_r6aDSPuifUSA0mqL9rGmpw_5_10"/>
      <w:bookmarkStart w:id="706" w:name="Tc_drqjr9Fx-UOUcTvPASDZNA_5_7"/>
      <w:bookmarkStart w:id="707" w:name="Tc_RkM3B5t-Vk2EhWUFFB9Kog_5_4"/>
      <w:bookmarkStart w:id="708" w:name="Tc_1NUX3soVy0mz432jxAzROg_5_0"/>
      <w:bookmarkStart w:id="709" w:name="Tc_7TaLemytyUKZAhWVMmxh6g_4_16"/>
      <w:bookmarkStart w:id="710" w:name="Tc_3f_najnrykON-BDPaNehvw_4_13"/>
      <w:bookmarkStart w:id="711" w:name="Tc_egMCb4m6nUKe6jo3nJgHKA_4_10"/>
      <w:bookmarkStart w:id="712" w:name="Tc_TxSEBZucQEyd_Rc9S5AXrQ_4_7"/>
      <w:bookmarkStart w:id="713" w:name="Tc_3saR0N92vkaJ-KMxw14A9Q_4_4"/>
      <w:bookmarkStart w:id="714" w:name="Tc_ce5vV_hz4U6YxZIcc6uFRg_4_2"/>
      <w:bookmarkStart w:id="715" w:name="Tc_crW8Zy0B_kuMoDRiL6RlKA_3_16"/>
      <w:bookmarkStart w:id="716" w:name="Tc_OQh5UUKfk0ykaZUiiQyF7A_3_13"/>
      <w:bookmarkStart w:id="717" w:name="Tc_QYEUUFumf0KXi7fqIGtIow_3_10"/>
      <w:bookmarkStart w:id="718" w:name="Tc__ZoUllzOx0uydJG2coYPDQ_3_7"/>
      <w:bookmarkStart w:id="719" w:name="Tc_TGq-DNegk0ySoMgWSqeMmw_3_2"/>
      <w:bookmarkStart w:id="720" w:name="Tc_eCfRW5pIt0GnV80c7nW73A_2_16"/>
      <w:bookmarkStart w:id="721" w:name="Tc_IPle8TfD6kWYi0ydD5v-UA_2_10"/>
      <w:bookmarkStart w:id="722" w:name="Tc_Yp4r-ITNmkmoYjOlVvV24Q_2_7"/>
      <w:bookmarkStart w:id="723" w:name="Tc_gAt6nhkfa0uw_jrf_jlWbA_1_10"/>
      <w:bookmarkStart w:id="724" w:name="_e28cfd39_e158_4291_932c_106867f0025a"/>
      <w:bookmarkStart w:id="725" w:name="Tc_H5E6Ot5EhU6qvEaH-yLHWA_15_16"/>
      <w:bookmarkStart w:id="726" w:name="Tc_OoFmwbhQlEeqenneKVjXCA_15_13"/>
      <w:bookmarkStart w:id="727" w:name="Tc_h0eHLLsAuE-viEFuPE9zbg_15_10"/>
      <w:bookmarkStart w:id="728" w:name="Tc_H14msGNX-0STRUvQz-rs_w_15_7"/>
      <w:bookmarkStart w:id="729" w:name="Tc_x6Or_0I5HEq9z1WTO_mqCQ_15_4"/>
      <w:bookmarkStart w:id="730" w:name="Tc_qZgCji3OJk-hwEnu2upF-g_15_0"/>
      <w:bookmarkStart w:id="731" w:name="Tc_2_R_33alXUyYC1pPXUn_cw_14_11"/>
      <w:bookmarkStart w:id="732" w:name="Tc_igYmQ99gH0ygVfzT-IjTaQ_14_8"/>
      <w:bookmarkStart w:id="733" w:name="Tc_Ucdlq2tktky6EaVjdZa3GQ_14_5"/>
      <w:bookmarkStart w:id="734" w:name="Tc_2FkXQiA5TESs3YFk4lbxgA_14_2"/>
      <w:bookmarkStart w:id="735" w:name="Tc_kDfJO08u60O7t5YIzLrE4Q_14_0"/>
      <w:bookmarkStart w:id="736" w:name="Tc_k0ZVt2fY4kmJzDPYiBSDSw_13_14"/>
      <w:bookmarkStart w:id="737" w:name="Tc_0GZ3w2wszka78OXn6KSU8A_13_8"/>
      <w:bookmarkStart w:id="738" w:name="Tc_OU2Y6Kqpqk6ygjKJ7h0mHA_13_5"/>
      <w:bookmarkStart w:id="739" w:name="Tc_RCA9GuGM9keAH6KrjRM3Vw_13_2"/>
      <w:bookmarkStart w:id="740" w:name="Tc_VxHqylOCrkyl8Yw9_K8sNw_13_0"/>
      <w:bookmarkStart w:id="741" w:name="Tc_mZQY7fHU_0SdRXw0OnEsrw_12_14"/>
      <w:bookmarkStart w:id="742" w:name="Tc_e8JuX7kRtk6t1kxjERiaXQ_12_8"/>
      <w:bookmarkStart w:id="743" w:name="Tc_MahZtGK9wkWey-wpjeT-Rg_12_5"/>
      <w:bookmarkStart w:id="744" w:name="Tc_fvZYxy5gs06AMX5LRotDJg_12_2"/>
      <w:bookmarkStart w:id="745" w:name="Tc_HldLeDsAu02cg_aH9iJ-jA_12_0"/>
      <w:bookmarkStart w:id="746" w:name="Tc_B0L35xs0oU-bY751P_H10w_11_14"/>
      <w:bookmarkStart w:id="747" w:name="Tc_KqsXmKwK8Ueo-WwLibfTLw_11_11"/>
      <w:bookmarkStart w:id="748" w:name="Tc_XJw5U26fmkWg9T25R8ZGTg_11_5"/>
      <w:bookmarkStart w:id="749" w:name="Tc_geqQH0H400-xEUmoKsonlg_11_2"/>
      <w:bookmarkStart w:id="750" w:name="Tc_kjNNxtxU4kube5pckXxoiQ_11_0"/>
      <w:bookmarkStart w:id="751" w:name="Tc_2duD4NC2rkmvSMLCci0VfA_10_14"/>
      <w:bookmarkStart w:id="752" w:name="Tc_gKmgEu1A4kuHst-a96U7nw_10_11"/>
      <w:bookmarkStart w:id="753" w:name="Tc_bkE9QrgoNUWrqhaF3myq1A_10_5"/>
      <w:bookmarkStart w:id="754" w:name="Tc_SFR_8PpYGUicz3AtNKe0NA_10_2"/>
      <w:bookmarkStart w:id="755" w:name="Tc_yOYYBVnYzUyuKDRyfnKd7Q_10_0"/>
      <w:bookmarkStart w:id="756" w:name="Tc_MmALJs-FvEOtVPdYeh7lWw_9_14"/>
      <w:bookmarkStart w:id="757" w:name="Tc_DEDXN-adKUKOfklLUJnprQ_9_11"/>
      <w:bookmarkStart w:id="758" w:name="Tc_hAx9qxxCnEyX09kRooYyxg_9_0"/>
      <w:bookmarkStart w:id="759" w:name="Tc_l5suEEbwdkmOTCZNL2BjxQ_8_14"/>
      <w:bookmarkStart w:id="760" w:name="Tc_Ya83o3k61EKmdDETxHdLmg_8_11"/>
      <w:bookmarkStart w:id="761" w:name="Tc_WWUOzzXmhkiieVXe11HD3g_8_0"/>
      <w:bookmarkStart w:id="762" w:name="Tc_Mz3tOcTNQEa09Zcg4ZV1SQ_7_17"/>
      <w:bookmarkStart w:id="763" w:name="Tc_6QJOGtEKRkOkaJtR89eq9A_7_14"/>
      <w:bookmarkStart w:id="764" w:name="Tc_n0T6AGP-xEOO57Af4AWEgw_7_11"/>
      <w:bookmarkStart w:id="765" w:name="Tc_ruVPliaapkagksLaErPKig_7_8"/>
      <w:bookmarkStart w:id="766" w:name="Tc_VpvISZ81VEqSawfvDm5KDw_7_5"/>
      <w:bookmarkStart w:id="767" w:name="Tc_Nhf6g92kEE-khM1R5nNOyg_7_0"/>
      <w:bookmarkStart w:id="768" w:name="Tc_KLCu4_X6T0iJt5sUXgaheA_6_14"/>
      <w:bookmarkStart w:id="769" w:name="Tc_tkeqF1mask60ojxSYW60zg_6_11"/>
      <w:bookmarkStart w:id="770" w:name="Tc_u0akSVI5NUKXbcENX9dL_w_6_5"/>
      <w:bookmarkStart w:id="771" w:name="Tc_nc-GgLDFx0-uRDAoHiFUEg_6_0"/>
      <w:bookmarkStart w:id="772" w:name="Tc_kMmKL3WCNEaXEroka2sRmw_5_16"/>
      <w:bookmarkStart w:id="773" w:name="Tc_NA7mLwLHmUm5wUrvvz9trg_5_13"/>
      <w:bookmarkStart w:id="774" w:name="Tc_8U8VZNY91ESR7gYFAewX7w_5_10"/>
      <w:bookmarkStart w:id="775" w:name="Tc_fJPxwSN2oEqo2nvKE5UdgQ_5_7"/>
      <w:bookmarkStart w:id="776" w:name="Tc_7O4Vchvmm02fGo_FZadh_A_5_4"/>
      <w:bookmarkStart w:id="777" w:name="Tc_6oFr_MtWuEOw6qei06IP2A_5_0"/>
      <w:bookmarkStart w:id="778" w:name="Tc_tZaGFS69n0-l6VvNyqSvFQ_4_16"/>
      <w:bookmarkStart w:id="779" w:name="Tc_l9ONISNnM0mVQU4_Mr52mA_4_13"/>
      <w:bookmarkStart w:id="780" w:name="Tc_vL-teHBq4kSauvAxgsOr9w_4_10"/>
      <w:bookmarkStart w:id="781" w:name="Tc_3tcXPreQkEKaGjQkBxZpIA_4_7"/>
      <w:bookmarkStart w:id="782" w:name="Tc_VYGu2EWx3EWZ8lpQAZI58A_4_4"/>
      <w:bookmarkStart w:id="783" w:name="Tc_O6oXaKaANUOzRiTOYhtUhg_4_2"/>
      <w:bookmarkStart w:id="784" w:name="Tc_0SqL50nPpUaL1zwz5UphSg_3_16"/>
      <w:bookmarkStart w:id="785" w:name="Tc_mgKcNPJJYk-4cMqxI81Uyg_3_13"/>
      <w:bookmarkStart w:id="786" w:name="Tc_W0VIe9tbm0OOmtBkdzR75A_3_10"/>
      <w:bookmarkStart w:id="787" w:name="Tc_rf-k05tuHE6F3mHudZAZ9w_3_7"/>
      <w:bookmarkStart w:id="788" w:name="Tc_cW0W-n1Hukq_ur4wg_EhBQ_3_2"/>
      <w:bookmarkStart w:id="789" w:name="Tc_f-imZjGu0Eqf1jeXepk_SQ_2_16"/>
      <w:bookmarkStart w:id="790" w:name="Tc_I_g8wrifgEiSbeaHAqCA9w_2_10"/>
      <w:bookmarkStart w:id="791" w:name="Tc_7pTQW9PuyE6y53zPTn6Whg_2_7"/>
      <w:bookmarkStart w:id="792" w:name="Tc_RX-TCNt1JUWxG-q2ti5RkQ_1_10"/>
      <w:bookmarkStart w:id="793" w:name="_6007a34d_8081_4b8c_96f4_c6da09326556"/>
      <w:bookmarkStart w:id="794" w:name="Tc_bT3ij1nsqE-7HCvLU1eNDA_14_16"/>
      <w:bookmarkStart w:id="795" w:name="Tc_O8j7WLDktUKyi1AOGloBAw_14_13"/>
      <w:bookmarkStart w:id="796" w:name="Tc_OEnNUyfYykuu52JniX_lwQ_14_10"/>
      <w:bookmarkStart w:id="797" w:name="Tc_VNzX7YnvnkecuYTHSHGaig_14_7"/>
      <w:bookmarkStart w:id="798" w:name="Tc_U80R6FIdp0C9jW1ILnHp3w_14_4"/>
      <w:bookmarkStart w:id="799" w:name="Tc_HBBEyCTOdkSM1GsgRm7h_Q_14_0"/>
      <w:bookmarkStart w:id="800" w:name="Tc_YY4cu7JiZESFl_O4oCPgoQ_13_11"/>
      <w:bookmarkStart w:id="801" w:name="Tc_Py2Xpeqi80y8UcK7XrsWWQ_13_8"/>
      <w:bookmarkStart w:id="802" w:name="Tc_oQmXO6RuR0ODfZy4yBCIGA_13_5"/>
      <w:bookmarkStart w:id="803" w:name="Tc_cUyI4HfPV0ufiXHn9eA_rQ_13_2"/>
      <w:bookmarkStart w:id="804" w:name="Tc_RdFQ-okPUkqauk-g3PDZAA_13_0"/>
      <w:bookmarkStart w:id="805" w:name="Tc_L_anUVql9UOfo2zi4MWSnw_12_14"/>
      <w:bookmarkStart w:id="806" w:name="Tc_Zhb5i3qtAE2KGqc8yGafpQ_12_8"/>
      <w:bookmarkStart w:id="807" w:name="Tc_f3BbWsdOakK1vBK_zy_Unw_12_5"/>
      <w:bookmarkStart w:id="808" w:name="Tc_RP6Jy4DQkkeYghiRC4GJ7w_12_2"/>
      <w:bookmarkStart w:id="809" w:name="Tc_uQB-Jk8Ktk-Nqc_LzDKpYg_12_0"/>
      <w:bookmarkStart w:id="810" w:name="Tc_C0-__xKiHkC21C3JDOHP3w_11_14"/>
      <w:bookmarkStart w:id="811" w:name="Tc_BVVbaLMyDkGg8GChZxZZJg_11_8"/>
      <w:bookmarkStart w:id="812" w:name="Tc_EKn8SH2VXkSFNc8vr0f9pg_11_5"/>
      <w:bookmarkStart w:id="813" w:name="Tc_gnx7VJ_MV0euugL_1sbuVA_11_2"/>
      <w:bookmarkStart w:id="814" w:name="Tc_5gnJfP2VmkK8OaReUplYSw_11_0"/>
      <w:bookmarkStart w:id="815" w:name="Tc_5lJoJVOsK0qR8tNXF8lrIA_10_14"/>
      <w:bookmarkStart w:id="816" w:name="Tc_1DloQTdH8Um02OqlAuFUPA_10_11"/>
      <w:bookmarkStart w:id="817" w:name="Tc_bP0RXdTxuUezu9P1zVOogg_10_5"/>
      <w:bookmarkStart w:id="818" w:name="Tc_JiE5XnqygECcl51pS0TjSA_10_2"/>
      <w:bookmarkStart w:id="819" w:name="Tc_0Qft1jKcdUaqPjz3WnK3ag_10_0"/>
      <w:bookmarkStart w:id="820" w:name="Tc_CQMIAm4B20aXWgIxdNoVGw_9_14"/>
      <w:bookmarkStart w:id="821" w:name="Tc_7EcXKPngk0m3hWkltYRKaQ_9_11"/>
      <w:bookmarkStart w:id="822" w:name="Tc_gDUgrMTCD0i3g7w5HxtDGA_9_5"/>
      <w:bookmarkStart w:id="823" w:name="Tc_TKlVapW5Gka04bACppjrIA_9_2"/>
      <w:bookmarkStart w:id="824" w:name="Tc_QWh5NC_qnUaGyYHGDnRLLg_9_0"/>
      <w:bookmarkStart w:id="825" w:name="Tc_jnXdhDdg2kyCdKTs3yMoSw_8_14"/>
      <w:bookmarkStart w:id="826" w:name="Tc_znFkKtiCr0uZiq8MrBKfmw_8_11"/>
      <w:bookmarkStart w:id="827" w:name="Tc_7FEpUUcOIE65_FTMbBAl-g_8_0"/>
      <w:bookmarkStart w:id="828" w:name="Tc_S3K-xh2XxE6WVH4gUhbUXA_7_17"/>
      <w:bookmarkStart w:id="829" w:name="Tc_UqboJqWvykKx6W_A8-qjmw_7_14"/>
      <w:bookmarkStart w:id="830" w:name="Tc_PQ5DdWKU9EWOkrcj0PO3Rw_7_11"/>
      <w:bookmarkStart w:id="831" w:name="Tc_yhLi_qj-BUWTsQ4qDZUO4A_7_8"/>
      <w:bookmarkStart w:id="832" w:name="Tc_9mIg7FB4S0G1YDL95UUu3Q_7_5"/>
      <w:bookmarkStart w:id="833" w:name="Tc_phGHw6m06EWBAEXvacZlGA_7_0"/>
      <w:bookmarkStart w:id="834" w:name="Tc_DXcIIdh_hE2ISm9RqyMT3Q_6_14"/>
      <w:bookmarkStart w:id="835" w:name="Tc_cWv3FJYErEOPIAXM9mK6Hw_6_11"/>
      <w:bookmarkStart w:id="836" w:name="Tc_vW8FQBzQdkaTXrqchzt2xA_6_5"/>
      <w:bookmarkStart w:id="837" w:name="Tc_RQfm5IoPlUyQAb3Q1lZwIw_6_0"/>
      <w:bookmarkStart w:id="838" w:name="Tc_74lO_yy_IUK2cuqwWKJ8Vw_5_16"/>
      <w:bookmarkStart w:id="839" w:name="Tc_MDABg2d4kkW1Er9cnIroDw_5_13"/>
      <w:bookmarkStart w:id="840" w:name="Tc_7w-tmmYwLE2o9XwXnseuig_5_10"/>
      <w:bookmarkStart w:id="841" w:name="Tc_nV-ogpZxAkWDr_w8qrh26Q_5_7"/>
      <w:bookmarkStart w:id="842" w:name="Tc_eaD3rxUyy0iJzQWBqO9IHg_5_4"/>
      <w:bookmarkStart w:id="843" w:name="Tc_Rx0_2T9zAUaO6XH2Oyb9ng_5_0"/>
      <w:bookmarkStart w:id="844" w:name="Tc_C5J9DoNOm0azXp6KlXw1LA_4_16"/>
      <w:bookmarkStart w:id="845" w:name="Tc_uP7U__-Rgkajq7j4Yqd-TQ_4_13"/>
      <w:bookmarkStart w:id="846" w:name="Tc_CsuaXKcfM0Wq9Ed1yXgUmw_4_10"/>
      <w:bookmarkStart w:id="847" w:name="Tc_KPYDEnhnxE-w1DMqgXWFRg_4_7"/>
      <w:bookmarkStart w:id="848" w:name="Tc_ZPa1EaOj7E6X8sZyUsePPg_4_4"/>
      <w:bookmarkStart w:id="849" w:name="Tc_e7bQSpLp0EG8WhAKZXx-5w_4_2"/>
      <w:bookmarkStart w:id="850" w:name="Tc_uNwHtQaCikS3lBTBW0pv7Q_3_16"/>
      <w:bookmarkStart w:id="851" w:name="Tc_g2SXz2Jo1UWzPfYk7ApDJQ_3_13"/>
      <w:bookmarkStart w:id="852" w:name="Tc_zIfGa6o-HUK_h0HQtvQNwg_3_10"/>
      <w:bookmarkStart w:id="853" w:name="Tc_-6MfqMbEcUG58FjAPLowew_3_7"/>
      <w:bookmarkStart w:id="854" w:name="Tc_xrDK_szb1Ee4cDq0WAVGLQ_3_2"/>
      <w:bookmarkStart w:id="855" w:name="Tc_k3dpNZWGjEScyLouWGY8Ow_2_16"/>
      <w:bookmarkStart w:id="856" w:name="Tc_ibieu2QSk0-DUx86wbQddg_2_10"/>
      <w:bookmarkStart w:id="857" w:name="Tc_feep8U-QH0KTdGKeFg4g8g_2_7"/>
      <w:bookmarkStart w:id="858" w:name="Tc_1rE_aPFyr0OpgN61cuOifw_1_10"/>
      <w:bookmarkStart w:id="859" w:name="_f3ae4884_7dcc_4693_8ff0_4da3591f5090"/>
      <w:bookmarkStart w:id="860" w:name="Tc_pZ3Os5w4TUC8fHFFn3kisA_18_16"/>
      <w:bookmarkStart w:id="861" w:name="Tc_FHyfhQxCzUOum8ShkgwNbA_18_13"/>
      <w:bookmarkStart w:id="862" w:name="Tc_GwLbqCBMQEap9kjw1T43QQ_18_10"/>
      <w:bookmarkStart w:id="863" w:name="Tc_3gKwKjJkeUaefasHztqsoA_18_7"/>
      <w:bookmarkStart w:id="864" w:name="Tc_0KjOmVDXnkuhzBaRnlWqow_18_4"/>
      <w:bookmarkStart w:id="865" w:name="Tc_u6-CnKLAg0-NsFdaotNbcA_18_0"/>
      <w:bookmarkStart w:id="866" w:name="Tc_Kb_tpKth40adnWRQIKpkbA_17_11"/>
      <w:bookmarkStart w:id="867" w:name="Tc_2VNmGKxsnEGRAXhdvAIxgQ_17_8"/>
      <w:bookmarkStart w:id="868" w:name="Tc_69F0gWWCREeZORUNH3Ww-A_17_5"/>
      <w:bookmarkStart w:id="869" w:name="Tc_7_Y54EoCD06_aJ8q4IKHqg_17_2"/>
      <w:bookmarkStart w:id="870" w:name="Tc_la5uVZhhqkmJynyRg3iyzQ_17_0"/>
      <w:bookmarkStart w:id="871" w:name="Tc_7Aww2GzoZEKSRVnKqYBsRg_16_14"/>
      <w:bookmarkStart w:id="872" w:name="Tc_X7eE9mrHbEmTW_Tgw80i4Q_16_8"/>
      <w:bookmarkStart w:id="873" w:name="Tc_LAUUBZCRgUel-zVtolKmQA_16_5"/>
      <w:bookmarkStart w:id="874" w:name="Tc_RkAK2yQEsE6IN7En1NwdOg_16_2"/>
      <w:bookmarkStart w:id="875" w:name="Tc_-7tQBHqbqkSaXZHU3WYP1Q_16_0"/>
      <w:bookmarkStart w:id="876" w:name="Tc_zY0euJb8OkOr46H4K514Ow_15_14"/>
      <w:bookmarkStart w:id="877" w:name="Tc_ysptOwZsikiwScx1RnTyqQ_15_8"/>
      <w:bookmarkStart w:id="878" w:name="Tc_uqxZO5nrQkqMepFJNW1lEw_15_5"/>
      <w:bookmarkStart w:id="879" w:name="Tc_sNTgE_s8LUOiRaYHMXOR4g_15_2"/>
      <w:bookmarkStart w:id="880" w:name="Tc_NABP7kfBx0yjsnMY_CTthg_15_0"/>
      <w:bookmarkStart w:id="881" w:name="Tc_43qPGKEGoE6ubdCFkGxYYA_14_14"/>
      <w:bookmarkStart w:id="882" w:name="Tc_7YiWZw_2uUONjCMcJQTw8g_14_11"/>
      <w:bookmarkStart w:id="883" w:name="Tc_9uwAJd6s80-u1hQ7Ng8mMA_14_5"/>
      <w:bookmarkStart w:id="884" w:name="Tc_EXXfRiEHGkWoowSrLKwPbQ_14_2"/>
      <w:bookmarkStart w:id="885" w:name="Tc_QOZFXENJQUyd4X-n7lf0yw_14_0"/>
      <w:bookmarkStart w:id="886" w:name="Tc_oIgeOutUR02mdV9LRCAVBg_13_14"/>
      <w:bookmarkStart w:id="887" w:name="Tc_r-TupFH1wkiwNST_zQ-eWQ_13_11"/>
      <w:bookmarkStart w:id="888" w:name="Tc_l8JulBeD7kawRVdCdyd65w_13_5"/>
      <w:bookmarkStart w:id="889" w:name="Tc_PlCzhtg92Ei9r2K-iOQm_g_13_2"/>
      <w:bookmarkStart w:id="890" w:name="Tc_OQhauDFRKUeaE3_Envrn1g_13_0"/>
      <w:bookmarkStart w:id="891" w:name="Tc_c87yobRtcU6oYxMHV6pE2Q_12_14"/>
      <w:bookmarkStart w:id="892" w:name="Tc_Cezvib90O0ux64JDRVD13Q_12_11"/>
      <w:bookmarkStart w:id="893" w:name="Tc_Flm9YZgbfUKA-IC7TYWVWA_12_5"/>
      <w:bookmarkStart w:id="894" w:name="Tc_U_H-n85CTkWfAPZwDWVEpA_12_2"/>
      <w:bookmarkStart w:id="895" w:name="Tc_tS6oBiNSxUGbjQj7ToFrsQ_12_0"/>
      <w:bookmarkStart w:id="896" w:name="Tc_pZyK3iX2UEW7turpe47ukw_11_14"/>
      <w:bookmarkStart w:id="897" w:name="Tc_ywOrgxDMikyGnp6WX4_2FQ_11_11"/>
      <w:bookmarkStart w:id="898" w:name="Tc_CvFzwm-440aZ1K5DAdgiSg_11_5"/>
      <w:bookmarkStart w:id="899" w:name="Tc_jaeHrOgG70-1dr807LJS7w_11_2"/>
      <w:bookmarkStart w:id="900" w:name="Tc_bp2PXMkdIU2NdKULyyHfSA_11_0"/>
      <w:bookmarkStart w:id="901" w:name="Tc_D6SBaT_EtEytqsM_oKT84g_10_14"/>
      <w:bookmarkStart w:id="902" w:name="Tc_-8YrttJZXEqp250zxVvElg_10_11"/>
      <w:bookmarkStart w:id="903" w:name="Tc_xQt7NBZLtUqzkR27EIx7lQ_10_0"/>
      <w:bookmarkStart w:id="904" w:name="Tc_ZVfDboiCVUqdQ-8DxwdWdw_9_14"/>
      <w:bookmarkStart w:id="905" w:name="Tc_4lI6Eqk95k6Qu9rGVU_xDg_9_11"/>
      <w:bookmarkStart w:id="906" w:name="Tc_bQBz0IVLx0-ZZmeSzfRbfw_9_5"/>
      <w:bookmarkStart w:id="907" w:name="Tc_ZYE6tA8IYkWdKhCfydgMfw_9_0"/>
      <w:bookmarkStart w:id="908" w:name="Tc_yt3xYibSvkmBh9HuZ8yg-Q_8_17"/>
      <w:bookmarkStart w:id="909" w:name="Tc_gXkQ1dK5IUi25btytMUNFQ_8_14"/>
      <w:bookmarkStart w:id="910" w:name="Tc_eui_fxNRn0Oa5wG0eL-hSQ_8_11"/>
      <w:bookmarkStart w:id="911" w:name="Tc_RzOCsqJpVUO7XUDnAHKtPQ_8_8"/>
      <w:bookmarkStart w:id="912" w:name="Tc__qr78C326UGaYchmIyCN_Q_8_5"/>
      <w:bookmarkStart w:id="913" w:name="Tc_CSni0cf9uUyrO4atQjP-gw_8_0"/>
      <w:bookmarkStart w:id="914" w:name="Tc_LPKT84_XOkC5RnjE3pqyXw_7_14"/>
      <w:bookmarkStart w:id="915" w:name="Tc_EfjXXTNFj0KiJmimpcgEoA_7_11"/>
      <w:bookmarkStart w:id="916" w:name="Tc_POU70JfsqE6xn0x71qP1kQ_7_5"/>
      <w:bookmarkStart w:id="917" w:name="Tc_ibyk4zVZFESaDsoN6FNxAA_7_0"/>
      <w:bookmarkStart w:id="918" w:name="Tc_eTWf-ss4dkOmKYDTgz__FQ_6_14"/>
      <w:bookmarkStart w:id="919" w:name="Tc_FGG8Efmn9k2j65aLXr6LzA_6_11"/>
      <w:bookmarkStart w:id="920" w:name="Tc_iYyzSH5C5kCXAdQ7QhO_qg_6_0"/>
      <w:bookmarkStart w:id="921" w:name="Tc_fOWT4wIxJEaDnGZKDa2-RQ_5_16"/>
      <w:bookmarkStart w:id="922" w:name="Tc_kYBu_i8dekO4UbJDyAyuhg_5_13"/>
      <w:bookmarkStart w:id="923" w:name="Tc_r6aDSPuifUSA0mqL9rGmpw_5_10"/>
      <w:bookmarkStart w:id="924" w:name="Tc_drqjr9Fx-UOUcTvPASDZNA_5_7"/>
      <w:bookmarkStart w:id="925" w:name="Tc_RkM3B5t-Vk2EhWUFFB9Kog_5_4"/>
      <w:bookmarkStart w:id="926" w:name="Tc_1NUX3soVy0mz432jxAzROg_5_0"/>
      <w:bookmarkStart w:id="927" w:name="Tc_7TaLemytyUKZAhWVMmxh6g_4_16"/>
      <w:bookmarkStart w:id="928" w:name="Tc_3f_najnrykON-BDPaNehvw_4_13"/>
      <w:bookmarkStart w:id="929" w:name="Tc_egMCb4m6nUKe6jo3nJgHKA_4_10"/>
      <w:bookmarkStart w:id="930" w:name="Tc_TxSEBZucQEyd_Rc9S5AXrQ_4_7"/>
      <w:bookmarkStart w:id="931" w:name="Tc_3saR0N92vkaJ-KMxw14A9Q_4_4"/>
      <w:bookmarkStart w:id="932" w:name="Tc_ce5vV_hz4U6YxZIcc6uFRg_4_2"/>
      <w:bookmarkStart w:id="933" w:name="Tc_crW8Zy0B_kuMoDRiL6RlKA_3_16"/>
      <w:bookmarkStart w:id="934" w:name="Tc_OQh5UUKfk0ykaZUiiQyF7A_3_13"/>
      <w:bookmarkStart w:id="935" w:name="Tc_QYEUUFumf0KXi7fqIGtIow_3_10"/>
      <w:bookmarkStart w:id="936" w:name="Tc__ZoUllzOx0uydJG2coYPDQ_3_7"/>
      <w:bookmarkStart w:id="937" w:name="Tc_TGq-DNegk0ySoMgWSqeMmw_3_2"/>
      <w:bookmarkStart w:id="938" w:name="Tc_eCfRW5pIt0GnV80c7nW73A_2_16"/>
      <w:bookmarkStart w:id="939" w:name="Tc_IPle8TfD6kWYi0ydD5v-UA_2_10"/>
      <w:bookmarkStart w:id="940" w:name="Tc_Yp4r-ITNmkmoYjOlVvV24Q_2_7"/>
      <w:bookmarkStart w:id="941" w:name="Tc_gAt6nhkfa0uw_jrf_jlWbA_1_10"/>
      <w:bookmarkStart w:id="942" w:name="_e28cfd39_e158_4291_932c_106867f0025a"/>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tbl>
      <w:tblPr>
        <w:tblW w:w="10205" w:type="dxa"/>
        <w:jc w:val="left"/>
        <w:tblInd w:w="0" w:type="dxa"/>
        <w:tblLayout w:type="fixed"/>
        <w:tblCellMar>
          <w:top w:w="0" w:type="dxa"/>
          <w:left w:w="0" w:type="dxa"/>
          <w:bottom w:w="0" w:type="dxa"/>
          <w:right w:w="0" w:type="dxa"/>
        </w:tblCellMar>
      </w:tblPr>
      <w:tblGrid>
        <w:gridCol w:w="2031"/>
        <w:gridCol w:w="326"/>
        <w:gridCol w:w="781"/>
        <w:gridCol w:w="326"/>
        <w:gridCol w:w="335"/>
        <w:gridCol w:w="356"/>
        <w:gridCol w:w="326"/>
        <w:gridCol w:w="326"/>
        <w:gridCol w:w="931"/>
        <w:gridCol w:w="326"/>
        <w:gridCol w:w="370"/>
        <w:gridCol w:w="846"/>
        <w:gridCol w:w="326"/>
        <w:gridCol w:w="211"/>
        <w:gridCol w:w="845"/>
        <w:gridCol w:w="326"/>
        <w:gridCol w:w="326"/>
        <w:gridCol w:w="891"/>
      </w:tblGrid>
      <w:tr>
        <w:trPr/>
        <w:tc>
          <w:tcPr>
            <w:tcW w:w="2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725" cy="175260"/>
                      <wp:effectExtent l="0" t="0" r="0" b="0"/>
                      <wp:wrapNone/>
                      <wp:docPr id="67" name="Frame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8" name="Frame6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4950" cy="175260"/>
                      <wp:effectExtent l="0" t="0" r="0" b="0"/>
                      <wp:wrapNone/>
                      <wp:docPr id="73" name="Frame7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7210" cy="175260"/>
                      <wp:effectExtent l="0" t="0" r="0" b="0"/>
                      <wp:wrapNone/>
                      <wp:docPr id="74" name="Frame7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6575" cy="175260"/>
                      <wp:effectExtent l="0" t="0" r="0" b="0"/>
                      <wp:wrapNone/>
                      <wp:docPr id="77" name="Frame77"/>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5785" cy="175260"/>
                      <wp:effectExtent l="0" t="0" r="0" b="0"/>
                      <wp:wrapNone/>
                      <wp:docPr id="80" name="Frame8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center"/>
              <w:rPr/>
            </w:pPr>
            <w:r>
              <w:rPr/>
              <w:t>​</w:t>
            </w:r>
          </w:p>
        </w:tc>
      </w:tr>
      <w:tr>
        <w:trPr/>
        <w:tc>
          <w:tcPr>
            <w:tcW w:w="2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283,547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681,202</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(554,747)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20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6,154</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pPr>
            <w:r>
              <w:rPr/>
              <w:t>—</w:t>
            </w:r>
          </w:p>
        </w:tc>
      </w:tr>
      <w:tr>
        <w:trPr/>
        <w:tc>
          <w:tcPr>
            <w:tcW w:w="20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346,716</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Sponsor Redemption-Based Vesting Shares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offering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12,027</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12,027</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2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r>
      <w:tr>
        <w:trPr/>
        <w:tc>
          <w:tcPr>
            <w:tcW w:w="2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325,308</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1,123,853</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(752,750)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371,826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9"/>
        <w:gridCol w:w="326"/>
        <w:gridCol w:w="781"/>
        <w:gridCol w:w="326"/>
        <w:gridCol w:w="335"/>
        <w:gridCol w:w="356"/>
        <w:gridCol w:w="326"/>
        <w:gridCol w:w="326"/>
        <w:gridCol w:w="781"/>
        <w:gridCol w:w="326"/>
        <w:gridCol w:w="404"/>
        <w:gridCol w:w="812"/>
        <w:gridCol w:w="326"/>
        <w:gridCol w:w="211"/>
        <w:gridCol w:w="849"/>
        <w:gridCol w:w="326"/>
        <w:gridCol w:w="326"/>
        <w:gridCol w:w="899"/>
      </w:tblGrid>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2725" cy="175260"/>
                      <wp:effectExtent l="0" t="0" r="0" b="0"/>
                      <wp:wrapNone/>
                      <wp:docPr id="84" name="Frame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56540" cy="175260"/>
                      <wp:effectExtent l="0" t="0" r="0" b="0"/>
                      <wp:wrapNone/>
                      <wp:docPr id="90" name="Frame90"/>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5620" cy="175260"/>
                      <wp:effectExtent l="0" t="0" r="0" b="0"/>
                      <wp:wrapNone/>
                      <wp:docPr id="91" name="Frame9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9115" cy="175260"/>
                      <wp:effectExtent l="0" t="0" r="0" b="0"/>
                      <wp:wrapNone/>
                      <wp:docPr id="94" name="Frame94"/>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0865" cy="175260"/>
                      <wp:effectExtent l="0" t="0" r="0" b="0"/>
                      <wp:wrapNone/>
                      <wp:docPr id="97" name="Frame9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122,158</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11,996</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11,998</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offering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r>
      <w:tr>
        <w:trPr/>
        <w:tc>
          <w:tcPr>
            <w:tcW w:w="2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191,958</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524,351</w:t>
            </w:r>
          </w:p>
        </w:tc>
        <w:tc>
          <w:tcPr>
            <w:tcW w:w="32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(401,786)</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122,838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7"/>
        <w:gridCol w:w="326"/>
        <w:gridCol w:w="781"/>
        <w:gridCol w:w="326"/>
        <w:gridCol w:w="326"/>
        <w:gridCol w:w="346"/>
        <w:gridCol w:w="326"/>
        <w:gridCol w:w="326"/>
        <w:gridCol w:w="781"/>
        <w:gridCol w:w="326"/>
        <w:gridCol w:w="339"/>
        <w:gridCol w:w="682"/>
        <w:gridCol w:w="326"/>
        <w:gridCol w:w="326"/>
        <w:gridCol w:w="850"/>
        <w:gridCol w:w="326"/>
        <w:gridCol w:w="326"/>
        <w:gridCol w:w="899"/>
      </w:tblGrid>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5265" cy="175260"/>
                      <wp:effectExtent l="0" t="0" r="0" b="0"/>
                      <wp:wrapNone/>
                      <wp:docPr id="107" name="Frame10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3070" cy="175260"/>
                      <wp:effectExtent l="0" t="0" r="0" b="0"/>
                      <wp:wrapNone/>
                      <wp:docPr id="108" name="Frame10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9750" cy="175260"/>
                      <wp:effectExtent l="0" t="0" r="0" b="0"/>
                      <wp:wrapNone/>
                      <wp:docPr id="111" name="Frame111"/>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0865" cy="175260"/>
                      <wp:effectExtent l="0" t="0" r="0" b="0"/>
                      <wp:wrapNone/>
                      <wp:docPr id="114" name="Frame11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center"/>
              <w:rPr/>
            </w:pPr>
            <w:r>
              <w:rPr/>
              <w:t>​</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2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26"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147,066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ATM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38,831</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offering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191,958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524,351</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(401,786)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122,838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left"/>
        <w:rPr>
          <w:rFonts w:ascii="Times New Roman;Times;serif" w:hAnsi="Times New Roman;Times;serif"/>
          <w:sz w:val="20"/>
        </w:rPr>
      </w:pPr>
      <w:bookmarkStart w:id="943" w:name="Tc_Uin9mhA7uECtvmSsBOuxWQ_13_11"/>
      <w:bookmarkStart w:id="944" w:name="Tc_CnCkA0eKRkKm--j3RMPvSg_13_9"/>
      <w:bookmarkStart w:id="945" w:name="Tc_fjoHz40nZUKDfqT-qTQb6w_13_8"/>
      <w:bookmarkStart w:id="946" w:name="Tc_8e1Tb0U6Q06O3Pp57DnK3Q_13_5"/>
      <w:bookmarkStart w:id="947" w:name="Tc_bZEeoOCfA0eI8Bj7xyH2xA_13_2"/>
      <w:bookmarkStart w:id="948" w:name="Tc_rgJWAdLFZU29pt-1ACCOcg_13_0"/>
      <w:bookmarkStart w:id="949" w:name="Tc__QVTYwFuWUax1od32UDp3A_12_11"/>
      <w:bookmarkStart w:id="950" w:name="Tc_pEIckmVZVkiWxmakR9Ld2w_12_9"/>
      <w:bookmarkStart w:id="951" w:name="Tc_2FGhAFLoa0yQKIrNHHjYrA_12_8"/>
      <w:bookmarkStart w:id="952" w:name="Tc_AZj-1o2WR0SRbcSohM0PSQ_12_5"/>
      <w:bookmarkStart w:id="953" w:name="Tc_cP4UKPN6YEGNiezBfhMtDg_12_2"/>
      <w:bookmarkStart w:id="954" w:name="Tc_gaKFMJV6iEGpqjkZ_xlzTQ_12_0"/>
      <w:bookmarkStart w:id="955" w:name="Tc_U7zd4xUr1ESda57uKIIiAA_11_0"/>
      <w:bookmarkStart w:id="956" w:name="Tc_TkHEf_iuMk6wsjE0lalENQ_10_11"/>
      <w:bookmarkStart w:id="957" w:name="Tc_sWbPUl5eMUeMMWbjhe0zkg_10_8"/>
      <w:bookmarkStart w:id="958" w:name="Tc_tQLqvWPp8kC0LNDt0mjr0A_10_5"/>
      <w:bookmarkStart w:id="959" w:name="Tc_Q0NL6Pgal0agqgO-ekJGSw_10_2"/>
      <w:bookmarkStart w:id="960" w:name="Tc_4NEocsaaYUaBxvFfeVtuuQ_10_0"/>
      <w:bookmarkStart w:id="961" w:name="Tc_gCuoDynY30Oq_Yacb5UEUg_9_11"/>
      <w:bookmarkStart w:id="962" w:name="Tc_v_TSpHnpWk6SQ1CUQOx-Yw_9_8"/>
      <w:bookmarkStart w:id="963" w:name="Tc_YDmtZl0BU0mw3fmHFPzqQA_9_5"/>
      <w:bookmarkStart w:id="964" w:name="Tc_y6jEMdV2Sk6n8EvFKq9zJQ_9_2"/>
      <w:bookmarkStart w:id="965" w:name="Tc_J2RhKAPur0aP82bD7g65MQ_9_0"/>
      <w:bookmarkStart w:id="966" w:name="Tc_cFwxR6Yjwk-xM32JDx5g3A_8_0"/>
      <w:bookmarkStart w:id="967" w:name="Tc_S2jrYriv2kW6ghbrlvK4xw_7_11"/>
      <w:bookmarkStart w:id="968" w:name="Tc_GuGKofm01kKTTIJI0BoX2w_7_9"/>
      <w:bookmarkStart w:id="969" w:name="Tc_uOq3T9aaAkKmFLmUD2RVGA_7_8"/>
      <w:bookmarkStart w:id="970" w:name="Tc_U93IOUBYAkCFqqWyt_AkBA_7_6"/>
      <w:bookmarkStart w:id="971" w:name="Tc_uvlJbbvHc0Oe02MvIp1JiQ_7_5"/>
      <w:bookmarkStart w:id="972" w:name="Tc_7CYOfYPRdUOeGmQ2SHmEJQ_7_2"/>
      <w:bookmarkStart w:id="973" w:name="Tc_GwxYpEca006NVbAOrMK8gw_7_0"/>
      <w:bookmarkStart w:id="974" w:name="Tc_Urh4VxRCOEykpBNvOfbvpw_6_9"/>
      <w:bookmarkStart w:id="975" w:name="Tc_Am-HIm85WES_i7_wS8j78w_6_6"/>
      <w:bookmarkStart w:id="976" w:name="Tc_yiP82Uq0TESGPx9TyPJIuA_6_0"/>
      <w:bookmarkStart w:id="977" w:name="Tc_APzWtDHO90SsSsemEi_MZw_5_11"/>
      <w:bookmarkStart w:id="978" w:name="Tc_0LRhUr-jYUidqV_GZQge2Q_5_9"/>
      <w:bookmarkStart w:id="979" w:name="Tc__eSAwFsOzUm6PpLKNQwBrQ_5_8"/>
      <w:bookmarkStart w:id="980" w:name="Tc_LSZereSOW0i0TDFJAk1sNw_5_6"/>
      <w:bookmarkStart w:id="981" w:name="Tc_MJfRZD3jfU6yc0fQVeSM_g_5_5"/>
      <w:bookmarkStart w:id="982" w:name="Tc_o5dRZFmM3Eyw_R5fBl4hEw_5_2"/>
      <w:bookmarkStart w:id="983" w:name="Tc_KECo6njPXUqfp8yzxkAGrw_5_0"/>
      <w:bookmarkStart w:id="984" w:name="Tc_y5dFp9GTbUKZZXa854sj7w_4_0"/>
      <w:bookmarkStart w:id="985" w:name="Tc_Om5OckSrrkuTDRHEHIV1Qg_3_11"/>
      <w:bookmarkStart w:id="986" w:name="Tc_WJ8DUKGR2EmR13IptyoErQ_3_8"/>
      <w:bookmarkStart w:id="987" w:name="Tc_lqW5UgfRsUKbxFzJkX-HuA_3_5"/>
      <w:bookmarkStart w:id="988" w:name="Tc_NujmFe3tQE6_hUWpyN4MoA_3_2"/>
      <w:bookmarkStart w:id="989" w:name="Tc_eE3Ki3Qlkk6RE6Axn7Vxjg_2_11"/>
      <w:bookmarkStart w:id="990" w:name="Tc_S962Hj-s502jiQpqWcHdjQ_2_8"/>
      <w:bookmarkStart w:id="991" w:name="Tc_LnVRdF22Qkm6yt-kxgrM5w_2_5"/>
      <w:bookmarkStart w:id="992" w:name="Tc__coiE6yiMU6uAHvObbuSyQ_2_2"/>
      <w:bookmarkStart w:id="993" w:name="Tc_g6T8nBX4kkyz6A4acGnrwQ_1_2"/>
      <w:bookmarkStart w:id="994" w:name="_4676b9d9_027a_4f0f_98fc_ca628d11bc74"/>
      <w:bookmarkStart w:id="995" w:name="Tc_8x6dtFNjZEehlC3UQbQjZg_12_11"/>
      <w:bookmarkStart w:id="996" w:name="Tc_GYPocNk2pUiHh6MWm61uBg_12_8"/>
      <w:bookmarkStart w:id="997" w:name="Tc_N_L5VvaO5kmzWLbKTkf-tA_12_5"/>
      <w:bookmarkStart w:id="998" w:name="Tc_85I2YgHBukqaTDB5vPC2Tg_12_2"/>
      <w:bookmarkStart w:id="999" w:name="Tc_J8SgnyoKEkq5x5fghZij6w_12_0"/>
      <w:bookmarkStart w:id="1000" w:name="Tc_r_KFOy4sk0qVVNVxj5ilog_11_11"/>
      <w:bookmarkStart w:id="1001" w:name="Tc_TIK77sD2lUedkF2VFTV3RA_11_8"/>
      <w:bookmarkStart w:id="1002" w:name="Tc_gjuZzkyJ80KeWU1nvcHYcg_11_5"/>
      <w:bookmarkStart w:id="1003" w:name="Tc_t18N7Unox0mxasMlLOAMfQ_11_2"/>
      <w:bookmarkStart w:id="1004" w:name="Tc_SQTimfBPJ0mR0IHefy9pzw_11_0"/>
      <w:bookmarkStart w:id="1005" w:name="Tc_O1-H7z-bzUCTrHXsGBvJCQ_10_0"/>
      <w:bookmarkStart w:id="1006" w:name="Tc_prUpHybKOEOLkUBaxoCY0A_9_11"/>
      <w:bookmarkStart w:id="1007" w:name="Tc_4q6OgBEYOEyISwK6lN-mMg_9_9"/>
      <w:bookmarkStart w:id="1008" w:name="Tc_CsBV4UDwFE-MKpzNuq_6ZA_9_8"/>
      <w:bookmarkStart w:id="1009" w:name="Tc_5JyzikRFGUmJBKXiw61ytw_9_5"/>
      <w:bookmarkStart w:id="1010" w:name="Tc_WRkp2WScF0G4HvissRMAYg_9_2"/>
      <w:bookmarkStart w:id="1011" w:name="Tc_4X_KyEgg5kSTL07qsrwKCg_9_0"/>
      <w:bookmarkStart w:id="1012" w:name="Tc_94U-mpgnCkavbL5vLhOcXA_8_11"/>
      <w:bookmarkStart w:id="1013" w:name="Tc_wcz9Ws06MUmo_pMfv7CwIw_8_9"/>
      <w:bookmarkStart w:id="1014" w:name="Tc_e5JvOpheJESdYrt1gkG14A_8_8"/>
      <w:bookmarkStart w:id="1015" w:name="Tc_1fRlPwtchkKsu-xnMsc41g_8_5"/>
      <w:bookmarkStart w:id="1016" w:name="Tc_Z6QAGr0xL0uqOpt9kczGmA_8_2"/>
      <w:bookmarkStart w:id="1017" w:name="Tc_FOxNqs1dq0atZn8HVJMo1A_8_0"/>
      <w:bookmarkStart w:id="1018" w:name="Tc_ZqoP9ymka0mqJDT3ehSB-A_7_0"/>
      <w:bookmarkStart w:id="1019" w:name="Tc_sHhpNG9Fs0SWJJQFlERkFQ_6_11"/>
      <w:bookmarkStart w:id="1020" w:name="Tc_VbYEAISkWkStrfWmfgojwQ_6_9"/>
      <w:bookmarkStart w:id="1021" w:name="Tc_h0yQPSr-dEG3yZtJjfUFPQ_6_8"/>
      <w:bookmarkStart w:id="1022" w:name="Tc_H2JkWkAgyUq37tEoLaWIig_6_6"/>
      <w:bookmarkStart w:id="1023" w:name="Tc_r6oVEBK3FEOU5j4ZOeho2w_6_5"/>
      <w:bookmarkStart w:id="1024" w:name="Tc_pfuuhQw9ykWB6DVi59f5rg_6_2"/>
      <w:bookmarkStart w:id="1025" w:name="Tc_mxJIxmHtrUmNBYkIYbIktg_6_0"/>
      <w:bookmarkStart w:id="1026" w:name="Tc_B8tn_p2zY0G0iWO5uJzbxQ_5_11"/>
      <w:bookmarkStart w:id="1027" w:name="Tc_X5f5PeM7eUGRqkte-lEhxQ_5_9"/>
      <w:bookmarkStart w:id="1028" w:name="Tc_fjuMbPfIKU-6F6EDp9fakA_5_8"/>
      <w:bookmarkStart w:id="1029" w:name="Tc_sH3xg89hyUKtsHjZRMLRtA_5_6"/>
      <w:bookmarkStart w:id="1030" w:name="Tc_sXqo6AO0OECPtKa6z--uuQ_5_5"/>
      <w:bookmarkStart w:id="1031" w:name="Tc_GOHL_rbOb0uGMFYLO7aI4w_5_2"/>
      <w:bookmarkStart w:id="1032" w:name="Tc_400xVgDtdEm_GhcZfROhcw_5_0"/>
      <w:bookmarkStart w:id="1033" w:name="Tc_7CCYLWQ530u0bR6H4EkFCQ_4_0"/>
      <w:bookmarkStart w:id="1034" w:name="Tc_RDv58--jlky3cg8IkOdlqA_3_11"/>
      <w:bookmarkStart w:id="1035" w:name="Tc_yT1oIZLuR0C8TLl4x1k_Vg_3_8"/>
      <w:bookmarkStart w:id="1036" w:name="Tc_qGVq3PTFKUm6H0JlVtqvxg_3_5"/>
      <w:bookmarkStart w:id="1037" w:name="Tc_t2h1pbnK10GtGWewQ0NP4w_3_2"/>
      <w:bookmarkStart w:id="1038" w:name="Tc_-WwKOKNr70eb6vKEUIWlTA_2_11"/>
      <w:bookmarkStart w:id="1039" w:name="Tc_6riMbVJIuk2p97cXbD8YWw_2_8"/>
      <w:bookmarkStart w:id="1040" w:name="Tc_yiWN-n33YUqDLDqlzWZI-g_2_5"/>
      <w:bookmarkStart w:id="1041" w:name="Tc_FiYUEGoHck6MO3JTOIgfFw_2_2"/>
      <w:bookmarkStart w:id="1042" w:name="Tc_hoWX2Y0F5ECj4otcW9VN_Q_1_2"/>
      <w:bookmarkStart w:id="1043" w:name="_1e4d5122_7d71_4397_96b1_61a4c47b722b"/>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Investments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investments in fixed income securities are classified as cash equivalents or available-for-sale in the condensed consolidated balance sheets based on the underlying maturity date of each investment. Fixed income securities are recorded at their estimated fair value. The amortized cost, gross unrealized holding gains and losses included in accumulated other comprehensive income and the fair value of the fixed income securities as of September 30, 2025 and December 31, 2024 are presented in the tables below (in thousands):</w:t>
      </w:r>
    </w:p>
    <w:p>
      <w:pPr>
        <w:pStyle w:val="TextBody"/>
        <w:bidi w:val="0"/>
        <w:spacing w:before="0" w:after="0"/>
        <w:ind w:left="0" w:right="0" w:firstLine="547"/>
        <w:jc w:val="both"/>
        <w:rPr/>
      </w:pPr>
      <w:r>
        <w:rPr/>
        <w:t>​</w:t>
      </w:r>
    </w:p>
    <w:tbl>
      <w:tblPr>
        <w:tblW w:w="8920" w:type="dxa"/>
        <w:jc w:val="left"/>
        <w:tblInd w:w="0" w:type="dxa"/>
        <w:tblLayout w:type="fixed"/>
        <w:tblCellMar>
          <w:top w:w="0" w:type="dxa"/>
          <w:left w:w="0" w:type="dxa"/>
          <w:bottom w:w="0" w:type="dxa"/>
          <w:right w:w="0" w:type="dxa"/>
        </w:tblCellMar>
      </w:tblPr>
      <w:tblGrid>
        <w:gridCol w:w="3706"/>
        <w:gridCol w:w="326"/>
        <w:gridCol w:w="211"/>
        <w:gridCol w:w="781"/>
        <w:gridCol w:w="326"/>
        <w:gridCol w:w="295"/>
        <w:gridCol w:w="591"/>
        <w:gridCol w:w="326"/>
        <w:gridCol w:w="318"/>
        <w:gridCol w:w="568"/>
        <w:gridCol w:w="326"/>
        <w:gridCol w:w="211"/>
        <w:gridCol w:w="781"/>
        <w:gridCol w:w="154"/>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7325" cy="175260"/>
                      <wp:effectExtent l="0" t="0" r="0" b="0"/>
                      <wp:wrapNone/>
                      <wp:docPr id="119" name="Frame11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75285" cy="175260"/>
                      <wp:effectExtent l="0" t="0" r="0" b="0"/>
                      <wp:wrapNone/>
                      <wp:docPr id="120" name="Frame12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1930" cy="175260"/>
                      <wp:effectExtent l="0" t="0" r="0" b="0"/>
                      <wp:wrapNone/>
                      <wp:docPr id="122" name="Frame12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0680" cy="175260"/>
                      <wp:effectExtent l="0" t="0" r="0" b="0"/>
                      <wp:wrapNone/>
                      <wp:docPr id="123" name="Frame12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3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420,331</w:t>
            </w:r>
          </w:p>
        </w:tc>
        <w:tc>
          <w:tcPr>
            <w:tcW w:w="326"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420,331</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420,850</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111,710</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111,955</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111,710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111,955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811" w:type="dxa"/>
        <w:jc w:val="left"/>
        <w:tblInd w:w="0" w:type="dxa"/>
        <w:tblLayout w:type="fixed"/>
        <w:tblCellMar>
          <w:top w:w="0" w:type="dxa"/>
          <w:left w:w="0" w:type="dxa"/>
          <w:bottom w:w="0" w:type="dxa"/>
          <w:right w:w="0" w:type="dxa"/>
        </w:tblCellMar>
      </w:tblPr>
      <w:tblGrid>
        <w:gridCol w:w="3706"/>
        <w:gridCol w:w="326"/>
        <w:gridCol w:w="211"/>
        <w:gridCol w:w="781"/>
        <w:gridCol w:w="326"/>
        <w:gridCol w:w="335"/>
        <w:gridCol w:w="551"/>
        <w:gridCol w:w="326"/>
        <w:gridCol w:w="335"/>
        <w:gridCol w:w="551"/>
        <w:gridCol w:w="326"/>
        <w:gridCol w:w="211"/>
        <w:gridCol w:w="826"/>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30" name="Frame1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725" cy="175260"/>
                      <wp:effectExtent l="0" t="0" r="0" b="0"/>
                      <wp:wrapNone/>
                      <wp:docPr id="132" name="Frame13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9885" cy="175260"/>
                      <wp:effectExtent l="0" t="0" r="0" b="0"/>
                      <wp:wrapNone/>
                      <wp:docPr id="133" name="Frame13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2725" cy="175260"/>
                      <wp:effectExtent l="0" t="0" r="0" b="0"/>
                      <wp:wrapNone/>
                      <wp:docPr id="135" name="Frame13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49885" cy="175260"/>
                      <wp:effectExtent l="0" t="0" r="0" b="0"/>
                      <wp:wrapNone/>
                      <wp:docPr id="136" name="Frame13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24510" cy="175260"/>
                      <wp:effectExtent l="0" t="0" r="0" b="0"/>
                      <wp:wrapNone/>
                      <wp:docPr id="139" name="Frame1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investments-long-term: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25,068</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invests in highly rated investment grade debt securities. As of September 30, 2025, all of the Company’s available-for-sale securities have final maturities of one year or less, except for four U.S. treasury securities classified as long-term with final maturities extending through March 15, 2027.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September 30, 2025 or December 31, 2024.</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the Company determined that none of the unrealized losses were other-than-temporary, and that recognition of an impairment charge was not required as of September 30, 2025 or December 31, 2024. As of September 30, 2025, there was one security with an aggregate market value of $22.2 million in an unrealized loss position. The loss related to this security was less than $0.1 million and it has not been in an unrealized loss position for more than one year. No available-for-sale securities were sold during the nine months ended September 30, 2025 or September 30, 2024.</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44" w:name="Tc_H2de2piaKke4qxvjnYTCRQ_16_8"/>
      <w:bookmarkStart w:id="1045" w:name="Tc_tdg6fePEfk-g2_s2o-DMoA_16_6"/>
      <w:bookmarkStart w:id="1046" w:name="Tc_PUJ9RlZVkkyrwtOUTT5c_A_16_5"/>
      <w:bookmarkStart w:id="1047" w:name="Tc_f4b99z7S2kOkPGS7ddlzFg_16_2"/>
      <w:bookmarkStart w:id="1048" w:name="Tc_nxTKYQSjCEOPRj4LTUXFYw_16_0"/>
      <w:bookmarkStart w:id="1049" w:name="Tc_JNykinwmtUGY2MNJsFo6aQ_15_6"/>
      <w:bookmarkStart w:id="1050" w:name="Tc_HN4foUP2hUe20mSeB96HeQ_15_3"/>
      <w:bookmarkStart w:id="1051" w:name="Tc_LWRExOhYYkK6WgsPtSkGaw_15_0"/>
      <w:bookmarkStart w:id="1052" w:name="Tc_njnURxGav0uHL8YBMhADPg_14_6"/>
      <w:bookmarkStart w:id="1053" w:name="Tc_x9cz1WoWSUOvy3DAYU22-Q_14_3"/>
      <w:bookmarkStart w:id="1054" w:name="Tc_T3FwTcPa5kSNLbyyu4t-4w_14_0"/>
      <w:bookmarkStart w:id="1055" w:name="Tc_uFnn8cMYFU25kowbOY1K9A_13_9"/>
      <w:bookmarkStart w:id="1056" w:name="Tc_kImMy2A_GkKFkhImn3PeIg_13_8"/>
      <w:bookmarkStart w:id="1057" w:name="Tc_e342c8esckW-rR8PMXd3iQ_13_6"/>
      <w:bookmarkStart w:id="1058" w:name="Tc_B7IpTKHiGUqt2UAQ9qF8QQ_13_5"/>
      <w:bookmarkStart w:id="1059" w:name="Tc_89qzMAs-aEeGhqHGnPNBBg_13_2"/>
      <w:bookmarkStart w:id="1060" w:name="Tc_Us2BKTFYKk2OVSRqVym5YA_13_0"/>
      <w:bookmarkStart w:id="1061" w:name="Tc_6EU40DjDBkOKsc4pw4kb3w_12_0"/>
      <w:bookmarkStart w:id="1062" w:name="Tc_ZBhscTgmYU6bjGGPM6f6dQ_11_9"/>
      <w:bookmarkStart w:id="1063" w:name="Tc_qSQdjgRoq0enB4_666gQjA_11_8"/>
      <w:bookmarkStart w:id="1064" w:name="Tc_4yQDLKTEAkKO15jNCRkCFA_11_5"/>
      <w:bookmarkStart w:id="1065" w:name="Tc_aBAeGJhtD0-43vdx9SjFCA_11_2"/>
      <w:bookmarkStart w:id="1066" w:name="Tc_9ntaCPcnqEywzeSzcvVlkg_11_0"/>
      <w:bookmarkStart w:id="1067" w:name="Tc_A2stv32NEECcprVgmP_JxA_10_9"/>
      <w:bookmarkStart w:id="1068" w:name="Tc_aGqvk0q4hESrR9HEHV8HvA_10_3"/>
      <w:bookmarkStart w:id="1069" w:name="Tc_ZVnRc4VCH0aBriZYp_QoQw_10_0"/>
      <w:bookmarkStart w:id="1070" w:name="Tc_1DvTDvSQxEqW9dyMynAmTg_9_0"/>
      <w:bookmarkStart w:id="1071" w:name="Tc_ZQuHGcwf20eeYh-tgiXpEg_8_9"/>
      <w:bookmarkStart w:id="1072" w:name="Tc_yIBUDe-0UEGmBxpXi6VnFg_8_3"/>
      <w:bookmarkStart w:id="1073" w:name="Tc_R6i7GdG8SU625DgS-LJF6A_8_0"/>
      <w:bookmarkStart w:id="1074" w:name="Tc_ScUneQrKoUCfYL_mqieZCQ_7_0"/>
      <w:bookmarkStart w:id="1075" w:name="Tc_nbGwXlQI7kGxp8wSf2cyFQ_6_9"/>
      <w:bookmarkStart w:id="1076" w:name="Tc_ZqALIvERR0iYEq9-wH5F6w_6_3"/>
      <w:bookmarkStart w:id="1077" w:name="Tc_HhezfPqM3kGxcEjfYKsKig_6_0"/>
      <w:bookmarkStart w:id="1078" w:name="Tc_-Xc8Ie6yAkq7lKnRFEzFGw_5_9"/>
      <w:bookmarkStart w:id="1079" w:name="Tc_5De76aCOckyKrDzDT5h8xA_5_8"/>
      <w:bookmarkStart w:id="1080" w:name="Tc_c8kSwJb-cEuEN0G99PmW4Q_5_6"/>
      <w:bookmarkStart w:id="1081" w:name="Tc_UzZRhs3lg0iCIFMgL6vXpw_5_5"/>
      <w:bookmarkStart w:id="1082" w:name="Tc_fuRCkqbFdUO21ma8atdhSA_5_2"/>
      <w:bookmarkStart w:id="1083" w:name="Tc_MXEEEjUry0WtNd4pHBWeiw_5_0"/>
      <w:bookmarkStart w:id="1084" w:name="Tc_qwiTvo_k7Eyjn6FCol4EaA_4_0"/>
      <w:bookmarkStart w:id="1085" w:name="Tc_q04v4rpnQ0--Has4Q_K9PA_3_0"/>
      <w:bookmarkStart w:id="1086" w:name="Tc_3dgjXkRzYEaCaZkCQ0lvqQ_2_8"/>
      <w:bookmarkStart w:id="1087" w:name="Tc_HCUPI_yMlEW83syl2kjGEg_2_5"/>
      <w:bookmarkStart w:id="1088" w:name="Tc_C_Lp8TnXvk2s4bH7NekrjA_2_2"/>
      <w:bookmarkStart w:id="1089" w:name="Tc_AQ5TILAQTkq0JWB7qiuuzw_1_2"/>
      <w:bookmarkStart w:id="1090" w:name="_80ad89a5_e3b4_40c7_8692_e88711b9f121"/>
      <w:bookmarkStart w:id="1091" w:name="Tc_MOKx6ViYz0ajnTF7xMQmrw_14_8"/>
      <w:bookmarkStart w:id="1092" w:name="Tc_24oT1wBesEeDiaqC_tUhpA_14_6"/>
      <w:bookmarkStart w:id="1093" w:name="Tc_99iQ6ZQZ-0adnzMaKglmZA_14_5"/>
      <w:bookmarkStart w:id="1094" w:name="Tc_-CczvJFKOEi62G60IIR1gA_14_2"/>
      <w:bookmarkStart w:id="1095" w:name="Tc_69WCSSTzXkutMqkiz1zR7w_14_0"/>
      <w:bookmarkStart w:id="1096" w:name="Tc_Js9OVktCx0GlVKuwyWYdYw_13_6"/>
      <w:bookmarkStart w:id="1097" w:name="Tc_hFfqJhBUwU-aXYqx3aG3Jw_13_3"/>
      <w:bookmarkStart w:id="1098" w:name="Tc_-7BkPx-wKUuf5Do9fai2JA_13_0"/>
      <w:bookmarkStart w:id="1099" w:name="Tc_xQViUlYIXUiHwxkJRjSetg_12_9"/>
      <w:bookmarkStart w:id="1100" w:name="Tc_QUGxZpGwR0K-SsBM-Zq4QQ_12_8"/>
      <w:bookmarkStart w:id="1101" w:name="Tc_vTdSOvJeIU2hFARkbCKNdw_12_6"/>
      <w:bookmarkStart w:id="1102" w:name="Tc_oPJdYHdz1k2t7rycDYNQ_w_12_5"/>
      <w:bookmarkStart w:id="1103" w:name="Tc_mvfvuUF2Yk2LLyM-PzmzUw_12_2"/>
      <w:bookmarkStart w:id="1104" w:name="Tc_TEcQZhKO0EawCwINdI8QpA_12_0"/>
      <w:bookmarkStart w:id="1105" w:name="Tc_XlH2aUFwSECGJi17KkPPgA_11_0"/>
      <w:bookmarkStart w:id="1106" w:name="Tc_1jxbhYXZeUuNolOB4Wnr7w_10_9"/>
      <w:bookmarkStart w:id="1107" w:name="Tc_i6joioKwuEaRrPTAVKgdUg_10_8"/>
      <w:bookmarkStart w:id="1108" w:name="Tc_7QMatv4Yn0OOtU0Q32q1OQ_10_5"/>
      <w:bookmarkStart w:id="1109" w:name="Tc_PfXMSBCom0SgkrS8dLp6kg_10_2"/>
      <w:bookmarkStart w:id="1110" w:name="Tc_lKPCbOlAWkGPGM4imqPj6g_10_0"/>
      <w:bookmarkStart w:id="1111" w:name="Tc_zLKt4PH6qk-A-vbs7ZoVbQ_9_9"/>
      <w:bookmarkStart w:id="1112" w:name="Tc_guzlRS1u0kuy8PhWO7uEog_9_3"/>
      <w:bookmarkStart w:id="1113" w:name="Tc_AK9uF448qkKzLpXPYr9idQ_9_0"/>
      <w:bookmarkStart w:id="1114" w:name="Tc_2rcPst3FwkSjTG-fxpHfsw_8_0"/>
      <w:bookmarkStart w:id="1115" w:name="Tc_rkjA3nN6P0yqBdwL71Z6YQ_7_9"/>
      <w:bookmarkStart w:id="1116" w:name="Tc_6jaUAQq2VU-YgiXv3gzsZA_7_3"/>
      <w:bookmarkStart w:id="1117" w:name="Tc_lS5pBD-ey0icAEeUGkyv-g_7_0"/>
      <w:bookmarkStart w:id="1118" w:name="Tc_-2X9YjcpZ0iqk4_X1ZmYOA_6_0"/>
      <w:bookmarkStart w:id="1119" w:name="Tc_LH_BAGdWrEqDyeF6bswdvQ_5_9"/>
      <w:bookmarkStart w:id="1120" w:name="Tc_PZELNXDwuk29972cZGJwvA_5_8"/>
      <w:bookmarkStart w:id="1121" w:name="Tc_PN6qtSaVVUSr1g55cQZWRg_5_6"/>
      <w:bookmarkStart w:id="1122" w:name="Tc_yKvIsNWbKU6gDgRfsapeTA_5_5"/>
      <w:bookmarkStart w:id="1123" w:name="Tc_gdH5vDXXEECFs-BtWlZYFA_5_2"/>
      <w:bookmarkStart w:id="1124" w:name="Tc_1XCuulPdjkOWJ8PvqAfriA_5_0"/>
      <w:bookmarkStart w:id="1125" w:name="Tc_hAJPNT7zxUGdGPDk0Nnw0A_4_0"/>
      <w:bookmarkStart w:id="1126" w:name="Tc__5JNw-ExmEWc9fN0x1N5Tw_3_0"/>
      <w:bookmarkStart w:id="1127" w:name="Tc_6zG2eczxP0CIsQz27QwESg_2_8"/>
      <w:bookmarkStart w:id="1128" w:name="Tc_8GkNY5L30EGWRIRbe0Ua1w_2_5"/>
      <w:bookmarkStart w:id="1129" w:name="Tc_qFNJMDqZ4E6AgH5ddtJeAQ_2_2"/>
      <w:bookmarkStart w:id="1130" w:name="Tc_kKuLC68vg0aMBvX9xCEYtw_1_2"/>
      <w:bookmarkStart w:id="1131" w:name="_795cc3c0_ac8c_44a3_9511_86db4026b985"/>
      <w:bookmarkStart w:id="1132" w:name="Tc_H2de2piaKke4qxvjnYTCRQ_16_8"/>
      <w:bookmarkStart w:id="1133" w:name="Tc_tdg6fePEfk-g2_s2o-DMoA_16_6"/>
      <w:bookmarkStart w:id="1134" w:name="Tc_PUJ9RlZVkkyrwtOUTT5c_A_16_5"/>
      <w:bookmarkStart w:id="1135" w:name="Tc_f4b99z7S2kOkPGS7ddlzFg_16_2"/>
      <w:bookmarkStart w:id="1136" w:name="Tc_nxTKYQSjCEOPRj4LTUXFYw_16_0"/>
      <w:bookmarkStart w:id="1137" w:name="Tc_JNykinwmtUGY2MNJsFo6aQ_15_6"/>
      <w:bookmarkStart w:id="1138" w:name="Tc_HN4foUP2hUe20mSeB96HeQ_15_3"/>
      <w:bookmarkStart w:id="1139" w:name="Tc_LWRExOhYYkK6WgsPtSkGaw_15_0"/>
      <w:bookmarkStart w:id="1140" w:name="Tc_njnURxGav0uHL8YBMhADPg_14_6"/>
      <w:bookmarkStart w:id="1141" w:name="Tc_x9cz1WoWSUOvy3DAYU22-Q_14_3"/>
      <w:bookmarkStart w:id="1142" w:name="Tc_T3FwTcPa5kSNLbyyu4t-4w_14_0"/>
      <w:bookmarkStart w:id="1143" w:name="Tc_uFnn8cMYFU25kowbOY1K9A_13_9"/>
      <w:bookmarkStart w:id="1144" w:name="Tc_kImMy2A_GkKFkhImn3PeIg_13_8"/>
      <w:bookmarkStart w:id="1145" w:name="Tc_e342c8esckW-rR8PMXd3iQ_13_6"/>
      <w:bookmarkStart w:id="1146" w:name="Tc_B7IpTKHiGUqt2UAQ9qF8QQ_13_5"/>
      <w:bookmarkStart w:id="1147" w:name="Tc_89qzMAs-aEeGhqHGnPNBBg_13_2"/>
      <w:bookmarkStart w:id="1148" w:name="Tc_Us2BKTFYKk2OVSRqVym5YA_13_0"/>
      <w:bookmarkStart w:id="1149" w:name="Tc_6EU40DjDBkOKsc4pw4kb3w_12_0"/>
      <w:bookmarkStart w:id="1150" w:name="Tc_ZBhscTgmYU6bjGGPM6f6dQ_11_9"/>
      <w:bookmarkStart w:id="1151" w:name="Tc_qSQdjgRoq0enB4_666gQjA_11_8"/>
      <w:bookmarkStart w:id="1152" w:name="Tc_4yQDLKTEAkKO15jNCRkCFA_11_5"/>
      <w:bookmarkStart w:id="1153" w:name="Tc_aBAeGJhtD0-43vdx9SjFCA_11_2"/>
      <w:bookmarkStart w:id="1154" w:name="Tc_9ntaCPcnqEywzeSzcvVlkg_11_0"/>
      <w:bookmarkStart w:id="1155" w:name="Tc_A2stv32NEECcprVgmP_JxA_10_9"/>
      <w:bookmarkStart w:id="1156" w:name="Tc_aGqvk0q4hESrR9HEHV8HvA_10_3"/>
      <w:bookmarkStart w:id="1157" w:name="Tc_ZVnRc4VCH0aBriZYp_QoQw_10_0"/>
      <w:bookmarkStart w:id="1158" w:name="Tc_1DvTDvSQxEqW9dyMynAmTg_9_0"/>
      <w:bookmarkStart w:id="1159" w:name="Tc_ZQuHGcwf20eeYh-tgiXpEg_8_9"/>
      <w:bookmarkStart w:id="1160" w:name="Tc_yIBUDe-0UEGmBxpXi6VnFg_8_3"/>
      <w:bookmarkStart w:id="1161" w:name="Tc_R6i7GdG8SU625DgS-LJF6A_8_0"/>
      <w:bookmarkStart w:id="1162" w:name="Tc_ScUneQrKoUCfYL_mqieZCQ_7_0"/>
      <w:bookmarkStart w:id="1163" w:name="Tc_nbGwXlQI7kGxp8wSf2cyFQ_6_9"/>
      <w:bookmarkStart w:id="1164" w:name="Tc_ZqALIvERR0iYEq9-wH5F6w_6_3"/>
      <w:bookmarkStart w:id="1165" w:name="Tc_HhezfPqM3kGxcEjfYKsKig_6_0"/>
      <w:bookmarkStart w:id="1166" w:name="Tc_-Xc8Ie6yAkq7lKnRFEzFGw_5_9"/>
      <w:bookmarkStart w:id="1167" w:name="Tc_5De76aCOckyKrDzDT5h8xA_5_8"/>
      <w:bookmarkStart w:id="1168" w:name="Tc_c8kSwJb-cEuEN0G99PmW4Q_5_6"/>
      <w:bookmarkStart w:id="1169" w:name="Tc_UzZRhs3lg0iCIFMgL6vXpw_5_5"/>
      <w:bookmarkStart w:id="1170" w:name="Tc_fuRCkqbFdUO21ma8atdhSA_5_2"/>
      <w:bookmarkStart w:id="1171" w:name="Tc_MXEEEjUry0WtNd4pHBWeiw_5_0"/>
      <w:bookmarkStart w:id="1172" w:name="Tc_qwiTvo_k7Eyjn6FCol4EaA_4_0"/>
      <w:bookmarkStart w:id="1173" w:name="Tc_q04v4rpnQ0--Has4Q_K9PA_3_0"/>
      <w:bookmarkStart w:id="1174" w:name="Tc_3dgjXkRzYEaCaZkCQ0lvqQ_2_8"/>
      <w:bookmarkStart w:id="1175" w:name="Tc_HCUPI_yMlEW83syl2kjGEg_2_5"/>
      <w:bookmarkStart w:id="1176" w:name="Tc_C_Lp8TnXvk2s4bH7NekrjA_2_2"/>
      <w:bookmarkStart w:id="1177" w:name="Tc_AQ5TILAQTkq0JWB7qiuuzw_1_2"/>
      <w:bookmarkStart w:id="1178" w:name="_80ad89a5_e3b4_40c7_8692_e88711b9f121"/>
      <w:bookmarkStart w:id="1179" w:name="Tc_MOKx6ViYz0ajnTF7xMQmrw_14_8"/>
      <w:bookmarkStart w:id="1180" w:name="Tc_24oT1wBesEeDiaqC_tUhpA_14_6"/>
      <w:bookmarkStart w:id="1181" w:name="Tc_99iQ6ZQZ-0adnzMaKglmZA_14_5"/>
      <w:bookmarkStart w:id="1182" w:name="Tc_-CczvJFKOEi62G60IIR1gA_14_2"/>
      <w:bookmarkStart w:id="1183" w:name="Tc_69WCSSTzXkutMqkiz1zR7w_14_0"/>
      <w:bookmarkStart w:id="1184" w:name="Tc_Js9OVktCx0GlVKuwyWYdYw_13_6"/>
      <w:bookmarkStart w:id="1185" w:name="Tc_hFfqJhBUwU-aXYqx3aG3Jw_13_3"/>
      <w:bookmarkStart w:id="1186" w:name="Tc_-7BkPx-wKUuf5Do9fai2JA_13_0"/>
      <w:bookmarkStart w:id="1187" w:name="Tc_xQViUlYIXUiHwxkJRjSetg_12_9"/>
      <w:bookmarkStart w:id="1188" w:name="Tc_QUGxZpGwR0K-SsBM-Zq4QQ_12_8"/>
      <w:bookmarkStart w:id="1189" w:name="Tc_vTdSOvJeIU2hFARkbCKNdw_12_6"/>
      <w:bookmarkStart w:id="1190" w:name="Tc_oPJdYHdz1k2t7rycDYNQ_w_12_5"/>
      <w:bookmarkStart w:id="1191" w:name="Tc_mvfvuUF2Yk2LLyM-PzmzUw_12_2"/>
      <w:bookmarkStart w:id="1192" w:name="Tc_TEcQZhKO0EawCwINdI8QpA_12_0"/>
      <w:bookmarkStart w:id="1193" w:name="Tc_XlH2aUFwSECGJi17KkPPgA_11_0"/>
      <w:bookmarkStart w:id="1194" w:name="Tc_1jxbhYXZeUuNolOB4Wnr7w_10_9"/>
      <w:bookmarkStart w:id="1195" w:name="Tc_i6joioKwuEaRrPTAVKgdUg_10_8"/>
      <w:bookmarkStart w:id="1196" w:name="Tc_7QMatv4Yn0OOtU0Q32q1OQ_10_5"/>
      <w:bookmarkStart w:id="1197" w:name="Tc_PfXMSBCom0SgkrS8dLp6kg_10_2"/>
      <w:bookmarkStart w:id="1198" w:name="Tc_lKPCbOlAWkGPGM4imqPj6g_10_0"/>
      <w:bookmarkStart w:id="1199" w:name="Tc_zLKt4PH6qk-A-vbs7ZoVbQ_9_9"/>
      <w:bookmarkStart w:id="1200" w:name="Tc_guzlRS1u0kuy8PhWO7uEog_9_3"/>
      <w:bookmarkStart w:id="1201" w:name="Tc_AK9uF448qkKzLpXPYr9idQ_9_0"/>
      <w:bookmarkStart w:id="1202" w:name="Tc_2rcPst3FwkSjTG-fxpHfsw_8_0"/>
      <w:bookmarkStart w:id="1203" w:name="Tc_rkjA3nN6P0yqBdwL71Z6YQ_7_9"/>
      <w:bookmarkStart w:id="1204" w:name="Tc_6jaUAQq2VU-YgiXv3gzsZA_7_3"/>
      <w:bookmarkStart w:id="1205" w:name="Tc_lS5pBD-ey0icAEeUGkyv-g_7_0"/>
      <w:bookmarkStart w:id="1206" w:name="Tc_-2X9YjcpZ0iqk4_X1ZmYOA_6_0"/>
      <w:bookmarkStart w:id="1207" w:name="Tc_LH_BAGdWrEqDyeF6bswdvQ_5_9"/>
      <w:bookmarkStart w:id="1208" w:name="Tc_PZELNXDwuk29972cZGJwvA_5_8"/>
      <w:bookmarkStart w:id="1209" w:name="Tc_PN6qtSaVVUSr1g55cQZWRg_5_6"/>
      <w:bookmarkStart w:id="1210" w:name="Tc_yKvIsNWbKU6gDgRfsapeTA_5_5"/>
      <w:bookmarkStart w:id="1211" w:name="Tc_gdH5vDXXEECFs-BtWlZYFA_5_2"/>
      <w:bookmarkStart w:id="1212" w:name="Tc_1XCuulPdjkOWJ8PvqAfriA_5_0"/>
      <w:bookmarkStart w:id="1213" w:name="Tc_hAJPNT7zxUGdGPDk0Nnw0A_4_0"/>
      <w:bookmarkStart w:id="1214" w:name="Tc__5JNw-ExmEWc9fN0x1N5Tw_3_0"/>
      <w:bookmarkStart w:id="1215" w:name="Tc_6zG2eczxP0CIsQz27QwESg_2_8"/>
      <w:bookmarkStart w:id="1216" w:name="Tc_8GkNY5L30EGWRIRbe0Ua1w_2_5"/>
      <w:bookmarkStart w:id="1217" w:name="Tc_qFNJMDqZ4E6AgH5ddtJeAQ_2_2"/>
      <w:bookmarkStart w:id="1218" w:name="Tc_kKuLC68vg0aMBvX9xCEYtw_1_2"/>
      <w:bookmarkStart w:id="1219" w:name="_795cc3c0_ac8c_44a3_9511_86db4026b985"/>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September 30, 2025 and December 31, 2024, respectively (in thousands):</w:t>
      </w:r>
    </w:p>
    <w:p>
      <w:pPr>
        <w:pStyle w:val="TextBody"/>
        <w:bidi w:val="0"/>
        <w:spacing w:before="0" w:after="240"/>
        <w:ind w:left="0" w:right="0" w:firstLine="540"/>
        <w:jc w:val="both"/>
        <w:rPr/>
      </w:pPr>
      <w:r>
        <w:rPr/>
        <w:t>​</w:t>
      </w:r>
    </w:p>
    <w:tbl>
      <w:tblPr>
        <w:tblW w:w="7822" w:type="dxa"/>
        <w:jc w:val="left"/>
        <w:tblInd w:w="0" w:type="dxa"/>
        <w:tblLayout w:type="fixed"/>
        <w:tblCellMar>
          <w:top w:w="0" w:type="dxa"/>
          <w:left w:w="0" w:type="dxa"/>
          <w:bottom w:w="0" w:type="dxa"/>
          <w:right w:w="0" w:type="dxa"/>
        </w:tblCellMar>
      </w:tblPr>
      <w:tblGrid>
        <w:gridCol w:w="3856"/>
        <w:gridCol w:w="326"/>
        <w:gridCol w:w="211"/>
        <w:gridCol w:w="781"/>
        <w:gridCol w:w="326"/>
        <w:gridCol w:w="211"/>
        <w:gridCol w:w="781"/>
        <w:gridCol w:w="32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45"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3555" cy="175260"/>
                      <wp:effectExtent l="0" t="0" r="0" b="0"/>
                      <wp:wrapNone/>
                      <wp:docPr id="148" name="Frame14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6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26,421</w:t>
            </w:r>
          </w:p>
        </w:tc>
      </w:tr>
    </w:tbl>
    <w:p>
      <w:pPr>
        <w:pStyle w:val="TextBody"/>
        <w:bidi w:val="0"/>
        <w:spacing w:before="0" w:after="0"/>
        <w:ind w:left="0" w:right="0" w:hanging="0"/>
        <w:jc w:val="left"/>
        <w:rPr/>
      </w:pPr>
      <w:r>
        <w:rPr/>
        <w:t>​</w:t>
      </w:r>
    </w:p>
    <w:tbl>
      <w:tblPr>
        <w:tblW w:w="771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781"/>
        <w:gridCol w:w="326"/>
        <w:gridCol w:w="211"/>
        <w:gridCol w:w="79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03555" cy="175260"/>
                      <wp:effectExtent l="0" t="0" r="0" b="0"/>
                      <wp:wrapNone/>
                      <wp:docPr id="157" name="Frame15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68,727</w:t>
            </w:r>
          </w:p>
        </w:tc>
      </w:tr>
    </w:tbl>
    <w:p>
      <w:pPr>
        <w:pStyle w:val="TextBody"/>
        <w:bidi w:val="0"/>
        <w:spacing w:before="0" w:after="0"/>
        <w:ind w:left="0" w:right="0" w:hanging="0"/>
        <w:jc w:val="left"/>
        <w:rPr/>
      </w:pPr>
      <w:r>
        <w:rPr/>
        <w:t>​</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As of September 30, 2025 and December 31, 2024, the Company has recorded the following financial instruments subject to fair value measurements: 1) Derivative warrant liabilities—Public Warrants and Private Warrants, 2) Money market funds, 3) U.S. treasury securities and 4) Earn-out liabilities.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220" w:name="Tc_0LEmu-gX206UavbmA_Sliw_19_5"/>
      <w:bookmarkStart w:id="1221" w:name="Tc_vcLVOf20iEq3aIB3ARkGLg_19_2"/>
      <w:bookmarkStart w:id="1222" w:name="Tc_FzyMAMBmsUSgBmHhfQxxWw_19_0"/>
      <w:bookmarkStart w:id="1223" w:name="Tc_Ezr9yk8VfkW6d5UbaR9NvQ_18_0"/>
      <w:bookmarkStart w:id="1224" w:name="Tc_W252O-k10UO4nYPpffbfkw_17_0"/>
      <w:bookmarkStart w:id="1225" w:name="Tc_uM7T9urnqUa6onD3cQ_Q-g_16_0"/>
      <w:bookmarkStart w:id="1226" w:name="Tc_M7hysGDf9EuWUOcakvMfSg_15_5"/>
      <w:bookmarkStart w:id="1227" w:name="Tc_vdpYBFtrDkufAJ8PpprNeQ_15_2"/>
      <w:bookmarkStart w:id="1228" w:name="Tc_B_Kc1hkgCk6CJM5nj4RBYQ_15_0"/>
      <w:bookmarkStart w:id="1229" w:name="Tc_V_jsOdtgAEOJwYSZufKkFA_13_6"/>
      <w:bookmarkStart w:id="1230" w:name="Tc_AMg6BqBCuUe1EdsakpHC_Q_13_5"/>
      <w:bookmarkStart w:id="1231" w:name="Tc_NTCnL59fhUmn-WR57nFlkQ_13_2"/>
      <w:bookmarkStart w:id="1232" w:name="Tc_nc4xhABExUyAVYj277MPsg_13_0"/>
      <w:bookmarkStart w:id="1233" w:name="Tc_VN2lSfbhjUKfdGB4fIATEA_12_6"/>
      <w:bookmarkStart w:id="1234" w:name="Tc_2C4enIBQHEyf8txbmJP2WA_12_0"/>
      <w:bookmarkStart w:id="1235" w:name="Tc_1n_ARtW4BUaRYg2EyOJsLg_11_3"/>
      <w:bookmarkStart w:id="1236" w:name="Tc_1tyHQDrhg06jI6jFuuZ2Hw_11_0"/>
      <w:bookmarkStart w:id="1237" w:name="Tc_k4ye0hywUkCyv3JAJYZxzg_10_0"/>
      <w:bookmarkStart w:id="1238" w:name="Tc_ebYfQnVqSkeBzkDkFCKYLQ_9_6"/>
      <w:bookmarkStart w:id="1239" w:name="Tc_aG71eq_1Qk-KRI3EECrwdQ_9_0"/>
      <w:bookmarkStart w:id="1240" w:name="Tc_OeQGyqg-JU6otyUcUYH_Jg_8_0"/>
      <w:bookmarkStart w:id="1241" w:name="Tc_BM5vnbEb9EaKdp75EE6VHQ_7_6"/>
      <w:bookmarkStart w:id="1242" w:name="Tc_Ys0sg_AVtE2tTTdntC-dGQ_7_0"/>
      <w:bookmarkStart w:id="1243" w:name="Tc_Gx9kmsKhW0CZT4mEY3D6eA_6_3"/>
      <w:bookmarkStart w:id="1244" w:name="Tc_w8KFjDy8ZUKzFxRGAxuhkQ_6_0"/>
      <w:bookmarkStart w:id="1245" w:name="Tc_L5F1XA-bx0eYs0KHumqR8g_5_0"/>
      <w:bookmarkStart w:id="1246" w:name="Tc_1wbtcj5glEqnHGptcWcygw_4_5"/>
      <w:bookmarkStart w:id="1247" w:name="Tc_Hu856u7yt0mRwzxxIt_2Yg_4_2"/>
      <w:bookmarkStart w:id="1248" w:name="Tc_lHFVrVAcWEa3TnvEvCKdrA_4_0"/>
      <w:bookmarkStart w:id="1249" w:name="Tc_iIoKUw0XxEOiAFVskBXbcg_3_5"/>
      <w:bookmarkStart w:id="1250" w:name="Tc_pn9EeF775UOK-7la-c6B1w_3_2"/>
      <w:bookmarkStart w:id="1251" w:name="Tc_zhH38o_KFkuWd9w4dNy25w_2_5"/>
      <w:bookmarkStart w:id="1252" w:name="Tc_AiIamA8M4kaX6s9vdd8RMw_2_2"/>
      <w:bookmarkStart w:id="1253" w:name="Tc_xmbL2w7pykWcRHTO8mGByA_1_2"/>
      <w:bookmarkStart w:id="1254" w:name="_cf66f3f5_b9b9_48d5_95d5_e01294a9e4ea"/>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sz w:val="20"/>
        </w:rPr>
        <w:t>The fair value of the Public Warrants and money market funds have been measured based on their observable listed prices, a Level 1 measurement. The fair value of the Company’s Level 2 financial assets are determined by using inputs based on quoted market prices for similar instruments. All other financial instruments are classified as Level 3 instruments as they all include unobservable inputs. The Private Warrants are measured at fair value using a Black Scholes model. The fair value of the Earn-out liabilities as of December 31, 2024 were estimated using a Monte Carlo simulation model. The Company estimated the volatility of its Private Warrants and Earn-out liabilities based on the historical volatility of the Company’s Common Stock.</w:t>
      </w:r>
    </w:p>
    <w:p>
      <w:pPr>
        <w:pStyle w:val="TextBody"/>
        <w:bidi w:val="0"/>
        <w:spacing w:before="0" w:after="0"/>
        <w:ind w:left="0" w:right="0" w:firstLine="547"/>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During the three and nine months ended September 30, 2025, the vesting conditions for the Sponsor Redemption-Based Vesting Shares and the Promote Sponsor Vesting Shares (collectively the “Sponsor Vesting Shares” as defined in Note 8 below) were satisfied, and the underlying earn-out liabilities (Refer to Note 8 for Earn-out liabilities) were adjusted to fair value using the closing market price of the Company’s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September 30, 2025, all of the underlying earn-out liabilities related to the Sponsor Vesting Shares have been satisfied and the remaining liability balance was zero.</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Previously, the Company used the implied volatility of its Public Warrants in its valuation models for the Private Warrants and Earn-out liabilities. As of December 31, 2024, the Company used the historical volatility of its Common Stock for these valuation models because the implied volatility of the Public Warrants was no longer meaningful due to the rapid increase in the price of the Public Warrants during the fourth quarter of 2024. There were no other changes in fair value measurement techniques during the nine months ended September 30, 2025 or September 30, 2024.</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and nine months ended September 30, 2025, the number of Private Warrants (a Level 3 measurement) converted to Public Warrants (a Level 1 measurement) were 307,928 and 882,928, respectively. As of the date of conversion, the favorable impact of the transfer of the Private Warrants to Public Warrants on the Company’s net loss for the three and nine months ended September 30, 2025, was $1.8 million and $5.2 million, respectively.</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nine months ended September 30, 2025, and September 30, 2024 is as follows (in thousands):</w:t>
      </w:r>
    </w:p>
    <w:p>
      <w:pPr>
        <w:pStyle w:val="TextBody"/>
        <w:bidi w:val="0"/>
        <w:spacing w:before="0" w:after="24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6988"/>
        <w:gridCol w:w="326"/>
        <w:gridCol w:w="360"/>
        <w:gridCol w:w="1156"/>
        <w:gridCol w:w="326"/>
        <w:gridCol w:w="211"/>
        <w:gridCol w:w="838"/>
      </w:tblGrid>
      <w:tr>
        <w:trPr/>
        <w:tc>
          <w:tcPr>
            <w:tcW w:w="6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8600" cy="175260"/>
                      <wp:effectExtent l="0" t="0" r="0" b="0"/>
                      <wp:wrapNone/>
                      <wp:docPr id="159" name="Frame1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34060" cy="175260"/>
                      <wp:effectExtent l="0" t="0" r="0" b="0"/>
                      <wp:wrapNone/>
                      <wp:docPr id="160" name="Frame16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2130" cy="175260"/>
                      <wp:effectExtent l="0" t="0" r="0" b="0"/>
                      <wp:wrapNone/>
                      <wp:docPr id="163" name="Frame163"/>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w:t>
            </w:r>
          </w:p>
        </w:tc>
      </w:tr>
      <w:tr>
        <w:trPr/>
        <w:tc>
          <w:tcPr>
            <w:tcW w:w="6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104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69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45,897</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Promote Sponsor Vesting Shares</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March 31,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June 30, 2025</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of Sponsor Redemption-Based Vesting Shares </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of Private Warrants to Public Warrants - three months ended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2025</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9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2024</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9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6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2024</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12" w:type="dxa"/>
        <w:jc w:val="left"/>
        <w:tblInd w:w="0" w:type="dxa"/>
        <w:tblLayout w:type="fixed"/>
        <w:tblCellMar>
          <w:top w:w="0" w:type="dxa"/>
          <w:left w:w="0" w:type="dxa"/>
          <w:bottom w:w="0" w:type="dxa"/>
          <w:right w:w="0" w:type="dxa"/>
        </w:tblCellMar>
      </w:tblPr>
      <w:tblGrid>
        <w:gridCol w:w="346"/>
        <w:gridCol w:w="2266"/>
      </w:tblGrid>
      <w:tr>
        <w:trPr/>
        <w:tc>
          <w:tcPr>
            <w:tcW w:w="34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(6)</w:t>
            </w:r>
          </w:p>
        </w:tc>
        <w:tc>
          <w:tcPr>
            <w:tcW w:w="226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pBdr/>
        <w:bidi w:val="0"/>
        <w:spacing w:before="0" w:after="0"/>
        <w:ind w:left="0" w:right="0" w:hanging="360"/>
        <w:jc w:val="left"/>
        <w:rPr/>
      </w:pPr>
      <w:r>
        <w:rPr/>
        <w:t>​</w:t>
      </w:r>
    </w:p>
    <w:p>
      <w:pPr>
        <w:pStyle w:val="TextBody"/>
        <w:pBdr/>
        <w:bidi w:val="0"/>
        <w:spacing w:before="0" w:after="0"/>
        <w:ind w:left="0" w:right="0" w:hanging="547"/>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pBdr/>
        <w:bidi w:val="0"/>
        <w:spacing w:before="0" w:after="0"/>
        <w:ind w:left="0" w:right="0" w:hanging="547"/>
        <w:jc w:val="left"/>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June 21, 2024, (the “Amendment Date”), the Company entered into the Amended and Restated Loan and Security Agreement (the “Amended Loan Agreement”), by and between Trinity Capital Inc., as lender (the “Lender”), and Rigetti &amp; Co, LLC and Rigetti Intermediate LLC, as borrowers, which amended and restated in its entirety the Company’s existing loan and security agreement, dated as of March 10, 2021 (as amended from time to time, the “Existing Loan Agreement”). The economic terms and cash flows of the Term Loans (defined below) remain unchanged under the Amended Loan Agreement.</w:t>
      </w:r>
    </w:p>
    <w:p>
      <w:pPr>
        <w:pStyle w:val="TextBody"/>
        <w:bidi w:val="0"/>
        <w:spacing w:before="0" w:after="0"/>
        <w:ind w:left="0" w:right="0" w:hanging="0"/>
        <w:jc w:val="left"/>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Each Term Loan was to be amortized in equal monthly installments through 48 months following the disbursement date of each Term Loan (each, a “Maturity Date”), with interest at a rate equal to the greater of 11% or the </w:t>
      </w:r>
      <w:r>
        <w:rPr>
          <w:rFonts w:ascii="Times New Roman;Times;serif" w:hAnsi="Times New Roman;Times;serif"/>
          <w:b w:val="false"/>
          <w:i w:val="false"/>
          <w:caps w:val="false"/>
          <w:smallCaps w:val="false"/>
          <w:sz w:val="20"/>
        </w:rPr>
        <w:t>US Prime Rate</w:t>
      </w:r>
      <w:r>
        <w:rPr>
          <w:rFonts w:ascii="Times New Roman;Times;serif" w:hAnsi="Times New Roman;Times;serif"/>
          <w:sz w:val="20"/>
        </w:rPr>
        <w:t> plus 7.50% per annum, payable monthly.</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had the right to prepay the outstanding Term Loans, in whole or in part, subject to a prepayment premium that remains unchanged from the Existing Loan Agreement. In addition, the Company was required to pay on the respective Maturity Date, or the date of an earlier prepayment, a final payment fee equal to 2.75% of the aggregate original principal amount of the Term Loans, which remains consistent with the Existing Loan Agreement. The final payment fees were being accreted and amortized into interest expense using the effective interest rate method over the term of the loan.</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On December 9, 2024, the Company prepaid in full all amounts owed under the Amended Loan Agreement. The Company prepaid an aggregate of $9.5 million in outstanding principal balance, final payment fees of $0.9 million, plus accrued interest and a prepayment premium aggregating $0.1 million. </w:t>
      </w:r>
    </w:p>
    <w:p>
      <w:pPr>
        <w:pStyle w:val="TextBody"/>
        <w:shd w:fill="FFFFFF" w:val="clear"/>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2024, the Company recorded interest expense of $0.7 million and $2.8 million, respectively, which included accretion of the end-of-term liability, amortization of the commitment fee asset and amortization of debt issuance costs totaling $0.2 million and $0.7 million, respectively. </w:t>
      </w:r>
      <w:r>
        <w:rPr>
          <w:rFonts w:ascii="Times New Roman;Times;serif" w:hAnsi="Times New Roman;Times;serif"/>
          <w:sz w:val="20"/>
          <w:shd w:fill="FFFFFF" w:val="clear"/>
        </w:rPr>
        <w:t>The effective interest rate for all tranches of the debt was approximately 23.1% as of September 30, 2024.</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240"/>
        <w:ind w:left="0" w:right="0" w:firstLine="54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(7) Warrants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$18.00, the Company may redeem the outstanding warrants in whole and not in part, at a price of $0.01 per warrant as follows (except as described herein with respect to the Private Warrants):</w:t>
      </w:r>
    </w:p>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shares of the Company’s Common Stock equals or exceeds $18.00</w:t>
            </w:r>
            <w:r>
              <w:rPr>
                <w:caps w:val="false"/>
                <w:smallCaps w:val="false"/>
              </w:rPr>
              <w:t xml:space="preserve"> </w:t>
            </w:r>
            <w:r>
              <w:rPr>
                <w:rFonts w:ascii="Times New Roman;Times;serif" w:hAnsi="Times New Roman;Times;serif"/>
                <w:b w:val="false"/>
                <w:i w:val="false"/>
                <w:caps w:val="false"/>
                <w:smallCaps w:val="false"/>
                <w:sz w:val="20"/>
              </w:rPr>
              <w:t xml:space="preserve">per share on the trading day prior to the date on which the Company sends the notice of redemption to the warrant holders.   </w:t>
            </w:r>
          </w:p>
        </w:tc>
      </w:tr>
    </w:tbl>
    <w:p>
      <w:pPr>
        <w:pStyle w:val="TextBody"/>
        <w:bidi w:val="0"/>
        <w:spacing w:before="0" w:after="0"/>
        <w:ind w:left="907"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pStyle w:val="TextBody"/>
        <w:bidi w:val="0"/>
        <w:spacing w:before="0" w:after="24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When the price per share of the Company’s Common Stock equals or exceeds $10.00, the Company may redeem the outstanding warrants in whole and not in part, at a price of $0.10 per warrant as follows (except as described herein with respect to the Private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 prior written notice of redemption provided</w:t>
            </w:r>
            <w:r>
              <w:rPr/>
              <w:t> </w:t>
            </w:r>
            <w:r>
              <w:rPr>
                <w:rFonts w:ascii="Times New Roman;Times;serif" w:hAnsi="Times New Roman;Times;serif"/>
                <w:b w:val="false"/>
                <w:i w:val="false"/>
                <w:caps w:val="false"/>
                <w:smallCaps w:val="false"/>
                <w:sz w:val="20"/>
              </w:rPr>
              <w:t xml:space="preserve">that holders will be able to exercise their warrants on a cashless basis prior to redemption as described below;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Company’s Common Stock equals or exceeds $10.00</w:t>
            </w:r>
            <w:r>
              <w:rPr>
                <w:caps w:val="false"/>
                <w:smallCaps w:val="false"/>
              </w:rPr>
              <w:t xml:space="preserve"> </w:t>
            </w:r>
            <w:r>
              <w:rPr>
                <w:rFonts w:ascii="Times New Roman;Times;serif" w:hAnsi="Times New Roman;Times;serif"/>
                <w:b w:val="false"/>
                <w:i w:val="false"/>
                <w:caps w:val="false"/>
                <w:smallCaps w:val="false"/>
                <w:sz w:val="20"/>
              </w:rPr>
              <w:t>per share on the trading day prior to the date on which the Company sends the notice of redemption to the warrant holders.</w:t>
            </w:r>
          </w:p>
        </w:tc>
      </w:tr>
    </w:tbl>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September 30, 2025 and December 31, 2024, Public Warrants issued and outstanding were 11,704,886 and 11,082,870, respectively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firstLine="630"/>
        <w:jc w:val="both"/>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During the three and nine months ended September 30, 2025, the number of Public Warrants exercised, each for one share of Common Stock in exchange for cash proceeds of $11.50 per share, were 221,118 and 260,912, respectively. During the three and nine months ended September 30, 2025, the proceeds from the warrant exercises totaled $2.5 million and $3.0 million, respectively, and the underlying Public Warrant derivative liabilities on their respective exercise dates totaled $1.3 million and $1.6 million, respectively. The proceeds from the warrant exercises and the underlying Public Warrant derivative liabilities on the exercise dates were recorded to par value of Common Stock and additional paid-in capital.</w:t>
      </w:r>
    </w:p>
    <w:p>
      <w:pPr>
        <w:pStyle w:val="TextBody"/>
        <w:bidi w:val="0"/>
        <w:spacing w:before="0" w:after="240"/>
        <w:ind w:left="0" w:right="0" w:firstLine="63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September 30, 2025 and December 31, 2024 were $214.3 million and $70.3 million, respectively. The change in the fair value of the Public Warrants included in the condensed consolidated statement of operations during the three and nine months ended September 30, 2025 was a loss of $162.8 million and $134.0 million, respectively. The change in the fair value of the Public Warrants included in the condensed consolidated statement of operations during the three and nine months ended September 30, 2024 was a gain of $0.5 million and $0.4 million, respectively.</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Subsequent to September 30, 2025 and through November 6, 2025, the Company received proceeds of $46.5 million from the exercise of 4,042,099 Public Warrants.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September 30, 2025 and December 31, 2024, Private Warrants issued and outstanding were 1,109,174 and 1,992,102, respectively (Refer to Note 5 for fair value measurement). The Private Warrants are accounted for as a derivative liability. The fair value of the Private Warrants is determined using the Black-Scholes option-pricing model, with subsequent changes in the fair value recognized in the condensed consolidated statements of operations at each reporting date.</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September 30, 2025 and December 31, 2024 was $26.4 million and $22.8 million, respectively. The change in the fair value of Private Warrants included in the condensed consolidated statements of operations during the three and nine months ended September 30, 2025 was a loss of $19.1 million and $15.3 million, respectively. The change in the fair value of the Private Warrants included in the condensed consolidated statements of operations during the three and nine months ended September 30, 2024 was a gain of $0.7 million and $0.3 million, respectively.</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255" w:name="Tc_SCaIGvv7Fk2fTiYFYqn7iQ_3_0"/>
      <w:bookmarkStart w:id="1256" w:name="Tc_LFbfDJDNj0C_AGuRR5wJjg_2_0"/>
      <w:bookmarkStart w:id="1257" w:name="Tc_PHzUalLNRkSNv_yZA4eYGg_1_4"/>
      <w:bookmarkStart w:id="1258" w:name="Tc_tBQs_ANmUUqH4VqOL9g6tg_1_2"/>
      <w:bookmarkStart w:id="1259" w:name="Tc_jGYEMUiu2k6QvCwWGeRTTQ_8_0"/>
      <w:bookmarkStart w:id="1260" w:name="Tc_wfqSGjNP4kmsrqkZMam_OQ_7_0"/>
      <w:bookmarkStart w:id="1261" w:name="Tc_24qULvxLvUOiB-A9MGb5Ig_6_0"/>
      <w:bookmarkStart w:id="1262" w:name="Tc_c58lMp9IiECBkFTi6xiEnA_5_0"/>
      <w:bookmarkStart w:id="1263" w:name="Tc_3SMQr8fnr0qfFZwjPVTe6Q_4_5"/>
      <w:bookmarkStart w:id="1264" w:name="Tc_uNuAqNb5kUWp5NdT8Zryug_4_2"/>
      <w:bookmarkStart w:id="1265" w:name="Tc_D85EGnpc_kmy0wEkFvmv9A_4_0"/>
      <w:bookmarkStart w:id="1266" w:name="Tc_sDVKatgeQE2gV22jnECIOQ_3_5"/>
      <w:bookmarkStart w:id="1267" w:name="Tc_WbHGaKsxCkWyuRwHk3L32g_3_2"/>
      <w:bookmarkStart w:id="1268" w:name="Tc_JMC76es08UiGhQV09Z0sVw_3_0"/>
      <w:bookmarkStart w:id="1269" w:name="Tc_nJWyyua540ejQZ2wMdmc5w_2_5"/>
      <w:bookmarkStart w:id="1270" w:name="Tc_8gCGyUW9Q0-R3fGC-e7DeQ_2_2"/>
      <w:bookmarkStart w:id="1271" w:name="Tc_e_cBBs510UevPZ0_J1LzOg_2_0"/>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rPr>
          <w:rFonts w:ascii="Times New Roman;Times;serif" w:hAnsi="Times New Roman;Times;serif"/>
          <w:sz w:val="20"/>
        </w:rPr>
        <w:t>Significant inputs into the Black-Scholes option-pricing models used to value the Private Warrants at September 30, 2025 and December 31, 2024 are as follows:</w:t>
      </w:r>
    </w:p>
    <w:p>
      <w:pPr>
        <w:pStyle w:val="TextBody"/>
        <w:bidi w:val="0"/>
        <w:spacing w:before="0" w:after="0"/>
        <w:ind w:left="0" w:right="0" w:hanging="0"/>
        <w:jc w:val="left"/>
        <w:rPr/>
      </w:pPr>
      <w:r>
        <w:rPr/>
        <w:t>​</w:t>
      </w:r>
    </w:p>
    <w:tbl>
      <w:tblPr>
        <w:tblW w:w="7238" w:type="dxa"/>
        <w:jc w:val="left"/>
        <w:tblInd w:w="0" w:type="dxa"/>
        <w:tblLayout w:type="fixed"/>
        <w:tblCellMar>
          <w:top w:w="0" w:type="dxa"/>
          <w:left w:w="0" w:type="dxa"/>
          <w:bottom w:w="0" w:type="dxa"/>
          <w:right w:w="0" w:type="dxa"/>
        </w:tblCellMar>
      </w:tblPr>
      <w:tblGrid>
        <w:gridCol w:w="3016"/>
        <w:gridCol w:w="566"/>
        <w:gridCol w:w="431"/>
        <w:gridCol w:w="1114"/>
        <w:gridCol w:w="566"/>
        <w:gridCol w:w="415"/>
        <w:gridCol w:w="1130"/>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59410" cy="175260"/>
                      <wp:effectExtent l="0" t="0" r="0" b="0"/>
                      <wp:wrapNone/>
                      <wp:docPr id="164" name="Frame16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73685" cy="175260"/>
                      <wp:effectExtent l="0" t="0" r="0" b="0"/>
                      <wp:wrapNone/>
                      <wp:docPr id="165" name="Frame16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07390" cy="175260"/>
                      <wp:effectExtent l="0" t="0" r="0" b="0"/>
                      <wp:wrapNone/>
                      <wp:docPr id="166" name="Frame166"/>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59410" cy="175260"/>
                      <wp:effectExtent l="0" t="0" r="0" b="0"/>
                      <wp:wrapNone/>
                      <wp:docPr id="167" name="Frame16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3525" cy="175260"/>
                      <wp:effectExtent l="0" t="0" r="0" b="0"/>
                      <wp:wrapNone/>
                      <wp:docPr id="168" name="Frame16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17550" cy="175260"/>
                      <wp:effectExtent l="0" t="0" r="0" b="0"/>
                      <wp:wrapNone/>
                      <wp:docPr id="169" name="Frame169"/>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114"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1130"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56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56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1130"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The Series C Warrants can be exercised for cash or on a cashless basis. The Company determined that the Series C Warrants met the requirements for equity classification under ASC 480 and ASC 815.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The Series C Warrants were assumed by the Company in connection with the Business Combination.</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number of Series C Warrants exercised during the three and nine months ended September 30, 2025 were zero and 16,682, respectively. The proceeds from the warrant exercises were recorded to par value of Common Stock and additional-paid-in capital. As of September 30, 2025 and December 31, 2024, Series C Warrants issued and outstanding were 777,118 and 793,800, respectively.</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2020, the Company issued a warrant to purchase shares of its Class A Common Stock to a customer in conjunction with a revenue arrangement (the “Customer Warrant”). The Customer Warrant was assumed by the Company in connection with the Business Combination and converted into a warrant to purchase 2,680,607 shares of Common Stock. The Customer Warrant has an exercise price of $1.152 per share and has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w:t>
      </w:r>
    </w:p>
    <w:p>
      <w:pPr>
        <w:pStyle w:val="TextBody"/>
        <w:bidi w:val="0"/>
        <w:spacing w:before="0" w:after="0"/>
        <w:ind w:left="0" w:right="0" w:firstLine="540"/>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September 30, 2025 and December 31, 2024, the deferred asset balance outstanding is approximately $0.1 million, respectively, which will be recognized as a reduction in revenue in future periods.</w:t>
      </w:r>
    </w:p>
    <w:p>
      <w:pPr>
        <w:pStyle w:val="TextBody"/>
        <w:bidi w:val="0"/>
        <w:spacing w:before="0" w:after="0"/>
        <w:ind w:left="0" w:right="0" w:firstLine="634"/>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240"/>
        <w:ind w:left="0" w:right="0" w:firstLine="540"/>
        <w:jc w:val="both"/>
        <w:rPr/>
      </w:pPr>
      <w:r>
        <w:rPr/>
        <w:t>​</w:t>
      </w:r>
    </w:p>
    <w:tbl>
      <w:tblPr>
        <w:tblW w:w="7165" w:type="dxa"/>
        <w:jc w:val="left"/>
        <w:tblInd w:w="0" w:type="dxa"/>
        <w:tblLayout w:type="fixed"/>
        <w:tblCellMar>
          <w:top w:w="0" w:type="dxa"/>
          <w:left w:w="0" w:type="dxa"/>
          <w:bottom w:w="0" w:type="dxa"/>
          <w:right w:w="0" w:type="dxa"/>
        </w:tblCellMar>
      </w:tblPr>
      <w:tblGrid>
        <w:gridCol w:w="2941"/>
        <w:gridCol w:w="566"/>
        <w:gridCol w:w="1546"/>
        <w:gridCol w:w="566"/>
        <w:gridCol w:w="1546"/>
      </w:tblGrid>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59410" cy="175260"/>
                      <wp:effectExtent l="0" t="0" r="0" b="0"/>
                      <wp:wrapNone/>
                      <wp:docPr id="170" name="Frame17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81710" cy="175260"/>
                      <wp:effectExtent l="0" t="0" r="0" b="0"/>
                      <wp:wrapNone/>
                      <wp:docPr id="171" name="Frame17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59410" cy="175260"/>
                      <wp:effectExtent l="0" t="0" r="0" b="0"/>
                      <wp:wrapNone/>
                      <wp:docPr id="172" name="Frame17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81710" cy="175260"/>
                      <wp:effectExtent l="0" t="0" r="0" b="0"/>
                      <wp:wrapNone/>
                      <wp:docPr id="173" name="Frame17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rFonts w:ascii="Times New Roman;Times;serif" w:hAnsi="Times New Roman;Times;serif"/>
          <w:b/>
          <w:sz w:val="20"/>
        </w:rPr>
      </w:pPr>
      <w:bookmarkStart w:id="1272" w:name="Tc_5RQnNRkySkC-m3XGw6cdvw_6_0"/>
      <w:bookmarkStart w:id="1273" w:name="Tc_0enlNsAa5kmSiU7AB7201w_5_0"/>
      <w:bookmarkStart w:id="1274" w:name="Tc_xD47XBhPnkOoZtqvpE6ijw_4_0"/>
      <w:bookmarkStart w:id="1275" w:name="Tc_pfKx140uYkSB4ZTue8cyyg_3_0"/>
      <w:bookmarkStart w:id="1276" w:name="Tc_mr7TriswnkC6-hr1WkdzrQ_2_2"/>
      <w:bookmarkStart w:id="1277" w:name="Tc_PoZB_73Olke5q8Ea1YHdLQ_2_0"/>
      <w:bookmarkStart w:id="1278" w:name="Tc_B7abE-NAx0ajpNpy-oaHYQ_1_2"/>
      <w:bookmarkStart w:id="1279" w:name="Tc_RaHXrWOHpU-iJ_ncg3N6cg_1_0"/>
      <w:bookmarkEnd w:id="1272"/>
      <w:bookmarkEnd w:id="1273"/>
      <w:bookmarkEnd w:id="1274"/>
      <w:bookmarkEnd w:id="1275"/>
      <w:bookmarkEnd w:id="1276"/>
      <w:bookmarkEnd w:id="1277"/>
      <w:bookmarkEnd w:id="1278"/>
      <w:bookmarkEnd w:id="1279"/>
      <w:r>
        <w:rPr>
          <w:rFonts w:ascii="Times New Roman;Times;serif" w:hAnsi="Times New Roman;Times;serif"/>
          <w:b/>
          <w:sz w:val="20"/>
        </w:rPr>
        <w:t>(8) Earn-out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(the “Sponsor”)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pStyle w:val="TextBody"/>
        <w:bidi w:val="0"/>
        <w:spacing w:before="0" w:after="240"/>
        <w:ind w:left="0" w:right="0" w:firstLine="54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p>
      <w:pPr>
        <w:pStyle w:val="TextBody"/>
        <w:bidi w:val="0"/>
        <w:spacing w:before="0" w:after="240"/>
        <w:ind w:left="0" w:right="0" w:firstLine="54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p>
      <w:pPr>
        <w:pStyle w:val="TextBody"/>
        <w:bidi w:val="0"/>
        <w:spacing w:before="0" w:after="24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tc>
      </w:tr>
    </w:tbl>
    <w:p>
      <w:pPr>
        <w:pStyle w:val="TextBody"/>
        <w:bidi w:val="0"/>
        <w:spacing w:before="0" w:after="0"/>
        <w:ind w:left="0" w:right="0" w:hanging="0"/>
        <w:jc w:val="left"/>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During the three and nine months ended September 30, 2025, the vesting condition for each of the Sponsor Redemption-Based Vesting Shares and the Promote Sponsor Vesting Shares was satisfied, and the underlying earn-out liabilities were adjusted to fair value using the closing market price of the Company’s common stock on their respective vesting dates. The earn-out liability for the Sponsor Redemption-Based Vesting Shares as of their August 14, 2025 vesting date was $10.4 million. The earn-out liability for the Promote Sponsor Vesting Shares as of their February 6, 2025 vesting date was $32.9 million. The earn-out liabilities for  the Sponsor Redemption-Based Vesting Shares and the Promote Sponsor Vesting Shares were recorded to additional paid-in capital on their respective vesting dates. As of September 30, 2025, all of the underlying earn-out liabilities related to the Sponsor Vesting Shares have been satisfied and the remaining liability balance was zero.</w:t>
      </w:r>
    </w:p>
    <w:p>
      <w:pPr>
        <w:pStyle w:val="TextBody"/>
        <w:bidi w:val="0"/>
        <w:spacing w:before="0" w:after="0"/>
        <w:ind w:left="0" w:right="0" w:firstLine="547"/>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calculated fair value of the Earn-out liabilities with respect to the unvested Sponsor Vesting Shares as of December 31, 2024 was $45.9 million. The change in the fair value of the Earn-out liabilities included in the condensed consolidated statements of operations during the three and nine months ended September 30, 2025 was a loss of  $4.1 million and a gain of $2.5 million, respectively. The change in the fair value of the Earn-out liabilities included in the condensed consolidated statements of operations during the three and nine months ended September 30, 2024 was a gain of $0.8 million and $0.5 million, respectively.</w:t>
      </w:r>
    </w:p>
    <w:p>
      <w:pPr>
        <w:pStyle w:val="TextBody"/>
        <w:shd w:fill="FFFFFF" w:val="clear"/>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December 31, 2024 were as follows:</w:t>
      </w:r>
    </w:p>
    <w:p>
      <w:pPr>
        <w:pStyle w:val="TextBody"/>
        <w:bidi w:val="0"/>
        <w:spacing w:before="0" w:after="240"/>
        <w:ind w:left="0" w:right="0" w:firstLine="540"/>
        <w:jc w:val="both"/>
        <w:rPr/>
      </w:pPr>
      <w:r>
        <w:rPr/>
        <w:t>​</w:t>
      </w:r>
    </w:p>
    <w:tbl>
      <w:tblPr>
        <w:tblW w:w="5098" w:type="dxa"/>
        <w:jc w:val="left"/>
        <w:tblInd w:w="0" w:type="dxa"/>
        <w:tblLayout w:type="fixed"/>
        <w:tblCellMar>
          <w:top w:w="0" w:type="dxa"/>
          <w:left w:w="0" w:type="dxa"/>
          <w:bottom w:w="0" w:type="dxa"/>
          <w:right w:w="0" w:type="dxa"/>
        </w:tblCellMar>
      </w:tblPr>
      <w:tblGrid>
        <w:gridCol w:w="3226"/>
        <w:gridCol w:w="326"/>
        <w:gridCol w:w="350"/>
        <w:gridCol w:w="1196"/>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2250" cy="175260"/>
                      <wp:effectExtent l="0" t="0" r="0" b="0"/>
                      <wp:wrapNone/>
                      <wp:docPr id="175" name="Frame17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59460" cy="175260"/>
                      <wp:effectExtent l="0" t="0" r="0" b="0"/>
                      <wp:wrapNone/>
                      <wp:docPr id="176" name="Frame176"/>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2.17</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280" w:name="Tc_ghN--3gULUiLiLCoy5lN0Q_5_0"/>
      <w:bookmarkStart w:id="1281" w:name="Tc_ppCAN8BIXEq8DLjBw546fg_4_0"/>
      <w:bookmarkStart w:id="1282" w:name="Tc_f_jY8c_PN0KATFbKSLSvHQ_3_0"/>
      <w:bookmarkStart w:id="1283" w:name="Tc_iu1Bgc8LDEyxsfXFCX2jbw_2_0"/>
      <w:bookmarkStart w:id="1284" w:name="Tc_3i_wFuON80ib9gRrKMrBTQ_1_2"/>
      <w:bookmarkEnd w:id="1280"/>
      <w:bookmarkEnd w:id="1281"/>
      <w:bookmarkEnd w:id="1282"/>
      <w:bookmarkEnd w:id="1283"/>
      <w:bookmarkEnd w:id="1284"/>
      <w:r>
        <w:rPr>
          <w:rFonts w:ascii="Times New Roman;Times;serif" w:hAnsi="Times New Roman;Times;serif"/>
          <w:b/>
          <w:sz w:val="20"/>
        </w:rPr>
        <w:t>(9) Stockholders’ Equity</w:t>
      </w:r>
    </w:p>
    <w:p>
      <w:pPr>
        <w:pStyle w:val="TextBody"/>
        <w:pBdr/>
        <w:bidi w:val="0"/>
        <w:spacing w:before="0" w:after="0"/>
        <w:ind w:left="0" w:right="0" w:hanging="36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September 30, 2025, the Company has reserved the following shares of Common Stock for issuance upon the conversion, exercise or vesting of the underlying instruments:</w:t>
      </w:r>
    </w:p>
    <w:p>
      <w:pPr>
        <w:pStyle w:val="TextBody"/>
        <w:bidi w:val="0"/>
        <w:spacing w:before="0" w:after="240"/>
        <w:ind w:left="0" w:right="0" w:firstLine="540"/>
        <w:jc w:val="both"/>
        <w:rPr/>
      </w:pPr>
      <w:r>
        <w:rPr/>
        <w:t>​</w:t>
      </w:r>
    </w:p>
    <w:tbl>
      <w:tblPr>
        <w:tblW w:w="5443" w:type="dxa"/>
        <w:jc w:val="left"/>
        <w:tblInd w:w="0" w:type="dxa"/>
        <w:tblLayout w:type="fixed"/>
        <w:tblCellMar>
          <w:top w:w="0" w:type="dxa"/>
          <w:left w:w="0" w:type="dxa"/>
          <w:bottom w:w="0" w:type="dxa"/>
          <w:right w:w="0" w:type="dxa"/>
        </w:tblCellMar>
      </w:tblPr>
      <w:tblGrid>
        <w:gridCol w:w="3676"/>
        <w:gridCol w:w="326"/>
        <w:gridCol w:w="1441"/>
      </w:tblGrid>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15035" cy="175260"/>
                      <wp:effectExtent l="0" t="0" r="0" b="0"/>
                      <wp:wrapNone/>
                      <wp:docPr id="178" name="Frame178"/>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16,271,785</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8,411,134</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6,137,639</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44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30,820,558</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At-the-Market Offerings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May 2025 Sales Agreement with Jefferies, LLC</w:t>
      </w:r>
    </w:p>
    <w:p>
      <w:pPr>
        <w:pStyle w:val="TextBody"/>
        <w:bidi w:val="0"/>
        <w:spacing w:before="0" w:after="240"/>
        <w:ind w:left="0" w:right="0" w:firstLine="540"/>
        <w:jc w:val="both"/>
        <w:rPr/>
      </w:pPr>
      <w:r>
        <w:rPr/>
        <w:t>​</w:t>
      </w:r>
    </w:p>
    <w:p>
      <w:pPr>
        <w:pStyle w:val="TextBody"/>
        <w:bidi w:val="0"/>
        <w:spacing w:lineRule="auto" w:line="240" w:before="0" w:after="0"/>
        <w:ind w:left="0" w:right="0" w:firstLine="540"/>
        <w:jc w:val="both"/>
        <w:rPr>
          <w:rFonts w:ascii="Times New Roman;Times;serif" w:hAnsi="Times New Roman;Times;serif"/>
          <w:sz w:val="20"/>
        </w:rPr>
      </w:pPr>
      <w:r>
        <w:rPr>
          <w:rFonts w:ascii="Times New Roman;Times;serif" w:hAnsi="Times New Roman;Times;serif"/>
          <w:sz w:val="20"/>
        </w:rPr>
        <w:t>On May 29, 2025,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“Sales Agreement”) with </w:t>
      </w:r>
      <w:r>
        <w:rPr>
          <w:rFonts w:ascii="Times New Roman;Times;serif" w:hAnsi="Times New Roman;Times;serif"/>
          <w:sz w:val="20"/>
          <w:shd w:fill="FFFFFF" w:val="clear"/>
        </w:rPr>
        <w:t xml:space="preserve">Jefferies, LLC (the “Agent”) with respect to an At-the-Market offering program, pursuant to which the Company sold, from time to time at its sole discretion, shares of its Common Stock having an aggregate offering price of $350 million (the “ATM Offering”). </w:t>
      </w:r>
      <w:r>
        <w:rPr>
          <w:rFonts w:ascii="Times New Roman;Times;serif" w:hAnsi="Times New Roman;Times;serif"/>
          <w:sz w:val="20"/>
        </w:rPr>
        <w:t>The shares offered and sold in the ATM Offering were issued and sold pursuant to the Company’s automatic shelf registration statement on Form S-3 and the related prospectus supplement, which the Company filed with the SEC on May 29, 2025. The Company paid the Agent a commission of up to 3% of the gross proceeds of the shares sold under the Sales Agreement, and the Company agreed to provide the Agent with customary indemnification rights. The Sales Agreement contained customary representations and warranties and conditions to the sale of the shares pursuant thereto.</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three months ended September 30, 2025, no shares of Common Stock were sold under the Sales Agreement, as the Company fully utilized the amount available under the ATM offering during the three months ended June 30, 2025. During the nine months ended September 30, 2025, the Company raised gross proceeds of $350 million from the sale of 30,309,780 shares of its Common Stock pursuant to the Sales Agreement, at a weighted average price of $11.55 per share, which represented the full amount of shares available for sale under the Sales Agreement. The net proceeds from the Sales Agreement during the nine months ended September 30, 2025 were $346.7 million, after deducting Agent commissions totaling $3.3 million. As of September 30, 2025, there were no remaining shares available for sale pursuant to the Sales Agreement.</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March 2024 Sales Agreement with B. Riley Securities, Inc. and Needham &amp; Company, LLC</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15, 2024, the Company entered into an At-the-Market Sales Agreement (the “Prior ATM Agreement”) with </w:t>
      </w:r>
      <w:r>
        <w:rPr>
          <w:rFonts w:ascii="Times New Roman;Times;serif" w:hAnsi="Times New Roman;Times;serif"/>
          <w:sz w:val="20"/>
          <w:shd w:fill="FFFFFF" w:val="clear"/>
        </w:rPr>
        <w:t xml:space="preserve">B. Riley Securities, Inc. and Needham &amp; Company, LLC pursuant to which the Company sold, from time to time at its sole discretion, shares of its Common Stock having an aggregate offering price of $100 million. </w:t>
      </w:r>
    </w:p>
    <w:p>
      <w:pPr>
        <w:pStyle w:val="TextBody"/>
        <w:bidi w:val="0"/>
        <w:spacing w:before="0" w:after="0"/>
        <w:ind w:left="0" w:right="0" w:firstLine="547"/>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three months ended September 30, 2024, the Company raised gross proceeds of $12.3 million from the sale of 11,294,746 shares of its common stock pursuant to the Prior ATM Agreement, at a weighted average price of $1.09 per share. During the nine months ended September 30, 2024, the Company raised gross proceeds of $39.8 million from the sale of 30,718,121 shares of its common stock pursuant to the Prior ATM Agreement, at a weighted average price of $1.30 per share. The net offering proceeds from the Prior ATM Agreement during the three and nine months ended September 30, 2024 were $12.0 million and $38.8 million, respectively, after deducting sales agent commissions of $0.3 million and $1.0 million, respectively. As of September 30, 2025, there were no remaining shares available for sale under the Prior ATM Agreement. </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provided B. Riley with registration rights with respect to such Common Stock and pursuant to which the Company filed a registration statement covering the resale of such Common Stock.</w:t>
      </w:r>
    </w:p>
    <w:p>
      <w:pPr>
        <w:pStyle w:val="TextBody"/>
        <w:bidi w:val="0"/>
        <w:spacing w:before="0" w:after="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months ended September 30, 2024, the Company did not sell Common Stock under the Purchase Agreement. During the nine months ended September 30, 2024, the Company received net proceeds of $12.8 million from the issuance and sale of 10,056,799 shares of Common Stock to B. Riley under the Purchase Agreement. As of September 30, 2025, there were no remaining shares available for sale under the Purchase Agreement; as a result, the Purchase Agreement has terminated.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285" w:name="Tc_lD7CzL6dSUWUZkLOQNO-aA_10_9"/>
      <w:bookmarkStart w:id="1286" w:name="Tc_C2a9OVu0c0O1sa5MPwCuVg_10_4"/>
      <w:bookmarkStart w:id="1287" w:name="Tc_CnQZLjt6kUqqewOHkyhjYA_10_0"/>
      <w:bookmarkStart w:id="1288" w:name="Tc_H3PxzgQWmUem2Nc--Lc8Yw_9_9"/>
      <w:bookmarkStart w:id="1289" w:name="Tc_VLFiffsaE0GVndxAFVZutw_9_4"/>
      <w:bookmarkStart w:id="1290" w:name="Tc_7gaiOlA9L0myBkvf85AbGw_9_0"/>
      <w:bookmarkStart w:id="1291" w:name="Tc_9Ka7EHjIo0W_6MbHJ4Bobg_8_5"/>
      <w:bookmarkStart w:id="1292" w:name="Tc_a9Iqp1h4-ka0sr4ht0rNjA_8_2"/>
      <w:bookmarkStart w:id="1293" w:name="Tc_v50AFG3NmUe-XKYt6940Qg_8_0"/>
      <w:bookmarkStart w:id="1294" w:name="Tc_dHxR-fmsG0G_csVpMuTm2Q_7_0"/>
      <w:bookmarkStart w:id="1295" w:name="Tc_tfXCBWG_LU6W-fpKa46aow_6_5"/>
      <w:bookmarkStart w:id="1296" w:name="Tc_A99IPSQf6UCtArxMOwm0dg_6_2"/>
      <w:bookmarkStart w:id="1297" w:name="Tc_WNgAoq5xdEyjWdVB1MBNww_6_0"/>
      <w:bookmarkStart w:id="1298" w:name="Tc_OqdPd9IJNkK44PjNdG5w7g_5_9"/>
      <w:bookmarkStart w:id="1299" w:name="Tc_M_vAEEK5dEmc3Lc7dygmBQ_5_4"/>
      <w:bookmarkStart w:id="1300" w:name="Tc_7IVOCN7Hj0SR2xEKBjs5RQ_5_0"/>
      <w:bookmarkStart w:id="1301" w:name="Tc_6HuwINKmMkyg_I7-XfwHLA_4_9"/>
      <w:bookmarkStart w:id="1302" w:name="Tc_D-Kb4PCLAkGiKyiumm2NBg_4_7"/>
      <w:bookmarkStart w:id="1303" w:name="Tc_Op4ICdZI9Ey4RQscgZlCPg_4_4"/>
      <w:bookmarkStart w:id="1304" w:name="Tc_i-I52ntt1EuIIu7NpfVzBQ_4_2"/>
      <w:bookmarkStart w:id="1305" w:name="Tc_rRkhiLm5L0ibDvlvbQ_IMA_3_9"/>
      <w:bookmarkStart w:id="1306" w:name="Tc_eaotfpQUXkGFuTY8t0Y4nA_3_7"/>
      <w:bookmarkStart w:id="1307" w:name="Tc_WguBHX0k0kSmmmKXSrbJgQ_3_4"/>
      <w:bookmarkStart w:id="1308" w:name="Tc_XxyB0Aa-d0Ke3tt1lwZLPA_2_9"/>
      <w:bookmarkStart w:id="1309" w:name="Tc_hSVGfuOUAUCIYJ3KAblPcA_2_7"/>
      <w:bookmarkStart w:id="1310" w:name="Tc_TxJpxLWiK0qLtszllTZf5Q_2_4"/>
      <w:bookmarkStart w:id="1311" w:name="Tc_k-8azhoYK0GiIfTcLcgc7g_1_7"/>
      <w:bookmarkStart w:id="1312" w:name="Tc_6K9njEl6NU2HSw4YYzPiKg_1_4"/>
      <w:bookmarkStart w:id="1313" w:name="_Hlk161993311"/>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b/>
          <w:sz w:val="20"/>
        </w:rPr>
        <w:t>(10) Share-Based Compensation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September 30, 2025, there were 31,268,465 shares of Common Stock reserved for issuance under the 2022 Plan, of which 18,030,240 shares remain available for future issuance. The number of shares reserved for issuance under the 2022 Plan will automatically increase on January 1st of each year for a period of </w:t>
      </w:r>
      <w:r>
        <w:rPr>
          <w:rFonts w:ascii="Times New Roman;Times;serif" w:hAnsi="Times New Roman;Times;serif"/>
          <w:b w:val="false"/>
          <w:i w:val="false"/>
          <w:caps w:val="false"/>
          <w:smallCaps w:val="false"/>
          <w:sz w:val="20"/>
        </w:rPr>
        <w:t>nine years</w:t>
      </w:r>
      <w:r>
        <w:rPr>
          <w:rFonts w:ascii="Times New Roman;Times;serif" w:hAnsi="Times New Roman;Times;serif"/>
          <w:sz w:val="20"/>
        </w:rPr>
        <w:t>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2025, the number of shares of Common Stock reserved for issuance under the “2022 Plan” was increased by 15,972,015 shares.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nine months ended September 30, 2025:</w:t>
      </w:r>
    </w:p>
    <w:p>
      <w:pPr>
        <w:pStyle w:val="TextBody"/>
        <w:bidi w:val="0"/>
        <w:spacing w:before="0" w:after="240"/>
        <w:ind w:left="0" w:right="0" w:firstLine="540"/>
        <w:jc w:val="left"/>
        <w:rPr/>
      </w:pPr>
      <w:r>
        <w:rPr/>
        <w:t>​</w:t>
      </w:r>
    </w:p>
    <w:tbl>
      <w:tblPr>
        <w:tblW w:w="10205" w:type="dxa"/>
        <w:jc w:val="left"/>
        <w:tblInd w:w="0" w:type="dxa"/>
        <w:tblLayout w:type="fixed"/>
        <w:tblCellMar>
          <w:top w:w="0" w:type="dxa"/>
          <w:left w:w="0" w:type="dxa"/>
          <w:bottom w:w="0" w:type="dxa"/>
          <w:right w:w="0" w:type="dxa"/>
        </w:tblCellMar>
      </w:tblPr>
      <w:tblGrid>
        <w:gridCol w:w="3684"/>
        <w:gridCol w:w="326"/>
        <w:gridCol w:w="1463"/>
        <w:gridCol w:w="326"/>
        <w:gridCol w:w="352"/>
        <w:gridCol w:w="778"/>
        <w:gridCol w:w="326"/>
        <w:gridCol w:w="1110"/>
        <w:gridCol w:w="326"/>
        <w:gridCol w:w="427"/>
        <w:gridCol w:w="1087"/>
      </w:tblGrid>
      <w:tr>
        <w:trPr/>
        <w:tc>
          <w:tcPr>
            <w:tcW w:w="3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3520" cy="175260"/>
                      <wp:effectExtent l="0" t="0" r="0" b="0"/>
                      <wp:wrapNone/>
                      <wp:docPr id="181" name="Frame18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4030" cy="175260"/>
                      <wp:effectExtent l="0" t="0" r="0" b="0"/>
                      <wp:wrapNone/>
                      <wp:docPr id="182" name="Frame18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04850" cy="175260"/>
                      <wp:effectExtent l="0" t="0" r="0" b="0"/>
                      <wp:wrapNone/>
                      <wp:docPr id="184" name="Frame184"/>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71145" cy="175260"/>
                      <wp:effectExtent l="0" t="0" r="0" b="0"/>
                      <wp:wrapNone/>
                      <wp:docPr id="186" name="Frame18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0245" cy="175260"/>
                      <wp:effectExtent l="0" t="0" r="0" b="0"/>
                      <wp:wrapNone/>
                      <wp:docPr id="187" name="Frame187"/>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center"/>
              <w:rPr/>
            </w:pPr>
            <w:r>
              <w:rPr/>
              <w:t>​</w:t>
            </w:r>
          </w:p>
        </w:tc>
      </w:tr>
      <w:tr>
        <w:trPr/>
        <w:tc>
          <w:tcPr>
            <w:tcW w:w="3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5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5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5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(in thousands)</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4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8,131,235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115,878</w:t>
            </w:r>
          </w:p>
        </w:tc>
      </w:tr>
      <w:tr>
        <w:trPr/>
        <w:tc>
          <w:tcPr>
            <w:tcW w:w="36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4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4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(1,993,596)</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0.91</w:t>
            </w:r>
          </w:p>
        </w:tc>
        <w:tc>
          <w:tcPr>
            <w:tcW w:w="326" w:type="dxa"/>
            <w:tcBorders/>
            <w:shd w:fill="CCEEFF" w:val="clear"/>
            <w:vAlign w:val="center"/>
          </w:tcPr>
          <w:p>
            <w:pPr>
              <w:pStyle w:val="TableContents"/>
              <w:bidi w:val="0"/>
              <w:spacing w:before="0" w:after="0"/>
              <w:ind w:left="0" w:right="0" w:hanging="0"/>
              <w:jc w:val="left"/>
              <w:rPr/>
            </w:pPr>
            <w:r>
              <w:rPr/>
              <w:t> </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7"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24,953</w:t>
            </w:r>
          </w:p>
        </w:tc>
      </w:tr>
      <w:tr>
        <w:trPr/>
        <w:tc>
          <w:tcPr>
            <w:tcW w:w="36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4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087" w:type="dxa"/>
            <w:tcBorders/>
            <w:vAlign w:val="center"/>
          </w:tcPr>
          <w:p>
            <w:pPr>
              <w:pStyle w:val="TableContents"/>
              <w:bidi w:val="0"/>
              <w:spacing w:before="0" w:after="0"/>
              <w:ind w:left="0" w:right="0" w:hanging="0"/>
              <w:jc w:val="right"/>
              <w:rPr/>
            </w:pPr>
            <w:r>
              <w:rPr/>
              <w:t>​</w:t>
            </w:r>
          </w:p>
        </w:tc>
      </w:tr>
      <w:tr>
        <w:trPr/>
        <w:tc>
          <w:tcPr>
            <w:tcW w:w="36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4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6,137,639</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176,445</w:t>
            </w:r>
          </w:p>
        </w:tc>
      </w:tr>
      <w:tr>
        <w:trPr/>
        <w:tc>
          <w:tcPr>
            <w:tcW w:w="36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September 30, 2025</w:t>
            </w:r>
          </w:p>
        </w:tc>
        <w:tc>
          <w:tcPr>
            <w:tcW w:w="326" w:type="dxa"/>
            <w:tcBorders/>
            <w:vAlign w:val="center"/>
          </w:tcPr>
          <w:p>
            <w:pPr>
              <w:pStyle w:val="TableContents"/>
              <w:bidi w:val="0"/>
              <w:spacing w:before="0" w:after="0"/>
              <w:ind w:left="0" w:right="0" w:hanging="0"/>
              <w:jc w:val="left"/>
              <w:rPr/>
            </w:pPr>
            <w:r>
              <w:rPr/>
              <w:t> </w:t>
            </w:r>
          </w:p>
        </w:tc>
        <w:tc>
          <w:tcPr>
            <w:tcW w:w="14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3,442,523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99,736</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Company’s outstanding stock options generally have exercise prices equal to fair market value on the date of grant, expire after ten years and have service-based vesting conditions ranging from 1-5 years, except that 500,000 stock options granted in 2022 had a market-based vesting condition tied to the Company’s Common Stock price. The vesting condition with respect to the market-based stock option grants was satisfied in January 2025. The intrinsic value of an option is the amount by which the market price of the underlying Common Stock exceeds the option’s exercise price. The intrinsic value of stock options exercised during the nine months ended September 30, 2025 and September 30, 2024 was $25.0 million and $0.4 million, respectively. The Company received proceeds from stock option exercises of $1.8 million and $0.1 million during the nine months ended September 30, 2025 and September 30, 2024, respectively. </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$1.5 million for the three and nine months ended September 30, 2025, respectively. Stock-based compensation expense related to stock options granted to employees was $0.5 million and $1.4 million for the three and nine months ended September 30, 2024, respectively. As of September 30, 2025, the unrecognized compensation expense related to unvested stock options was $2.8 million, which is expected to be recognized over a weighted-average period of 1.75 years.</w:t>
      </w:r>
    </w:p>
    <w:p>
      <w:pPr>
        <w:pStyle w:val="TextBody"/>
        <w:bidi w:val="0"/>
        <w:spacing w:before="0" w:after="240"/>
        <w:ind w:left="0" w:right="0" w:firstLine="54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fair value of each stock option award is estimated on the grant date using the Black-Scholes option-pricing model. No stock options were granted during the nine months ended September 30, 2025. The weighted-average grant date fair value of stock options granted during the nine months ended September 30, 2024 was $1.32 per share. The valuation assumptions used as inputs to the Black-Scholes option-pricing model to value the Company’s service-based stock options include expected volatility for the Company’s Common Stock, the expected term of the stock options granted, the assumed dividend yield and the risk free interest rate at the time of grant.</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314" w:name="Tc_orONCGjWS0OCY5Tv2PFoeQ_8_4"/>
      <w:bookmarkStart w:id="1315" w:name="Tc_m1I3R_kzDk6FX_i5V5bQrg_8_0"/>
      <w:bookmarkStart w:id="1316" w:name="Tc_Rg4EgNMI-0ysuJuTbyrhQQ_7_0"/>
      <w:bookmarkStart w:id="1317" w:name="Tc_EARFy5uk4kiytwupm-1aYg_6_0"/>
      <w:bookmarkStart w:id="1318" w:name="Tc_LCgmG2wKu0WmANJ0DeQqGw_5_0"/>
      <w:bookmarkStart w:id="1319" w:name="Tc_97mgllgpe0ixvnC7EJLr3w_4_4"/>
      <w:bookmarkStart w:id="1320" w:name="Tc_kPaDyeadAEuqmcZo2DsZig_4_0"/>
      <w:bookmarkStart w:id="1321" w:name="Tc_Lmzma8-4_0OuyX0syokH0A_3_4"/>
      <w:bookmarkStart w:id="1322" w:name="Tc_TFF5XvBlYU2_sinraDOufA_3_2"/>
      <w:bookmarkStart w:id="1323" w:name="Tc_FvMyIUt8e029TRXXm1IIIw_2_4"/>
      <w:bookmarkStart w:id="1324" w:name="Tc_vxHNuFaHSE67y-dxiF2uIA_1_4"/>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sz w:val="20"/>
        </w:rPr>
        <w:t xml:space="preserve">For the first nine months of 2024, expected volatility for the Company’s Common Stock was determined based on a blended average of the historical volatility of a peer group of similar public companies, the historical volatility of the Company’s Common Stock and the implied volatility from the Company’s Public Warrants. For the last three months of 2024, expected volatility for the Company’s Common Stock was determined based on a one-third weighting of the historical volatility of a peer group of similar public companies and a two-thirds weighting of the historical volatility of the Company’s Common Stock. The implied volatility from the Company’s Public Warrants was excluded because the calculation did not produce a meaningful result. The Company had not been public for a sufficient length of time to derive expected volatility solely from trading in its Common Stock.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is a summary of RSU activity during the nine months ended September 30, 2025:</w:t>
      </w:r>
    </w:p>
    <w:p>
      <w:pPr>
        <w:pStyle w:val="TextBody"/>
        <w:bidi w:val="0"/>
        <w:spacing w:before="0" w:after="240"/>
        <w:ind w:left="0" w:right="0" w:firstLine="547"/>
        <w:jc w:val="both"/>
        <w:rPr/>
      </w:pPr>
      <w:r>
        <w:rPr/>
        <w:t>​</w:t>
      </w:r>
    </w:p>
    <w:tbl>
      <w:tblPr>
        <w:tblW w:w="6114" w:type="dxa"/>
        <w:jc w:val="left"/>
        <w:tblInd w:w="0" w:type="dxa"/>
        <w:tblLayout w:type="fixed"/>
        <w:tblCellMar>
          <w:top w:w="0" w:type="dxa"/>
          <w:left w:w="0" w:type="dxa"/>
          <w:bottom w:w="0" w:type="dxa"/>
          <w:right w:w="0" w:type="dxa"/>
        </w:tblCellMar>
      </w:tblPr>
      <w:tblGrid>
        <w:gridCol w:w="2911"/>
        <w:gridCol w:w="326"/>
        <w:gridCol w:w="1051"/>
        <w:gridCol w:w="326"/>
        <w:gridCol w:w="381"/>
        <w:gridCol w:w="1119"/>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7385" cy="175260"/>
                      <wp:effectExtent l="0" t="0" r="0" b="0"/>
                      <wp:wrapNone/>
                      <wp:docPr id="189" name="Frame1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1935" cy="175260"/>
                      <wp:effectExtent l="0" t="0" r="0" b="0"/>
                      <wp:wrapNone/>
                      <wp:docPr id="191" name="Frame191"/>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10565" cy="175260"/>
                      <wp:effectExtent l="0" t="0" r="0" b="0"/>
                      <wp:wrapNone/>
                      <wp:docPr id="192" name="Frame192"/>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11,177,661</w:t>
            </w:r>
          </w:p>
        </w:tc>
        <w:tc>
          <w:tcPr>
            <w:tcW w:w="32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3,643,080</w:t>
            </w:r>
          </w:p>
        </w:tc>
        <w:tc>
          <w:tcPr>
            <w:tcW w:w="32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(6,154,069)</w:t>
            </w:r>
          </w:p>
        </w:tc>
        <w:tc>
          <w:tcPr>
            <w:tcW w:w="32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(255,538)</w:t>
            </w:r>
          </w:p>
        </w:tc>
        <w:tc>
          <w:tcPr>
            <w:tcW w:w="32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8,411,134</w:t>
            </w:r>
          </w:p>
        </w:tc>
        <w:tc>
          <w:tcPr>
            <w:tcW w:w="326" w:type="dxa"/>
            <w:tcBorders/>
            <w:shd w:fill="CCEEFF" w:val="clear"/>
            <w:vAlign w:val="center"/>
          </w:tcPr>
          <w:p>
            <w:pPr>
              <w:pStyle w:val="TableContents"/>
              <w:bidi w:val="0"/>
              <w:spacing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6.65</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Company’s RSUs generally have service-based vesting conditions ranging from 1-4 years, except that 3,850,000 RSUs granted in 2023 had a market-based vesting condition tied to the Company’s stock price. Based upon the terms of such awards, 50% of the shares became vested when the Company’s Common Stock traded at or above $2.00 per share and the other 50% of the shares became vested when the Company’s Common Stock traded at or above $4.00 per share, for 20 out of 30 trading days through the fifth anniversary of the grant date. The $2.00 per share vesting condition </w:t>
      </w:r>
      <w:r>
        <w:rPr>
          <w:rFonts w:ascii="Times New Roman;Times;serif" w:hAnsi="Times New Roman;Times;serif"/>
          <w:color w:val="212529"/>
          <w:sz w:val="20"/>
          <w:shd w:fill="FFFFFF" w:val="clear"/>
        </w:rPr>
        <w:t xml:space="preserve">was satisfied in December 2024, and the $4.00 per share vesting condition was satisfied in January 2025. </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 and is included in other current assets in the accompanying balance sheet as of December 31, 2024.</w:t>
      </w:r>
    </w:p>
    <w:p>
      <w:pPr>
        <w:pStyle w:val="TextBody"/>
        <w:bidi w:val="0"/>
        <w:spacing w:before="0" w:after="0"/>
        <w:ind w:left="0" w:right="0" w:firstLine="547"/>
        <w:jc w:val="both"/>
        <w:rPr>
          <w:color w:val="212529"/>
          <w:shd w:fill="FFFFFF" w:val="clear"/>
        </w:rPr>
      </w:pPr>
      <w:r>
        <w:rPr>
          <w:color w:val="212529"/>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as of September 30, 2025 and September 30, 2024 was $250.6 million and $11.2 million, respectively. The aggregate fair value of RSUs that vested based on the closing price of the Company’s Common Stock on the vesting date during the nine months ended September 30, 2025 and September 30, 2024 was $69.0 million and $4.3 million, respectively.</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number of service-based RSUs granted during the nine months ended September 30, 2025 and September 30, 2024 was 3,643,080 and 7,305,872, respectively. The service-based RSUs vest over periods ranging from 1-4 years and require continuous employment. The weighted-average grant date fair value of the service-based RSUs granted during the nine months ended September 30, 2025 and September 30, 2024 was $13.78 and $1.07 per share, respectively. The fair value of the service-based RSUs was calculated based on the fair market value of the Company’s Common Stock on the date of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1325" w:name="Tc_W5ZqhiLqpEaa6sFaGzUzuA_5_11"/>
      <w:bookmarkStart w:id="1326" w:name="Tc_N7f4EpciYkmMrYtR0sEeNg_5_8"/>
      <w:bookmarkStart w:id="1327" w:name="Tc_6gfbFXanwUe5jTdUPCwhMg_5_5"/>
      <w:bookmarkStart w:id="1328" w:name="Tc_kb7a03g_wkWUh2qq2g-lNQ_5_2"/>
      <w:bookmarkStart w:id="1329" w:name="Tc_vOyI5iLGuEKTIRskmv2Lpw_5_0"/>
      <w:bookmarkStart w:id="1330" w:name="Tc_5OdU03iX2Ea7d9Q_bNUSJw_4_0"/>
      <w:bookmarkStart w:id="1331" w:name="Tc_1ra9MWvlo0q-VTCF7y-GpQ_3_11"/>
      <w:bookmarkStart w:id="1332" w:name="Tc_N2BvtxAwYEi0oKCwnr8N8w_3_8"/>
      <w:bookmarkStart w:id="1333" w:name="Tc_Oajsn1DuGk-hR0hNYviEHw_3_5"/>
      <w:bookmarkStart w:id="1334" w:name="Tc_rO8N1HueQUuR6PvoswASTA_3_2"/>
      <w:bookmarkStart w:id="1335" w:name="Tc_BMllHQQTtU2gMRjC0cps1Q_3_0"/>
      <w:bookmarkStart w:id="1336" w:name="Tc_dtSt7O0KpkWW_VTCG_1iSw_2_11"/>
      <w:bookmarkStart w:id="1337" w:name="Tc_ifOflwY6ZEGeALMicDv6-Q_2_8"/>
      <w:bookmarkStart w:id="1338" w:name="Tc_sFxHNgFB7E2E0zHOmUS6pA_2_5"/>
      <w:bookmarkStart w:id="1339" w:name="Tc_dtatskvDIEygoUx6WCWI6g_2_2"/>
      <w:bookmarkStart w:id="1340" w:name="Tc_af9GPgl1_kyNvSQ9uFilTA_1_8"/>
      <w:bookmarkStart w:id="1341" w:name="Tc_tNW67gtfD0iERcaiu34IMQ_1_2"/>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r>
        <w:rPr>
          <w:rFonts w:ascii="Times New Roman;Times;serif" w:hAnsi="Times New Roman;Times;serif"/>
          <w:sz w:val="20"/>
        </w:rPr>
        <w:t>Stock-based compensation expense related to RSUs granted to employees was $3.8 million and $10.5 million for the three and nine months ended September 30, 2025, respectively. Stock-based compensation expense related to RSUs granted to employees was $2.9 million and $8.3 million for the three and nine months ended September 30, 2024, respectively. As of September 30, 2025, the unrecognized compensation expense related to unvested RSUs was $53.5 million, which is expected to be recognized over a weighted-average period of 2.58 years.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nine months ended September 30, 2025 and September 30, 2024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p>
      <w:pPr>
        <w:pStyle w:val="TextBody"/>
        <w:bidi w:val="0"/>
        <w:spacing w:before="0" w:after="0"/>
        <w:ind w:left="0" w:right="0" w:hanging="0"/>
        <w:jc w:val="left"/>
        <w:rPr/>
      </w:pPr>
      <w:r>
        <w:rPr/>
        <w:t>​</w:t>
      </w:r>
    </w:p>
    <w:tbl>
      <w:tblPr>
        <w:tblW w:w="9819" w:type="dxa"/>
        <w:jc w:val="left"/>
        <w:tblInd w:w="0" w:type="dxa"/>
        <w:tblLayout w:type="fixed"/>
        <w:tblCellMar>
          <w:top w:w="0" w:type="dxa"/>
          <w:left w:w="0" w:type="dxa"/>
          <w:bottom w:w="0" w:type="dxa"/>
          <w:right w:w="0" w:type="dxa"/>
        </w:tblCellMar>
      </w:tblPr>
      <w:tblGrid>
        <w:gridCol w:w="3736"/>
        <w:gridCol w:w="326"/>
        <w:gridCol w:w="299"/>
        <w:gridCol w:w="811"/>
        <w:gridCol w:w="463"/>
        <w:gridCol w:w="299"/>
        <w:gridCol w:w="811"/>
        <w:gridCol w:w="326"/>
        <w:gridCol w:w="274"/>
        <w:gridCol w:w="879"/>
        <w:gridCol w:w="424"/>
        <w:gridCol w:w="274"/>
        <w:gridCol w:w="743"/>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9865" cy="175260"/>
                      <wp:effectExtent l="0" t="0" r="0" b="0"/>
                      <wp:wrapNone/>
                      <wp:docPr id="194" name="Frame1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14985" cy="175260"/>
                      <wp:effectExtent l="0" t="0" r="0" b="0"/>
                      <wp:wrapNone/>
                      <wp:docPr id="195" name="Frame19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94005" cy="175260"/>
                      <wp:effectExtent l="0" t="0" r="0" b="0"/>
                      <wp:wrapNone/>
                      <wp:docPr id="196" name="Frame19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9865" cy="175260"/>
                      <wp:effectExtent l="0" t="0" r="0" b="0"/>
                      <wp:wrapNone/>
                      <wp:docPr id="197" name="Frame19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4985" cy="175260"/>
                      <wp:effectExtent l="0" t="0" r="0" b="0"/>
                      <wp:wrapNone/>
                      <wp:docPr id="198" name="Frame19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3990" cy="175260"/>
                      <wp:effectExtent l="0" t="0" r="0" b="0"/>
                      <wp:wrapNone/>
                      <wp:docPr id="200" name="Frame20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8165" cy="175260"/>
                      <wp:effectExtent l="0" t="0" r="0" b="0"/>
                      <wp:wrapNone/>
                      <wp:docPr id="201" name="Frame20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69240" cy="175260"/>
                      <wp:effectExtent l="0" t="0" r="0" b="0"/>
                      <wp:wrapNone/>
                      <wp:docPr id="202" name="Frame202"/>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3990" cy="175260"/>
                      <wp:effectExtent l="0" t="0" r="0" b="0"/>
                      <wp:wrapNone/>
                      <wp:docPr id="203" name="Frame20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71805" cy="175260"/>
                      <wp:effectExtent l="0" t="0" r="0" b="0"/>
                      <wp:wrapNone/>
                      <wp:docPr id="204" name="Frame20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7790" cy="175260"/>
                      <wp:effectExtent l="0" t="0" r="0" b="0"/>
                      <wp:wrapNone/>
                      <wp:docPr id="205" name="Frame20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4" w:type="dxa"/>
            <w:tcBorders/>
            <w:vAlign w:val="center"/>
          </w:tcPr>
          <w:p>
            <w:pPr>
              <w:pStyle w:val="TableContents"/>
              <w:bidi w:val="0"/>
              <w:spacing w:before="0" w:after="0"/>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424"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12,027</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42" w:name="Tc_fFuAGDgv4EqsmZWOxi9hog_8_6"/>
      <w:bookmarkStart w:id="1343" w:name="Tc_6Adv94ouIEq-Y8okEdpJEQ_8_5"/>
      <w:bookmarkStart w:id="1344" w:name="Tc_rinPPKfk0kKIWQjO8yBFFg_8_2"/>
      <w:bookmarkStart w:id="1345" w:name="Tc_-088JeoXTkyz3L3XTI-SEg_8_0"/>
      <w:bookmarkStart w:id="1346" w:name="Tc_3HaXmr07pEeDcfAdflnfVA_7_5"/>
      <w:bookmarkStart w:id="1347" w:name="Tc_HAtcTeeOeEe2Tiv4H0i0Lg_7_3"/>
      <w:bookmarkStart w:id="1348" w:name="Tc_EGxEWkfvikWytEMgCvjBzg_7_2"/>
      <w:bookmarkStart w:id="1349" w:name="Tc_VkUzYW_ZJU2N67D-vbLIEg_7_0"/>
      <w:bookmarkStart w:id="1350" w:name="Tc_3CXfmwELXU2meRsZ3sdrFQ_6_5"/>
      <w:bookmarkStart w:id="1351" w:name="Tc_pA6hGsM0O0Svg1HHcFcDCw_6_2"/>
      <w:bookmarkStart w:id="1352" w:name="Tc_cNVkBDeIqEO6JQ5kn2r6kw_6_0"/>
      <w:bookmarkStart w:id="1353" w:name="Tc_e-mbKtKUikOIBjzvoo2KFw_5_0"/>
      <w:bookmarkStart w:id="1354" w:name="Tc_D8Oo4sdrZ0OWBzFL-xeYKA_4_0"/>
      <w:bookmarkStart w:id="1355" w:name="Tc_p_SWr0wuvUyBemzUV39Fcw_3_5"/>
      <w:bookmarkStart w:id="1356" w:name="Tc_1zLbmXeZtEWsn-f_Cn8pTQ_3_2"/>
      <w:bookmarkStart w:id="1357" w:name="Tc_TgEdsYu7sUqSs8RWbv-HQw_3_0"/>
      <w:bookmarkStart w:id="1358" w:name="Tc_oP9hJLQ0VU-tYTzYewgZOQ_2_5"/>
      <w:bookmarkStart w:id="1359" w:name="Tc_DwaeecPqVU2whKydyN-y6w_2_2"/>
      <w:bookmarkStart w:id="1360" w:name="Tc_2iCvP2LDUECafy_etKejig_1_2"/>
      <w:bookmarkStart w:id="1361" w:name="Tc_GzLPZOkCEUWY_YtU1-IYzw_5_9"/>
      <w:bookmarkStart w:id="1362" w:name="Tc_L73SnHWRrUO84Pw-xmbfnw_5_8"/>
      <w:bookmarkStart w:id="1363" w:name="Tc_y0ACa_1EpkC-pBsOdEkYHQ_5_5"/>
      <w:bookmarkStart w:id="1364" w:name="Tc_RMgEOq5_AU2VuhzDMNzNgw_5_2"/>
      <w:bookmarkStart w:id="1365" w:name="Tc_wRASs-teLkSjSYW_aEeO0Q_5_0"/>
      <w:bookmarkStart w:id="1366" w:name="Tc_O6GCedtDQ06vNsPz249UvQ_4_8"/>
      <w:bookmarkStart w:id="1367" w:name="Tc_nSUJNJe1Y0-kjG4gqE4_PA_4_5"/>
      <w:bookmarkStart w:id="1368" w:name="Tc_6IS4eibJKUKplWnMUaRCDg_4_3"/>
      <w:bookmarkStart w:id="1369" w:name="Tc_8QHI9kWa10mbLNQrHixFlw_4_2"/>
      <w:bookmarkStart w:id="1370" w:name="Tc_K-3o_Bztl0mfWYE3HqZU_w_4_0"/>
      <w:bookmarkStart w:id="1371" w:name="Tc_qX4lb96B-UuVNuJcscH42w_3_8"/>
      <w:bookmarkStart w:id="1372" w:name="Tc_QuYSdgMCYEegdO_d5N-cjQ_3_5"/>
      <w:bookmarkStart w:id="1373" w:name="Tc_iwDc4IizOEeOf4PSfxb7HA_3_2"/>
      <w:bookmarkStart w:id="1374" w:name="Tc_JMxuLcnMv0WXIpIZaagKUg_3_0"/>
      <w:bookmarkStart w:id="1375" w:name="Tc_WYZGjqdLT0GKBNHsC0uRxQ_2_8"/>
      <w:bookmarkStart w:id="1376" w:name="Tc_6oSjBNSC802t53cIdzv8HQ_2_5"/>
      <w:bookmarkStart w:id="1377" w:name="Tc_DCOSE_If2UmFzViMgx0PgQ_2_2"/>
      <w:bookmarkStart w:id="1378" w:name="Tc_hixdfVuTL0Gkq-P_51J9XA_2_0"/>
      <w:bookmarkStart w:id="1379" w:name="Tc_eDrD6OC04k-9Z8CrOcC8yw_1_8"/>
      <w:bookmarkStart w:id="1380" w:name="Tc_cxAurHXOKk2SHH5eIceliQ_1_5"/>
      <w:bookmarkStart w:id="1381" w:name="Tc_DcnIL1oL0Ea7J-gKTOjeIQ_1_2"/>
      <w:bookmarkStart w:id="1382" w:name="_1141a5a0_9a0c_4fed_99f5_df96cf13625d"/>
      <w:bookmarkStart w:id="1383" w:name="Tc_wBlM9VllV0Cumt3TFGaggg_5_11"/>
      <w:bookmarkStart w:id="1384" w:name="Tc_uPd1iYZsQkuiO20Mpno5Cw_5_8"/>
      <w:bookmarkStart w:id="1385" w:name="Tc_JMgsPZqO7UyYSF6z2gP3ug_5_5"/>
      <w:bookmarkStart w:id="1386" w:name="Tc_O42SO2G8FkyqgU40aRySTA_5_2"/>
      <w:bookmarkStart w:id="1387" w:name="Tc_-lgNJiIBgEWxY2p9LWG7hg_4_0"/>
      <w:bookmarkStart w:id="1388" w:name="Tc_f6G1C0q0QkawUaFBzUTtDw_3_11"/>
      <w:bookmarkStart w:id="1389" w:name="Tc_h_FKhlezHUWQS8_Z_CgA2w_3_9"/>
      <w:bookmarkStart w:id="1390" w:name="Tc_fBn6Xrs91UyB7ww5cUFrXw_3_8"/>
      <w:bookmarkStart w:id="1391" w:name="Tc_5SdEoTgXi02i8pcUq45Tig_3_6"/>
      <w:bookmarkStart w:id="1392" w:name="Tc_obnFIDAC7UmeR5AobnNegA_3_5"/>
      <w:bookmarkStart w:id="1393" w:name="Tc_7Q6qYWoSxkaLVd42zDnFsQ_3_3"/>
      <w:bookmarkStart w:id="1394" w:name="Tc_gKC-SmVWAEyfcjurNc6PBg_3_2"/>
      <w:bookmarkStart w:id="1395" w:name="Tc_DDobghEoxE21M05YjS-ZoQ_3_0"/>
      <w:bookmarkStart w:id="1396" w:name="Tc_Hyv3kgSo-EOGYQ1PniHhIA_2_11"/>
      <w:bookmarkStart w:id="1397" w:name="Tc_LHyStFok-0yJCyIgZtOItQ_2_8"/>
      <w:bookmarkStart w:id="1398" w:name="Tc_nRcpr5wj90a6i1w6cyoj7A_2_5"/>
      <w:bookmarkStart w:id="1399" w:name="Tc_Ey4_cqMWtkaHPEPtnL_NZw_2_2"/>
      <w:bookmarkStart w:id="1400" w:name="Tc_TODXbfPvLkC5MH9wooFcXA_1_8"/>
      <w:bookmarkStart w:id="1401" w:name="Tc_AuZfjLmrNUCeJ8RgEJbZ1A_1_2"/>
      <w:bookmarkStart w:id="1402" w:name="_2444c5a9_4001_4a20_be59_721cfc9c92b3"/>
      <w:bookmarkStart w:id="1403" w:name="Tc_01MpKDG4IE2234e6JLvI9g_6_11"/>
      <w:bookmarkStart w:id="1404" w:name="Tc_NFbMpmXp_U2MmsEgtql9ug_6_8"/>
      <w:bookmarkStart w:id="1405" w:name="Tc_mMzxyID31UKtNMojno46Ig_6_5"/>
      <w:bookmarkStart w:id="1406" w:name="Tc_rRSnrqcNh0CfwFwniXtTqw_6_2"/>
      <w:bookmarkStart w:id="1407" w:name="Tc_2a9OPotBekOwt4Irxt1HpQ_5_0"/>
      <w:bookmarkStart w:id="1408" w:name="Tc_WxZXdOScHke-78kUIGJzzw_4_9"/>
      <w:bookmarkStart w:id="1409" w:name="Tc_xhM9t9isy06Qgl9gBuEf4Q_4_3"/>
      <w:bookmarkStart w:id="1410" w:name="Tc_FDEk1RM2ekiGG_Ad7hPDag_4_0"/>
      <w:bookmarkStart w:id="1411" w:name="Tc_OeeSzHyr90CVCfPVvMVcTw_3_11"/>
      <w:bookmarkStart w:id="1412" w:name="Tc__lYW4IQFeUC2_JdKGY5arg_3_8"/>
      <w:bookmarkStart w:id="1413" w:name="Tc_PZhwcIzFiESvvuMq6CbvAA_3_5"/>
      <w:bookmarkStart w:id="1414" w:name="Tc_ijzGNcJcuESCuJZOakyTJg_3_2"/>
      <w:bookmarkStart w:id="1415" w:name="Tc_rvASOnBtF0GSNfoq5r1_cg_3_0"/>
      <w:bookmarkStart w:id="1416" w:name="Tc_DpOXQq4zD0is-opViNfoWw_2_11"/>
      <w:bookmarkStart w:id="1417" w:name="Tc_GnvSjD7cGEut1oggzlggFA_2_8"/>
      <w:bookmarkStart w:id="1418" w:name="Tc_bpylvy4Mfk-Q12ekgWTeYQ_2_5"/>
      <w:bookmarkStart w:id="1419" w:name="Tc_McuVJoKSUESWNgME9Iofeg_2_2"/>
      <w:bookmarkStart w:id="1420" w:name="Tc_mXGxkOJdxUaA7dsOYraA9Q_1_8"/>
      <w:bookmarkStart w:id="1421" w:name="Tc_fKQp9mo4C0eljuj60edZbQ_1_2"/>
      <w:bookmarkStart w:id="1422" w:name="_23d537bb_4b6a_4e7f_8dc6_32696836f7a0"/>
      <w:bookmarkStart w:id="1423" w:name="Tc_fFuAGDgv4EqsmZWOxi9hog_8_6"/>
      <w:bookmarkStart w:id="1424" w:name="Tc_6Adv94ouIEq-Y8okEdpJEQ_8_5"/>
      <w:bookmarkStart w:id="1425" w:name="Tc_rinPPKfk0kKIWQjO8yBFFg_8_2"/>
      <w:bookmarkStart w:id="1426" w:name="Tc_-088JeoXTkyz3L3XTI-SEg_8_0"/>
      <w:bookmarkStart w:id="1427" w:name="Tc_3HaXmr07pEeDcfAdflnfVA_7_5"/>
      <w:bookmarkStart w:id="1428" w:name="Tc_HAtcTeeOeEe2Tiv4H0i0Lg_7_3"/>
      <w:bookmarkStart w:id="1429" w:name="Tc_EGxEWkfvikWytEMgCvjBzg_7_2"/>
      <w:bookmarkStart w:id="1430" w:name="Tc_VkUzYW_ZJU2N67D-vbLIEg_7_0"/>
      <w:bookmarkStart w:id="1431" w:name="Tc_3CXfmwELXU2meRsZ3sdrFQ_6_5"/>
      <w:bookmarkStart w:id="1432" w:name="Tc_pA6hGsM0O0Svg1HHcFcDCw_6_2"/>
      <w:bookmarkStart w:id="1433" w:name="Tc_cNVkBDeIqEO6JQ5kn2r6kw_6_0"/>
      <w:bookmarkStart w:id="1434" w:name="Tc_e-mbKtKUikOIBjzvoo2KFw_5_0"/>
      <w:bookmarkStart w:id="1435" w:name="Tc_D8Oo4sdrZ0OWBzFL-xeYKA_4_0"/>
      <w:bookmarkStart w:id="1436" w:name="Tc_p_SWr0wuvUyBemzUV39Fcw_3_5"/>
      <w:bookmarkStart w:id="1437" w:name="Tc_1zLbmXeZtEWsn-f_Cn8pTQ_3_2"/>
      <w:bookmarkStart w:id="1438" w:name="Tc_TgEdsYu7sUqSs8RWbv-HQw_3_0"/>
      <w:bookmarkStart w:id="1439" w:name="Tc_oP9hJLQ0VU-tYTzYewgZOQ_2_5"/>
      <w:bookmarkStart w:id="1440" w:name="Tc_DwaeecPqVU2whKydyN-y6w_2_2"/>
      <w:bookmarkStart w:id="1441" w:name="Tc_2iCvP2LDUECafy_etKejig_1_2"/>
      <w:bookmarkStart w:id="1442" w:name="Tc_GzLPZOkCEUWY_YtU1-IYzw_5_9"/>
      <w:bookmarkStart w:id="1443" w:name="Tc_L73SnHWRrUO84Pw-xmbfnw_5_8"/>
      <w:bookmarkStart w:id="1444" w:name="Tc_y0ACa_1EpkC-pBsOdEkYHQ_5_5"/>
      <w:bookmarkStart w:id="1445" w:name="Tc_RMgEOq5_AU2VuhzDMNzNgw_5_2"/>
      <w:bookmarkStart w:id="1446" w:name="Tc_wRASs-teLkSjSYW_aEeO0Q_5_0"/>
      <w:bookmarkStart w:id="1447" w:name="Tc_O6GCedtDQ06vNsPz249UvQ_4_8"/>
      <w:bookmarkStart w:id="1448" w:name="Tc_nSUJNJe1Y0-kjG4gqE4_PA_4_5"/>
      <w:bookmarkStart w:id="1449" w:name="Tc_6IS4eibJKUKplWnMUaRCDg_4_3"/>
      <w:bookmarkStart w:id="1450" w:name="Tc_8QHI9kWa10mbLNQrHixFlw_4_2"/>
      <w:bookmarkStart w:id="1451" w:name="Tc_K-3o_Bztl0mfWYE3HqZU_w_4_0"/>
      <w:bookmarkStart w:id="1452" w:name="Tc_qX4lb96B-UuVNuJcscH42w_3_8"/>
      <w:bookmarkStart w:id="1453" w:name="Tc_QuYSdgMCYEegdO_d5N-cjQ_3_5"/>
      <w:bookmarkStart w:id="1454" w:name="Tc_iwDc4IizOEeOf4PSfxb7HA_3_2"/>
      <w:bookmarkStart w:id="1455" w:name="Tc_JMxuLcnMv0WXIpIZaagKUg_3_0"/>
      <w:bookmarkStart w:id="1456" w:name="Tc_WYZGjqdLT0GKBNHsC0uRxQ_2_8"/>
      <w:bookmarkStart w:id="1457" w:name="Tc_6oSjBNSC802t53cIdzv8HQ_2_5"/>
      <w:bookmarkStart w:id="1458" w:name="Tc_DCOSE_If2UmFzViMgx0PgQ_2_2"/>
      <w:bookmarkStart w:id="1459" w:name="Tc_hixdfVuTL0Gkq-P_51J9XA_2_0"/>
      <w:bookmarkStart w:id="1460" w:name="Tc_eDrD6OC04k-9Z8CrOcC8yw_1_8"/>
      <w:bookmarkStart w:id="1461" w:name="Tc_cxAurHXOKk2SHH5eIceliQ_1_5"/>
      <w:bookmarkStart w:id="1462" w:name="Tc_DcnIL1oL0Ea7J-gKTOjeIQ_1_2"/>
      <w:bookmarkStart w:id="1463" w:name="_1141a5a0_9a0c_4fed_99f5_df96cf13625d"/>
      <w:bookmarkStart w:id="1464" w:name="Tc_wBlM9VllV0Cumt3TFGaggg_5_11"/>
      <w:bookmarkStart w:id="1465" w:name="Tc_uPd1iYZsQkuiO20Mpno5Cw_5_8"/>
      <w:bookmarkStart w:id="1466" w:name="Tc_JMgsPZqO7UyYSF6z2gP3ug_5_5"/>
      <w:bookmarkStart w:id="1467" w:name="Tc_O42SO2G8FkyqgU40aRySTA_5_2"/>
      <w:bookmarkStart w:id="1468" w:name="Tc_-lgNJiIBgEWxY2p9LWG7hg_4_0"/>
      <w:bookmarkStart w:id="1469" w:name="Tc_f6G1C0q0QkawUaFBzUTtDw_3_11"/>
      <w:bookmarkStart w:id="1470" w:name="Tc_h_FKhlezHUWQS8_Z_CgA2w_3_9"/>
      <w:bookmarkStart w:id="1471" w:name="Tc_fBn6Xrs91UyB7ww5cUFrXw_3_8"/>
      <w:bookmarkStart w:id="1472" w:name="Tc_5SdEoTgXi02i8pcUq45Tig_3_6"/>
      <w:bookmarkStart w:id="1473" w:name="Tc_obnFIDAC7UmeR5AobnNegA_3_5"/>
      <w:bookmarkStart w:id="1474" w:name="Tc_7Q6qYWoSxkaLVd42zDnFsQ_3_3"/>
      <w:bookmarkStart w:id="1475" w:name="Tc_gKC-SmVWAEyfcjurNc6PBg_3_2"/>
      <w:bookmarkStart w:id="1476" w:name="Tc_DDobghEoxE21M05YjS-ZoQ_3_0"/>
      <w:bookmarkStart w:id="1477" w:name="Tc_Hyv3kgSo-EOGYQ1PniHhIA_2_11"/>
      <w:bookmarkStart w:id="1478" w:name="Tc_LHyStFok-0yJCyIgZtOItQ_2_8"/>
      <w:bookmarkStart w:id="1479" w:name="Tc_nRcpr5wj90a6i1w6cyoj7A_2_5"/>
      <w:bookmarkStart w:id="1480" w:name="Tc_Ey4_cqMWtkaHPEPtnL_NZw_2_2"/>
      <w:bookmarkStart w:id="1481" w:name="Tc_TODXbfPvLkC5MH9wooFcXA_1_8"/>
      <w:bookmarkStart w:id="1482" w:name="Tc_AuZfjLmrNUCeJ8RgEJbZ1A_1_2"/>
      <w:bookmarkStart w:id="1483" w:name="_2444c5a9_4001_4a20_be59_721cfc9c92b3"/>
      <w:bookmarkStart w:id="1484" w:name="Tc_01MpKDG4IE2234e6JLvI9g_6_11"/>
      <w:bookmarkStart w:id="1485" w:name="Tc_NFbMpmXp_U2MmsEgtql9ug_6_8"/>
      <w:bookmarkStart w:id="1486" w:name="Tc_mMzxyID31UKtNMojno46Ig_6_5"/>
      <w:bookmarkStart w:id="1487" w:name="Tc_rRSnrqcNh0CfwFwniXtTqw_6_2"/>
      <w:bookmarkStart w:id="1488" w:name="Tc_2a9OPotBekOwt4Irxt1HpQ_5_0"/>
      <w:bookmarkStart w:id="1489" w:name="Tc_WxZXdOScHke-78kUIGJzzw_4_9"/>
      <w:bookmarkStart w:id="1490" w:name="Tc_xhM9t9isy06Qgl9gBuEf4Q_4_3"/>
      <w:bookmarkStart w:id="1491" w:name="Tc_FDEk1RM2ekiGG_Ad7hPDag_4_0"/>
      <w:bookmarkStart w:id="1492" w:name="Tc_OeeSzHyr90CVCfPVvMVcTw_3_11"/>
      <w:bookmarkStart w:id="1493" w:name="Tc__lYW4IQFeUC2_JdKGY5arg_3_8"/>
      <w:bookmarkStart w:id="1494" w:name="Tc_PZhwcIzFiESvvuMq6CbvAA_3_5"/>
      <w:bookmarkStart w:id="1495" w:name="Tc_ijzGNcJcuESCuJZOakyTJg_3_2"/>
      <w:bookmarkStart w:id="1496" w:name="Tc_rvASOnBtF0GSNfoq5r1_cg_3_0"/>
      <w:bookmarkStart w:id="1497" w:name="Tc_DpOXQq4zD0is-opViNfoWw_2_11"/>
      <w:bookmarkStart w:id="1498" w:name="Tc_GnvSjD7cGEut1oggzlggFA_2_8"/>
      <w:bookmarkStart w:id="1499" w:name="Tc_bpylvy4Mfk-Q12ekgWTeYQ_2_5"/>
      <w:bookmarkStart w:id="1500" w:name="Tc_McuVJoKSUESWNgME9Iofeg_2_2"/>
      <w:bookmarkStart w:id="1501" w:name="Tc_mXGxkOJdxUaA7dsOYraA9Q_1_8"/>
      <w:bookmarkStart w:id="1502" w:name="Tc_fKQp9mo4C0eljuj60edZbQ_1_2"/>
      <w:bookmarkStart w:id="1503" w:name="_23d537bb_4b6a_4e7f_8dc6_32696836f7a0"/>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(11)</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nine months ended September 30, 2025 and September 30, 2024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55"/>
        <w:gridCol w:w="326"/>
        <w:gridCol w:w="279"/>
        <w:gridCol w:w="757"/>
        <w:gridCol w:w="432"/>
        <w:gridCol w:w="279"/>
        <w:gridCol w:w="757"/>
        <w:gridCol w:w="326"/>
        <w:gridCol w:w="271"/>
        <w:gridCol w:w="736"/>
        <w:gridCol w:w="420"/>
        <w:gridCol w:w="271"/>
        <w:gridCol w:w="736"/>
        <w:gridCol w:w="160"/>
      </w:tblGrid>
      <w:tr>
        <w:trPr/>
        <w:tc>
          <w:tcPr>
            <w:tcW w:w="4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828925" cy="175260"/>
                      <wp:effectExtent l="0" t="0" r="0" b="0"/>
                      <wp:wrapNone/>
                      <wp:docPr id="206" name="Frame206"/>
                      <a:graphic xmlns:a="http://schemas.openxmlformats.org/drawingml/2006/main">
                        <a:graphicData uri="http://schemas.microsoft.com/office/word/2010/wordprocessingShape">
                          <wps:wsp>
                            <wps:cNvSpPr txBox="1"/>
                            <wps:spPr>
                              <a:xfrm>
                                <a:off x="0" y="0"/>
                                <a:ext cx="282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7165" cy="175260"/>
                      <wp:effectExtent l="0" t="0" r="0" b="0"/>
                      <wp:wrapNone/>
                      <wp:docPr id="208" name="Frame20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80695" cy="175260"/>
                      <wp:effectExtent l="0" t="0" r="0" b="0"/>
                      <wp:wrapNone/>
                      <wp:docPr id="209" name="Frame20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74320" cy="175260"/>
                      <wp:effectExtent l="0" t="0" r="0" b="0"/>
                      <wp:wrapNone/>
                      <wp:docPr id="210" name="Frame210"/>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7165" cy="175260"/>
                      <wp:effectExtent l="0" t="0" r="0" b="0"/>
                      <wp:wrapNone/>
                      <wp:docPr id="211" name="Frame21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80695" cy="175260"/>
                      <wp:effectExtent l="0" t="0" r="0" b="0"/>
                      <wp:wrapNone/>
                      <wp:docPr id="212" name="Frame21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72085" cy="175260"/>
                      <wp:effectExtent l="0" t="0" r="0" b="0"/>
                      <wp:wrapNone/>
                      <wp:docPr id="214" name="Frame2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67360" cy="175260"/>
                      <wp:effectExtent l="0" t="0" r="0" b="0"/>
                      <wp:wrapNone/>
                      <wp:docPr id="215" name="Frame2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66700" cy="175260"/>
                      <wp:effectExtent l="0" t="0" r="0" b="0"/>
                      <wp:wrapNone/>
                      <wp:docPr id="216" name="Frame21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2085" cy="175260"/>
                      <wp:effectExtent l="0" t="0" r="0" b="0"/>
                      <wp:wrapNone/>
                      <wp:docPr id="217" name="Frame2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67360" cy="175260"/>
                      <wp:effectExtent l="0" t="0" r="0" b="0"/>
                      <wp:wrapNone/>
                      <wp:docPr id="218" name="Frame21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01600" cy="175260"/>
                      <wp:effectExtent l="0" t="0" r="0" b="0"/>
                      <wp:wrapNone/>
                      <wp:docPr id="219" name="Frame219"/>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left"/>
              <w:rPr/>
            </w:pPr>
            <w:r>
              <w:rPr/>
              <w:t>​</w:t>
            </w:r>
          </w:p>
        </w:tc>
        <w:tc>
          <w:tcPr>
            <w:tcW w:w="24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60" w:type="dxa"/>
            <w:tcBorders/>
            <w:vAlign w:val="center"/>
          </w:tcPr>
          <w:p>
            <w:pPr>
              <w:pStyle w:val="TableContents"/>
              <w:bidi w:val="0"/>
              <w:spacing w:before="0" w:after="1"/>
              <w:ind w:left="0" w:right="0" w:hanging="0"/>
              <w:jc w:val="center"/>
              <w:rPr/>
            </w:pPr>
            <w:r>
              <w:rPr/>
              <w:t>​</w:t>
            </w:r>
          </w:p>
        </w:tc>
      </w:tr>
      <w:tr>
        <w:trPr/>
        <w:tc>
          <w:tcPr>
            <w:tcW w:w="44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2"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0"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60" w:type="dxa"/>
            <w:tcBorders/>
            <w:vAlign w:val="center"/>
          </w:tcPr>
          <w:p>
            <w:pPr>
              <w:pStyle w:val="TableContents"/>
              <w:bidi w:val="0"/>
              <w:spacing w:before="0" w:after="1"/>
              <w:ind w:left="0" w:right="0" w:hanging="0"/>
              <w:jc w:val="center"/>
              <w:rPr/>
            </w:pPr>
            <w:r>
              <w:rPr/>
              <w:t>​</w:t>
            </w:r>
          </w:p>
        </w:tc>
      </w:tr>
      <w:tr>
        <w:trPr/>
        <w:tc>
          <w:tcPr>
            <w:tcW w:w="4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and professional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w:t>
            </w:r>
          </w:p>
        </w:tc>
        <w:tc>
          <w:tcPr>
            <w:tcW w:w="432"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4,939</w:t>
            </w:r>
          </w:p>
        </w:tc>
        <w:tc>
          <w:tcPr>
            <w:tcW w:w="42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6,891</w:t>
            </w:r>
          </w:p>
        </w:tc>
        <w:tc>
          <w:tcPr>
            <w:tcW w:w="160" w:type="dxa"/>
            <w:tcBorders/>
            <w:shd w:fill="CCEEFF" w:val="clear"/>
            <w:vAlign w:val="center"/>
          </w:tcPr>
          <w:p>
            <w:pPr>
              <w:pStyle w:val="TableContents"/>
              <w:bidi w:val="0"/>
              <w:spacing w:before="0" w:after="1"/>
              <w:ind w:left="0" w:right="0" w:hanging="0"/>
              <w:jc w:val="left"/>
              <w:rPr/>
            </w:pPr>
            <w:r>
              <w:rPr/>
              <w:t>​</w:t>
            </w:r>
          </w:p>
        </w:tc>
      </w:tr>
      <w:tr>
        <w:trPr/>
        <w:tc>
          <w:tcPr>
            <w:tcW w:w="4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materials and sales of quantum computers</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pPr>
            <w:r>
              <w:rPr/>
              <w:t>—</w:t>
            </w:r>
          </w:p>
        </w:tc>
        <w:tc>
          <w:tcPr>
            <w:tcW w:w="432"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42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w:t>
            </w:r>
          </w:p>
        </w:tc>
        <w:tc>
          <w:tcPr>
            <w:tcW w:w="160" w:type="dxa"/>
            <w:tcBorders/>
            <w:vAlign w:val="center"/>
          </w:tcPr>
          <w:p>
            <w:pPr>
              <w:pStyle w:val="TableContents"/>
              <w:bidi w:val="0"/>
              <w:spacing w:before="0" w:after="1"/>
              <w:ind w:left="0" w:right="0" w:hanging="0"/>
              <w:jc w:val="left"/>
              <w:rPr/>
            </w:pPr>
            <w:r>
              <w:rPr/>
              <w:t>​</w:t>
            </w:r>
          </w:p>
        </w:tc>
      </w:tr>
      <w:tr>
        <w:trPr/>
        <w:tc>
          <w:tcPr>
            <w:tcW w:w="4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432"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420"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160" w:type="dxa"/>
            <w:tcBorders/>
            <w:shd w:fill="CCEEFF" w:val="clear"/>
            <w:vAlign w:val="center"/>
          </w:tcPr>
          <w:p>
            <w:pPr>
              <w:pStyle w:val="TableContents"/>
              <w:bidi w:val="0"/>
              <w:spacing w:before="0" w:after="1"/>
              <w:ind w:left="0" w:right="0" w:hanging="0"/>
              <w:jc w:val="left"/>
              <w:rPr/>
            </w:pPr>
            <w:r>
              <w:rPr/>
              <w:t>​</w:t>
            </w:r>
          </w:p>
        </w:tc>
      </w:tr>
      <w:tr>
        <w:trPr/>
        <w:tc>
          <w:tcPr>
            <w:tcW w:w="44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432"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5,220</w:t>
            </w:r>
          </w:p>
        </w:tc>
        <w:tc>
          <w:tcPr>
            <w:tcW w:w="420"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8,516</w:t>
            </w:r>
          </w:p>
        </w:tc>
        <w:tc>
          <w:tcPr>
            <w:tcW w:w="160"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9184" w:type="dxa"/>
        <w:jc w:val="left"/>
        <w:tblInd w:w="0" w:type="dxa"/>
        <w:tblLayout w:type="fixed"/>
        <w:tblCellMar>
          <w:top w:w="0" w:type="dxa"/>
          <w:left w:w="0" w:type="dxa"/>
          <w:bottom w:w="0" w:type="dxa"/>
          <w:right w:w="0" w:type="dxa"/>
        </w:tblCellMar>
      </w:tblPr>
      <w:tblGrid>
        <w:gridCol w:w="3211"/>
        <w:gridCol w:w="326"/>
        <w:gridCol w:w="299"/>
        <w:gridCol w:w="811"/>
        <w:gridCol w:w="463"/>
        <w:gridCol w:w="299"/>
        <w:gridCol w:w="811"/>
        <w:gridCol w:w="326"/>
        <w:gridCol w:w="279"/>
        <w:gridCol w:w="755"/>
        <w:gridCol w:w="431"/>
        <w:gridCol w:w="279"/>
        <w:gridCol w:w="894"/>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9865" cy="175260"/>
                      <wp:effectExtent l="0" t="0" r="0" b="0"/>
                      <wp:wrapNone/>
                      <wp:docPr id="221" name="Frame22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14985" cy="175260"/>
                      <wp:effectExtent l="0" t="0" r="0" b="0"/>
                      <wp:wrapNone/>
                      <wp:docPr id="222" name="Frame22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94005" cy="175260"/>
                      <wp:effectExtent l="0" t="0" r="0" b="0"/>
                      <wp:wrapNone/>
                      <wp:docPr id="223" name="Frame22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9865" cy="175260"/>
                      <wp:effectExtent l="0" t="0" r="0" b="0"/>
                      <wp:wrapNone/>
                      <wp:docPr id="224" name="Frame22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14985" cy="175260"/>
                      <wp:effectExtent l="0" t="0" r="0" b="0"/>
                      <wp:wrapNone/>
                      <wp:docPr id="225" name="Frame22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7165" cy="175260"/>
                      <wp:effectExtent l="0" t="0" r="0" b="0"/>
                      <wp:wrapNone/>
                      <wp:docPr id="227" name="Frame22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79425" cy="175260"/>
                      <wp:effectExtent l="0" t="0" r="0" b="0"/>
                      <wp:wrapNone/>
                      <wp:docPr id="228" name="Frame22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73685" cy="175260"/>
                      <wp:effectExtent l="0" t="0" r="0" b="0"/>
                      <wp:wrapNone/>
                      <wp:docPr id="229" name="Frame229"/>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7165" cy="175260"/>
                      <wp:effectExtent l="0" t="0" r="0" b="0"/>
                      <wp:wrapNone/>
                      <wp:docPr id="230" name="Frame23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7690" cy="175260"/>
                      <wp:effectExtent l="0" t="0" r="0" b="0"/>
                      <wp:wrapNone/>
                      <wp:docPr id="231" name="Frame231"/>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1"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c>
          <w:tcPr>
            <w:tcW w:w="431" w:type="dxa"/>
            <w:tcBorders/>
            <w:vAlign w:val="center"/>
          </w:tcPr>
          <w:p>
            <w:pPr>
              <w:pStyle w:val="TableContents"/>
              <w:bidi w:val="0"/>
              <w:spacing w:before="0" w:after="0"/>
              <w:ind w:left="0" w:right="0" w:hanging="0"/>
              <w:jc w:val="left"/>
              <w:rPr/>
            </w:pPr>
            <w:r>
              <w:rPr/>
              <w:t> </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8,516</w:t>
            </w:r>
          </w:p>
        </w:tc>
      </w:tr>
    </w:tbl>
    <w:p>
      <w:pPr>
        <w:pStyle w:val="TextBody"/>
        <w:bidi w:val="0"/>
        <w:spacing w:before="0" w:after="0"/>
        <w:ind w:left="0" w:right="0" w:hanging="0"/>
        <w:jc w:val="left"/>
        <w:rPr/>
      </w:pPr>
      <w:r>
        <w:rPr/>
        <w:t>​</w:t>
      </w:r>
    </w:p>
    <w:p>
      <w:pPr>
        <w:pStyle w:val="TextBody"/>
        <w:bidi w:val="0"/>
        <w:spacing w:before="0" w:after="160"/>
        <w:ind w:left="0" w:right="0" w:firstLine="547"/>
        <w:jc w:val="left"/>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September 30, 2025, December 31, 2024 and December 31, 2023 were as follows (in thousands):</w:t>
      </w:r>
    </w:p>
    <w:tbl>
      <w:tblPr>
        <w:tblW w:w="8720" w:type="dxa"/>
        <w:jc w:val="left"/>
        <w:tblInd w:w="0" w:type="dxa"/>
        <w:tblLayout w:type="fixed"/>
        <w:tblCellMar>
          <w:top w:w="0" w:type="dxa"/>
          <w:left w:w="0" w:type="dxa"/>
          <w:bottom w:w="0" w:type="dxa"/>
          <w:right w:w="0" w:type="dxa"/>
        </w:tblCellMar>
      </w:tblPr>
      <w:tblGrid>
        <w:gridCol w:w="3151"/>
        <w:gridCol w:w="326"/>
        <w:gridCol w:w="417"/>
        <w:gridCol w:w="1128"/>
        <w:gridCol w:w="326"/>
        <w:gridCol w:w="405"/>
        <w:gridCol w:w="1096"/>
        <w:gridCol w:w="326"/>
        <w:gridCol w:w="394"/>
        <w:gridCol w:w="115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00885" cy="175260"/>
                      <wp:effectExtent l="0" t="0" r="0" b="0"/>
                      <wp:wrapNone/>
                      <wp:docPr id="232" name="Frame232"/>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64795" cy="175260"/>
                      <wp:effectExtent l="0" t="0" r="0" b="0"/>
                      <wp:wrapNone/>
                      <wp:docPr id="234" name="Frame23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16280" cy="175260"/>
                      <wp:effectExtent l="0" t="0" r="0" b="0"/>
                      <wp:wrapNone/>
                      <wp:docPr id="235" name="Frame235"/>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7175" cy="175260"/>
                      <wp:effectExtent l="0" t="0" r="0" b="0"/>
                      <wp:wrapNone/>
                      <wp:docPr id="237" name="Frame23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5960" cy="175260"/>
                      <wp:effectExtent l="0" t="0" r="0" b="0"/>
                      <wp:wrapNone/>
                      <wp:docPr id="238" name="Frame23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50190" cy="175260"/>
                      <wp:effectExtent l="0" t="0" r="0" b="0"/>
                      <wp:wrapNone/>
                      <wp:docPr id="240" name="Frame24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30885" cy="175260"/>
                      <wp:effectExtent l="0" t="0" r="0" b="0"/>
                      <wp:wrapNone/>
                      <wp:docPr id="241" name="Frame24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160"/>
        <w:ind w:left="0" w:right="0" w:firstLine="547"/>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6345" w:type="dxa"/>
        <w:jc w:val="left"/>
        <w:tblInd w:w="0" w:type="dxa"/>
        <w:tblLayout w:type="fixed"/>
        <w:tblCellMar>
          <w:top w:w="0" w:type="dxa"/>
          <w:left w:w="0" w:type="dxa"/>
          <w:bottom w:w="0" w:type="dxa"/>
          <w:right w:w="0" w:type="dxa"/>
        </w:tblCellMar>
      </w:tblPr>
      <w:tblGrid>
        <w:gridCol w:w="3271"/>
        <w:gridCol w:w="326"/>
        <w:gridCol w:w="299"/>
        <w:gridCol w:w="767"/>
        <w:gridCol w:w="462"/>
        <w:gridCol w:w="299"/>
        <w:gridCol w:w="767"/>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9865" cy="175260"/>
                      <wp:effectExtent l="0" t="0" r="0" b="0"/>
                      <wp:wrapNone/>
                      <wp:docPr id="243" name="Frame24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87045" cy="175260"/>
                      <wp:effectExtent l="0" t="0" r="0" b="0"/>
                      <wp:wrapNone/>
                      <wp:docPr id="244" name="Frame244"/>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93370" cy="175260"/>
                      <wp:effectExtent l="0" t="0" r="0" b="0"/>
                      <wp:wrapNone/>
                      <wp:docPr id="245" name="Frame24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9865" cy="175260"/>
                      <wp:effectExtent l="0" t="0" r="0" b="0"/>
                      <wp:wrapNone/>
                      <wp:docPr id="246" name="Frame24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87045" cy="175260"/>
                      <wp:effectExtent l="0" t="0" r="0" b="0"/>
                      <wp:wrapNone/>
                      <wp:docPr id="247" name="Frame24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7790" cy="175260"/>
                      <wp:effectExtent l="0" t="0" r="0" b="0"/>
                      <wp:wrapNone/>
                      <wp:docPr id="248" name="Frame2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2"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62"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462"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462"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Amounts recognized as revenue from beginning contract liabilities during the three and nine months ended September 30, 2025 was $0.1 million and $0.2 million, respectively. Amounts recognized as revenue from beginning contract liabilities during the three and nine months ended September 30, 2024 was an immaterial amount and $0.2 million, respectively. Remaining performance obligations represent the portion of the transaction price that has not yet been satisfied or achieved. As of September 30, 2025, the aggregate amount of the transaction price allocated to remaining performance obligations was approximately $5.5 million. The Company expects to recognize estimated revenues related to performance obligations that are unsatisfied (or partially satisfied) </w:t>
      </w:r>
      <w:r>
        <w:rPr>
          <w:rFonts w:ascii="Times-Roman" w:hAnsi="Times-Roman"/>
          <w:sz w:val="20"/>
        </w:rPr>
        <w:t>during the next twelve months, except for remaining performance obligations totaling $0.9</w:t>
      </w:r>
      <w:r>
        <w:rPr>
          <w:rFonts w:ascii="Times New Roman;Times;serif" w:hAnsi="Times New Roman;Times;serif"/>
          <w:sz w:val="20"/>
        </w:rPr>
        <w:t xml:space="preserve"> </w:t>
      </w:r>
      <w:r>
        <w:rPr>
          <w:rFonts w:ascii="Times-Roman" w:hAnsi="Times-Roman"/>
          <w:sz w:val="20"/>
        </w:rPr>
        <w:t>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Accordingly, the Company does not have any capitalized contract fulfillment costs as of September 30, 2025 or December 31, 2024.</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1504" w:name="Tc_DiLAWCvmhEGf3rAZNDbzaw_9_8"/>
      <w:bookmarkStart w:id="1505" w:name="Tc_I9GrFv_c1Emhnk1GgJh0DA_9_6"/>
      <w:bookmarkStart w:id="1506" w:name="Tc_gumJ8q6j50aFx0pKPRoSRg_9_2"/>
      <w:bookmarkStart w:id="1507" w:name="Tc_i5KO-ohZakuG6vflsoa9ZA_9_0"/>
      <w:bookmarkStart w:id="1508" w:name="Tc_-YF1Ir_LQEO9fpz54Pqm2A_8_8"/>
      <w:bookmarkStart w:id="1509" w:name="Tc_jT4uXWlwMkKeLZfPnjRfUQ_8_6"/>
      <w:bookmarkStart w:id="1510" w:name="Tc_l6YZdXPbmUGpvH0DpmCT9g_8_0"/>
      <w:bookmarkStart w:id="1511" w:name="Tc_mjCUsKJeZ0CZPwPoNyAyQQ_7_6"/>
      <w:bookmarkStart w:id="1512" w:name="Tc_8S_gUOTf00Kt5LcsDiEYnw_7_4"/>
      <w:bookmarkStart w:id="1513" w:name="Tc_EanSfXZfhUaMlAr_8y5k8A_7_2"/>
      <w:bookmarkStart w:id="1514" w:name="Tc_gzG9Jw8MtE6R28Qa5FoNCQ_7_0"/>
      <w:bookmarkStart w:id="1515" w:name="Tc_8l78DJjSP0ekK_F7yX162g_6_0"/>
      <w:bookmarkStart w:id="1516" w:name="Tc_Ypz0MFIcvEasmYcT0Z3YPA_5_8"/>
      <w:bookmarkStart w:id="1517" w:name="Tc_v2X1lOcmb0anjb2YBQtllw_5_4"/>
      <w:bookmarkStart w:id="1518" w:name="Tc_FuBGDlksH0C2cLfapp7J6A_5_0"/>
      <w:bookmarkStart w:id="1519" w:name="Tc_QjmrvHAYckKDmZnDcsmcTg_4_0"/>
      <w:bookmarkStart w:id="1520" w:name="Tc_6gSc0ErH4k2KPCvK4AVVLw_3_6"/>
      <w:bookmarkStart w:id="1521" w:name="Tc_2mMraHWF4Uqe9Xlj5yLWWw_3_2"/>
      <w:bookmarkStart w:id="1522" w:name="Tc_TJ2j2z-Fvk-TWASDcmXfIA_3_0"/>
      <w:bookmarkStart w:id="1523" w:name="Tc_pkx90_cAR0W08H4jbGYJFw_2_8"/>
      <w:bookmarkStart w:id="1524" w:name="Tc_qKqgCxQ-6UO0Wvm5M9GVlA_2_6"/>
      <w:bookmarkStart w:id="1525" w:name="Tc_CI9nfrBOn0ynry1fs6H20w_2_4"/>
      <w:bookmarkStart w:id="1526" w:name="Tc_SF5RXjTqRUiwfP-SHX1sWw_2_2"/>
      <w:bookmarkStart w:id="1527" w:name="Tc_bAVYmwJ5602NnLCl1T1-CA_1_6"/>
      <w:bookmarkStart w:id="1528" w:name="Tc_awpQD7DsV0K93jrEF7V2KA_1_2"/>
      <w:bookmarkStart w:id="1529" w:name="_91cf0667_0ffb_4ecd_b15a_88def546abdc"/>
      <w:bookmarkStart w:id="1530" w:name="Tc_TzUoG3uc-kWO_tRqUt5cCw_6_11"/>
      <w:bookmarkStart w:id="1531" w:name="Tc_cv_ek6-UjESFK__nT6yQQQ_6_8"/>
      <w:bookmarkStart w:id="1532" w:name="Tc_SGxJ2PUAVU6sMbR7HCUWKQ_6_5"/>
      <w:bookmarkStart w:id="1533" w:name="Tc_t0ca12jWNUqu59T79S_vuA_6_2"/>
      <w:bookmarkStart w:id="1534" w:name="Tc_KzB0RezxKUO0U9mJqTjMwQ_6_0"/>
      <w:bookmarkStart w:id="1535" w:name="Tc_rqggFVKBwEq0hXHCkDrqQg_5_3"/>
      <w:bookmarkStart w:id="1536" w:name="Tc_MjK_-liSXky1UNSslHQm3w_5_0"/>
      <w:bookmarkStart w:id="1537" w:name="Tc_vnfXTxCTYESvmJVCyqSjHg_4_0"/>
      <w:bookmarkStart w:id="1538" w:name="Tc_av7IReiNIUyr_Q4GFU4xZA_3_11"/>
      <w:bookmarkStart w:id="1539" w:name="Tc_fHUdC0AEBUap11TJEDnlaA_3_8"/>
      <w:bookmarkStart w:id="1540" w:name="Tc_YKZC_QbPTkux19lZGdmhpw_3_5"/>
      <w:bookmarkStart w:id="1541" w:name="Tc_GR-Y54_WvEGZXWIlw6HbDg_3_2"/>
      <w:bookmarkStart w:id="1542" w:name="Tc_hJS1ftwhoUKFHb1MPETRBA_3_0"/>
      <w:bookmarkStart w:id="1543" w:name="Tc_q7U92Re74U26uA6KUfSzvg_2_11"/>
      <w:bookmarkStart w:id="1544" w:name="Tc_X8tUJT_ORUGir2qeEDMQWA_2_8"/>
      <w:bookmarkStart w:id="1545" w:name="Tc_6qX_MgdXokmd2IonOXck1w_2_5"/>
      <w:bookmarkStart w:id="1546" w:name="Tc_al8x2OZyMUmbU6KPDIgN1Q_2_2"/>
      <w:bookmarkStart w:id="1547" w:name="Tc_QpQcgoFao0allBQnB2bcBA_1_8"/>
      <w:bookmarkStart w:id="1548" w:name="Tc__mUgcgnMYEq6TrqA-eiwqQ_1_2"/>
      <w:bookmarkStart w:id="1549" w:name="_7f93d549_f16b_4fb1_83e6_69ec0d51f4e9"/>
      <w:bookmarkStart w:id="1550" w:name="Tc_zlJTu64uGkGcXIXDYJ6bqQ_14_11"/>
      <w:bookmarkStart w:id="1551" w:name="Tc_YvpOpy1mw06njSqHOUHoeg_14_8"/>
      <w:bookmarkStart w:id="1552" w:name="Tc_TLSdlJJWakijwuB4KsNPww_14_5"/>
      <w:bookmarkStart w:id="1553" w:name="Tc_Vtc2DvxjuU2-Ln_TlVOTvQ_14_2"/>
      <w:bookmarkStart w:id="1554" w:name="Tc_TBQBExKK1kC4L8X4Mqgx5g_14_0"/>
      <w:bookmarkStart w:id="1555" w:name="Tc_x0kajtMcc06FVl2S-nT36Q_13_0"/>
      <w:bookmarkStart w:id="1556" w:name="Tc_igwCr4ZlP0y6pKMOE53wtw_12_9"/>
      <w:bookmarkStart w:id="1557" w:name="Tc_9YU032uUy0-A-5s8WLA9sw_12_3"/>
      <w:bookmarkStart w:id="1558" w:name="Tc_S_4SeW6I7kifyPtDV725YQ_12_0"/>
      <w:bookmarkStart w:id="1559" w:name="Tc_YlgT-1WYxEWw6THSkW25EA_11_0"/>
      <w:bookmarkStart w:id="1560" w:name="Tc_tpy9BZzxuEGHV-CkcnPhJw_10_0"/>
      <w:bookmarkStart w:id="1561" w:name="Tc_VmzwHIZLKkqIQY-O6p57og_9_0"/>
      <w:bookmarkStart w:id="1562" w:name="Tc_EGY1RLfF102HGcHO11D2lA_8_0"/>
      <w:bookmarkStart w:id="1563" w:name="Tc_T5vbcsQcPEq2Gx-2OlI7JA_7_0"/>
      <w:bookmarkStart w:id="1564" w:name="Tc_xsTznZOXhk-1qeXn5igPsQ_6_0"/>
      <w:bookmarkStart w:id="1565" w:name="Tc_x9rX83GEUkGdI3qAfETA1Q_5_0"/>
      <w:bookmarkStart w:id="1566" w:name="Tc_1abHJN5N4UGlGbKzDf79Ww_4_0"/>
      <w:bookmarkStart w:id="1567" w:name="Tc_vvUhQPPMFUON0a2VefoLdA_3_11"/>
      <w:bookmarkStart w:id="1568" w:name="Tc_SCBOD1zTTE-K8J39mA-Zgw_3_8"/>
      <w:bookmarkStart w:id="1569" w:name="Tc_C3_Qvn0H30GBF50-hMIQPg_3_5"/>
      <w:bookmarkStart w:id="1570" w:name="Tc_cB7zhPPVHEqPuIBE8tf2eg_3_2"/>
      <w:bookmarkStart w:id="1571" w:name="Tc_wvOsfz4MEUGQ-1RkfaYOPw_3_0"/>
      <w:bookmarkStart w:id="1572" w:name="Tc_LPmGWkXVnECNq-0OsByM_A_2_11"/>
      <w:bookmarkStart w:id="1573" w:name="Tc_AlK187eruE-BJqFGXhCX9w_2_8"/>
      <w:bookmarkStart w:id="1574" w:name="Tc_fRv21Q06mEaTKse47vIp3g_2_5"/>
      <w:bookmarkStart w:id="1575" w:name="Tc_7yz6sGddgEi7pkutFV3jgg_2_2"/>
      <w:bookmarkStart w:id="1576" w:name="Tc_RP78_3qUGU-EKW99Kj9ORQ_1_8"/>
      <w:bookmarkStart w:id="1577" w:name="Tc_R2TzZsSfIku6XS6lKBR78A_1_2"/>
      <w:bookmarkStart w:id="1578" w:name="_c9baea01_cd5e_452e_ab98_0aa1901f5e05"/>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r>
        <w:rPr>
          <w:rFonts w:ascii="Times New Roman;Times;serif" w:hAnsi="Times New Roman;Times;serif"/>
          <w:b/>
          <w:sz w:val="20"/>
        </w:rPr>
        <w:t>(12) Segments, Geographical Information, Concentrations and Significant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consolidated net loss, our Chief Operating Decision Maker (CODM), the Chief Executive Officer, reviews and utilizes natural expenses such as employee wages and benefits at a consolidated level and capital expenditures including fixed asset additions to manage the Company’s operations and strategic growth initiatives. The measure of segment assets is reported in the balance sheet as total consolidated assets. The following table sets forth our segment information of revenue, expenses and net loss (in thousands):</w:t>
      </w:r>
    </w:p>
    <w:p>
      <w:pPr>
        <w:pStyle w:val="TextBody"/>
        <w:bidi w:val="0"/>
        <w:spacing w:before="0" w:after="0"/>
        <w:ind w:left="0" w:right="0" w:hanging="0"/>
        <w:jc w:val="left"/>
        <w:rPr/>
      </w:pPr>
      <w:r>
        <w:rPr/>
        <w:t>​</w:t>
      </w:r>
    </w:p>
    <w:tbl>
      <w:tblPr>
        <w:tblW w:w="9057" w:type="dxa"/>
        <w:jc w:val="left"/>
        <w:tblInd w:w="0" w:type="dxa"/>
        <w:tblLayout w:type="fixed"/>
        <w:tblCellMar>
          <w:top w:w="0" w:type="dxa"/>
          <w:left w:w="0" w:type="dxa"/>
          <w:bottom w:w="0" w:type="dxa"/>
          <w:right w:w="0" w:type="dxa"/>
        </w:tblCellMar>
      </w:tblPr>
      <w:tblGrid>
        <w:gridCol w:w="3301"/>
        <w:gridCol w:w="326"/>
        <w:gridCol w:w="231"/>
        <w:gridCol w:w="989"/>
        <w:gridCol w:w="358"/>
        <w:gridCol w:w="231"/>
        <w:gridCol w:w="874"/>
        <w:gridCol w:w="109"/>
        <w:gridCol w:w="223"/>
        <w:gridCol w:w="955"/>
        <w:gridCol w:w="345"/>
        <w:gridCol w:w="223"/>
        <w:gridCol w:w="892"/>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96135" cy="175260"/>
                      <wp:effectExtent l="0" t="0" r="0" b="0"/>
                      <wp:wrapNone/>
                      <wp:docPr id="249" name="Frame249"/>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6685" cy="175260"/>
                      <wp:effectExtent l="0" t="0" r="0" b="0"/>
                      <wp:wrapNone/>
                      <wp:docPr id="251" name="Frame25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28015" cy="175260"/>
                      <wp:effectExtent l="0" t="0" r="0" b="0"/>
                      <wp:wrapNone/>
                      <wp:docPr id="252" name="Frame252"/>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7330" cy="175260"/>
                      <wp:effectExtent l="0" t="0" r="0" b="0"/>
                      <wp:wrapNone/>
                      <wp:docPr id="253" name="Frame25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6685" cy="175260"/>
                      <wp:effectExtent l="0" t="0" r="0" b="0"/>
                      <wp:wrapNone/>
                      <wp:docPr id="254" name="Frame25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54990" cy="175260"/>
                      <wp:effectExtent l="0" t="0" r="0" b="0"/>
                      <wp:wrapNone/>
                      <wp:docPr id="255" name="Frame255"/>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1605" cy="175260"/>
                      <wp:effectExtent l="0" t="0" r="0" b="0"/>
                      <wp:wrapNone/>
                      <wp:docPr id="257" name="Frame25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06425" cy="175260"/>
                      <wp:effectExtent l="0" t="0" r="0" b="0"/>
                      <wp:wrapNone/>
                      <wp:docPr id="258" name="Frame258"/>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075" cy="175260"/>
                      <wp:effectExtent l="0" t="0" r="0" b="0"/>
                      <wp:wrapNone/>
                      <wp:docPr id="259" name="Frame25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1605" cy="175260"/>
                      <wp:effectExtent l="0" t="0" r="0" b="0"/>
                      <wp:wrapNone/>
                      <wp:docPr id="260" name="Frame26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66420" cy="175260"/>
                      <wp:effectExtent l="0" t="0" r="0" b="0"/>
                      <wp:wrapNone/>
                      <wp:docPr id="261" name="Frame26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8"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5"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employee 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7,959</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24,821</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c>
          <w:tcPr>
            <w:tcW w:w="35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12,027</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and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and legal fees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w:t>
            </w:r>
          </w:p>
        </w:tc>
        <w:tc>
          <w:tcPr>
            <w:tcW w:w="35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&amp; IT costs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and indirect materials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5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5,797</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33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183,233</w:t>
            </w:r>
          </w:p>
        </w:tc>
        <w:tc>
          <w:tcPr>
            <w:tcW w:w="35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143,331</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net loss</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58"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Other segment items include interest income, changes in fair value of derivative warrant liabilities and earnout liabilities and other operational expenses which are reflected in the condensed consolidated statements of operations.</w:t>
      </w:r>
    </w:p>
    <w:p>
      <w:pPr>
        <w:pStyle w:val="TextBody"/>
        <w:bidi w:val="0"/>
        <w:spacing w:before="0" w:after="0"/>
        <w:ind w:left="446" w:right="0" w:hanging="0"/>
        <w:jc w:val="both"/>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p>
      <w:pPr>
        <w:pStyle w:val="TextBody"/>
        <w:bidi w:val="0"/>
        <w:spacing w:before="0" w:after="240"/>
        <w:ind w:left="0" w:right="0" w:firstLine="540"/>
        <w:jc w:val="left"/>
        <w:rPr/>
      </w:pPr>
      <w:r>
        <w:rPr/>
        <w:t>​</w:t>
      </w:r>
    </w:p>
    <w:tbl>
      <w:tblPr>
        <w:tblW w:w="7122" w:type="dxa"/>
        <w:jc w:val="left"/>
        <w:tblInd w:w="0" w:type="dxa"/>
        <w:tblLayout w:type="fixed"/>
        <w:tblCellMar>
          <w:top w:w="0" w:type="dxa"/>
          <w:left w:w="0" w:type="dxa"/>
          <w:bottom w:w="0" w:type="dxa"/>
          <w:right w:w="0" w:type="dxa"/>
        </w:tblCellMar>
      </w:tblPr>
      <w:tblGrid>
        <w:gridCol w:w="1366"/>
        <w:gridCol w:w="326"/>
        <w:gridCol w:w="299"/>
        <w:gridCol w:w="811"/>
        <w:gridCol w:w="463"/>
        <w:gridCol w:w="299"/>
        <w:gridCol w:w="811"/>
        <w:gridCol w:w="109"/>
        <w:gridCol w:w="277"/>
        <w:gridCol w:w="752"/>
        <w:gridCol w:w="429"/>
        <w:gridCol w:w="277"/>
        <w:gridCol w:w="903"/>
      </w:tblGrid>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89865" cy="175260"/>
                      <wp:effectExtent l="0" t="0" r="0" b="0"/>
                      <wp:wrapNone/>
                      <wp:docPr id="263" name="Frame26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14985" cy="175260"/>
                      <wp:effectExtent l="0" t="0" r="0" b="0"/>
                      <wp:wrapNone/>
                      <wp:docPr id="264" name="Frame26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94005" cy="175260"/>
                      <wp:effectExtent l="0" t="0" r="0" b="0"/>
                      <wp:wrapNone/>
                      <wp:docPr id="265" name="Frame265"/>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9865" cy="175260"/>
                      <wp:effectExtent l="0" t="0" r="0" b="0"/>
                      <wp:wrapNone/>
                      <wp:docPr id="266" name="Frame26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14985" cy="175260"/>
                      <wp:effectExtent l="0" t="0" r="0" b="0"/>
                      <wp:wrapNone/>
                      <wp:docPr id="267" name="Frame2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5895" cy="175260"/>
                      <wp:effectExtent l="0" t="0" r="0" b="0"/>
                      <wp:wrapNone/>
                      <wp:docPr id="269" name="Frame26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77520" cy="175260"/>
                      <wp:effectExtent l="0" t="0" r="0" b="0"/>
                      <wp:wrapNone/>
                      <wp:docPr id="270" name="Frame270"/>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72415" cy="175260"/>
                      <wp:effectExtent l="0" t="0" r="0" b="0"/>
                      <wp:wrapNone/>
                      <wp:docPr id="271" name="Frame271"/>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5895" cy="175260"/>
                      <wp:effectExtent l="0" t="0" r="0" b="0"/>
                      <wp:wrapNone/>
                      <wp:docPr id="272" name="Frame27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73405" cy="175260"/>
                      <wp:effectExtent l="0" t="0" r="0" b="0"/>
                      <wp:wrapNone/>
                      <wp:docPr id="273" name="Frame27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9"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463"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w:t>
            </w:r>
          </w:p>
        </w:tc>
        <w:tc>
          <w:tcPr>
            <w:tcW w:w="42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429"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c>
          <w:tcPr>
            <w:tcW w:w="463"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c>
          <w:tcPr>
            <w:tcW w:w="429"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8,516</w:t>
            </w:r>
          </w:p>
        </w:tc>
      </w:tr>
    </w:tbl>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firstLine="446"/>
        <w:jc w:val="both"/>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pStyle w:val="TextBody"/>
        <w:bidi w:val="0"/>
        <w:spacing w:before="0" w:after="0"/>
        <w:ind w:left="0" w:right="0" w:hanging="0"/>
        <w:jc w:val="left"/>
        <w:rPr/>
      </w:pPr>
      <w:r>
        <w:rPr/>
        <w:t>​</w:t>
      </w:r>
    </w:p>
    <w:p>
      <w:pPr>
        <w:pStyle w:val="TextBody"/>
        <w:bidi w:val="0"/>
        <w:spacing w:before="0" w:after="0"/>
        <w:ind w:left="0" w:right="0" w:firstLine="446"/>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w:t>
      </w:r>
    </w:p>
    <w:p>
      <w:pPr>
        <w:pStyle w:val="TextBody"/>
        <w:bidi w:val="0"/>
        <w:spacing w:before="0" w:after="0"/>
        <w:ind w:left="0" w:right="0" w:hanging="0"/>
        <w:jc w:val="both"/>
        <w:rPr/>
      </w:pPr>
      <w:r>
        <w:rPr/>
        <w:t>​</w:t>
      </w:r>
    </w:p>
    <w:tbl>
      <w:tblPr>
        <w:tblW w:w="7056" w:type="dxa"/>
        <w:jc w:val="left"/>
        <w:tblInd w:w="0" w:type="dxa"/>
        <w:tblLayout w:type="fixed"/>
        <w:tblCellMar>
          <w:top w:w="0" w:type="dxa"/>
          <w:left w:w="0" w:type="dxa"/>
          <w:bottom w:w="0" w:type="dxa"/>
          <w:right w:w="0" w:type="dxa"/>
        </w:tblCellMar>
      </w:tblPr>
      <w:tblGrid>
        <w:gridCol w:w="1081"/>
        <w:gridCol w:w="326"/>
        <w:gridCol w:w="1071"/>
        <w:gridCol w:w="242"/>
        <w:gridCol w:w="1371"/>
        <w:gridCol w:w="326"/>
        <w:gridCol w:w="952"/>
        <w:gridCol w:w="645"/>
        <w:gridCol w:w="1042"/>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80085" cy="175260"/>
                      <wp:effectExtent l="0" t="0" r="0" b="0"/>
                      <wp:wrapNone/>
                      <wp:docPr id="275" name="Frame275"/>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53670" cy="175260"/>
                      <wp:effectExtent l="0" t="0" r="0" b="0"/>
                      <wp:wrapNone/>
                      <wp:docPr id="276" name="Frame27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70585" cy="175260"/>
                      <wp:effectExtent l="0" t="0" r="0" b="0"/>
                      <wp:wrapNone/>
                      <wp:docPr id="277" name="Frame277"/>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04520" cy="175260"/>
                      <wp:effectExtent l="0" t="0" r="0" b="0"/>
                      <wp:wrapNone/>
                      <wp:docPr id="279" name="Frame279"/>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09575" cy="175260"/>
                      <wp:effectExtent l="0" t="0" r="0" b="0"/>
                      <wp:wrapNone/>
                      <wp:docPr id="280" name="Frame280"/>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61670" cy="175260"/>
                      <wp:effectExtent l="0" t="0" r="0" b="0"/>
                      <wp:wrapNone/>
                      <wp:docPr id="281" name="Frame281"/>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42" w:type="dxa"/>
            <w:tcBorders/>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5" w:type="dxa"/>
            <w:tcBorders/>
            <w:vAlign w:val="center"/>
          </w:tcPr>
          <w:p>
            <w:pPr>
              <w:pStyle w:val="TableContents"/>
              <w:bidi w:val="0"/>
              <w:spacing w:before="0" w:after="0"/>
              <w:ind w:left="0" w:right="0" w:hanging="0"/>
              <w:jc w:val="center"/>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42"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42"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42"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42"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G</w:t>
            </w:r>
          </w:p>
        </w:tc>
        <w:tc>
          <w:tcPr>
            <w:tcW w:w="326"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Aptos Narrow" w:hAnsi="Aptos Narrow"/>
                <w:sz w:val="22"/>
              </w:rPr>
            </w:pPr>
            <w:r>
              <w:rPr>
                <w:rFonts w:ascii="Aptos Narrow" w:hAnsi="Aptos Narrow"/>
                <w:sz w:val="22"/>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three and nine months ended September 30, 2025, sales to government entities comprised 92.6% and 91.4% of the Company’s total revenue, respectively. During the three and nine months ended September 30, 2024, sales to government entities comprised 95.8% and 92.5% of the Company’s total revenue,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pPr>
      <w:bookmarkStart w:id="1579" w:name="Tc_m-WnShAFykuQ8HW7gVboJw_6_4"/>
      <w:bookmarkStart w:id="1580" w:name="Tc_z3GrEvoAfkevbpA5vxJvrQ_6_0"/>
      <w:bookmarkStart w:id="1581" w:name="Tc_2f1l92v1QUyQBgjKj_Q3mw_5_2"/>
      <w:bookmarkStart w:id="1582" w:name="Tc_YA5PlkDEhkCxaW9jhgWBOg_5_0"/>
      <w:bookmarkStart w:id="1583" w:name="Tc_pwwCCJhobUSlpxhhfG-4Yw_4_2"/>
      <w:bookmarkStart w:id="1584" w:name="Tc_OpX8obeQx0qZRqjh9qWeaA_4_0"/>
      <w:bookmarkStart w:id="1585" w:name="Tc_AM3zqh-w6UKyWj8Wy0iyWA_3_0"/>
      <w:bookmarkStart w:id="1586" w:name="Tc_MFXUJNF9xka5Wfy0ltvEEg_2_0"/>
      <w:bookmarkStart w:id="1587" w:name="Tc_Lm-uDzVJyUuvgT7IYzNr2g_1_4"/>
      <w:bookmarkStart w:id="1588" w:name="Tc_HxtKHvexl0KiQ6ak5lWOtg_1_2"/>
      <w:bookmarkStart w:id="1589" w:name="_4b6db158_e130_444e_9aeb_b0118b536e53"/>
      <w:bookmarkEnd w:id="1579"/>
      <w:bookmarkEnd w:id="1580"/>
      <w:bookmarkEnd w:id="1581"/>
      <w:bookmarkEnd w:id="1582"/>
      <w:bookmarkEnd w:id="1583"/>
      <w:bookmarkEnd w:id="1584"/>
      <w:bookmarkEnd w:id="1585"/>
      <w:bookmarkEnd w:id="1586"/>
      <w:bookmarkEnd w:id="1587"/>
      <w:bookmarkEnd w:id="1588"/>
      <w:bookmarkEnd w:id="1589"/>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w:t>
      </w:r>
    </w:p>
    <w:p>
      <w:pPr>
        <w:pStyle w:val="TextBody"/>
        <w:bidi w:val="0"/>
        <w:spacing w:before="0" w:after="240"/>
        <w:ind w:left="0" w:right="0" w:firstLine="450"/>
        <w:jc w:val="left"/>
        <w:rPr/>
      </w:pPr>
      <w:r>
        <w:rPr/>
        <w:t>​</w:t>
      </w:r>
    </w:p>
    <w:tbl>
      <w:tblPr>
        <w:tblW w:w="4825" w:type="dxa"/>
        <w:jc w:val="left"/>
        <w:tblInd w:w="0" w:type="dxa"/>
        <w:tblLayout w:type="fixed"/>
        <w:tblCellMar>
          <w:top w:w="0" w:type="dxa"/>
          <w:left w:w="0" w:type="dxa"/>
          <w:bottom w:w="0" w:type="dxa"/>
          <w:right w:w="0" w:type="dxa"/>
        </w:tblCellMar>
      </w:tblPr>
      <w:tblGrid>
        <w:gridCol w:w="1081"/>
        <w:gridCol w:w="326"/>
        <w:gridCol w:w="1546"/>
        <w:gridCol w:w="326"/>
        <w:gridCol w:w="154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81710" cy="175260"/>
                      <wp:effectExtent l="0" t="0" r="0" b="0"/>
                      <wp:wrapNone/>
                      <wp:docPr id="283" name="Frame28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81710" cy="175260"/>
                      <wp:effectExtent l="0" t="0" r="0" b="0"/>
                      <wp:wrapNone/>
                      <wp:docPr id="285" name="Frame28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590" w:name="Tc_qx1E172l-USQsZTk_aOy5A_5_0"/>
      <w:bookmarkStart w:id="1591" w:name="Tc_GASp5h5GeUGikJCaPA-3zQ_4_0"/>
      <w:bookmarkStart w:id="1592" w:name="Tc_uX9pJ2Xdd069jIwa_xo2XA_3_0"/>
      <w:bookmarkStart w:id="1593" w:name="Tc_eBcYQCNtgE6i7XrWmw2Sjw_2_4"/>
      <w:bookmarkStart w:id="1594" w:name="Tc_Bf4UmKkCx0SEYuIlZnMczg_2_2"/>
      <w:bookmarkStart w:id="1595" w:name="Tc_9SmEhWV3bUuT1re9PaACbg_1_2"/>
      <w:bookmarkStart w:id="1596" w:name="_edf62792_24de_4102_b490_6dad2301f3fb"/>
      <w:bookmarkStart w:id="1597" w:name="Tc_wF1rOusoC0-MfMey_2unOQ_7_11"/>
      <w:bookmarkStart w:id="1598" w:name="Tc_NOZaEIj3YUyKaKQEPd665g_7_8"/>
      <w:bookmarkStart w:id="1599" w:name="Tc_vo0wv4R59UOTuL-mtpejdQ_7_5"/>
      <w:bookmarkStart w:id="1600" w:name="Tc_ACUNbKq3AU62Xibpha0hJw_7_2"/>
      <w:bookmarkStart w:id="1601" w:name="Tc_wYa7wNT48USy15utedCpPQ_7_0"/>
      <w:bookmarkStart w:id="1602" w:name="Tc_xFcRtkCEzUuWm6FQrgt-Bw_6_0"/>
      <w:bookmarkStart w:id="1603" w:name="Tc_npF5HcxSxUW8pmNntZcztA_5_0"/>
      <w:bookmarkStart w:id="1604" w:name="Tc_MZMxZqsPf0KURs0QZ_43cA_4_11"/>
      <w:bookmarkStart w:id="1605" w:name="Tc_nlBIOiI6yU2CcxwbKrvPZA_4_8"/>
      <w:bookmarkStart w:id="1606" w:name="Tc_KdO68YkYLUyvkFzvE9UO6w_4_5"/>
      <w:bookmarkStart w:id="1607" w:name="Tc_D_nLspVNuUyBBJRCSdPNwA_4_2"/>
      <w:bookmarkStart w:id="1608" w:name="Tc_lhkIF7HknE2EOmqP5dXI-Q_4_0"/>
      <w:bookmarkStart w:id="1609" w:name="Tc_-Db-Ex2ajE-qHURbN3AyBg_3_0"/>
      <w:bookmarkStart w:id="1610" w:name="Tc_AO1Vg23qvkG8MSDJoUyRDQ_2_11"/>
      <w:bookmarkStart w:id="1611" w:name="Tc_13Qld5Rn_UGkWC-uuhzmgw_2_8"/>
      <w:bookmarkStart w:id="1612" w:name="Tc_i6gqZnKsSkCMWfKME4zjdg_2_5"/>
      <w:bookmarkStart w:id="1613" w:name="Tc_v0ibD9r-_UCg9EPvK-5sHw_2_2"/>
      <w:bookmarkStart w:id="1614" w:name="Tc_tZQWd1rrWEa0uKFlVllD7A_1_8"/>
      <w:bookmarkStart w:id="1615" w:name="Tc__Kjb-e7tK0KfZJZ1EDCc5Q_1_2"/>
      <w:bookmarkStart w:id="1616" w:name="_4d13cebf_4c14_422b_aacc_cdcb143d900c"/>
      <w:bookmarkStart w:id="1617" w:name="_dbebf6e3_879d_4751_bb64_6ef09ce529f2"/>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r>
        <w:rPr>
          <w:rFonts w:ascii="Times New Roman;Times;serif" w:hAnsi="Times New Roman;Times;serif"/>
          <w:b/>
          <w:sz w:val="20"/>
        </w:rPr>
        <w:t>(13) Net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common stockholders (in thousands, except for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02"/>
        <w:gridCol w:w="326"/>
        <w:gridCol w:w="228"/>
        <w:gridCol w:w="969"/>
        <w:gridCol w:w="353"/>
        <w:gridCol w:w="228"/>
        <w:gridCol w:w="861"/>
        <w:gridCol w:w="326"/>
        <w:gridCol w:w="221"/>
        <w:gridCol w:w="940"/>
        <w:gridCol w:w="342"/>
        <w:gridCol w:w="221"/>
        <w:gridCol w:w="888"/>
      </w:tblGrid>
      <w:tr>
        <w:trPr/>
        <w:tc>
          <w:tcPr>
            <w:tcW w:w="4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731770" cy="175260"/>
                      <wp:effectExtent l="0" t="0" r="0" b="0"/>
                      <wp:wrapNone/>
                      <wp:docPr id="286" name="Frame286"/>
                      <a:graphic xmlns:a="http://schemas.openxmlformats.org/drawingml/2006/main">
                        <a:graphicData uri="http://schemas.microsoft.com/office/word/2010/wordprocessingShape">
                          <wps:wsp>
                            <wps:cNvSpPr txBox="1"/>
                            <wps:spPr>
                              <a:xfrm>
                                <a:off x="0" y="0"/>
                                <a:ext cx="273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4780" cy="175260"/>
                      <wp:effectExtent l="0" t="0" r="0" b="0"/>
                      <wp:wrapNone/>
                      <wp:docPr id="288" name="Frame28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15315" cy="175260"/>
                      <wp:effectExtent l="0" t="0" r="0" b="0"/>
                      <wp:wrapNone/>
                      <wp:docPr id="289" name="Frame28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24155" cy="175260"/>
                      <wp:effectExtent l="0" t="0" r="0" b="0"/>
                      <wp:wrapNone/>
                      <wp:docPr id="290" name="Frame29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4780" cy="175260"/>
                      <wp:effectExtent l="0" t="0" r="0" b="0"/>
                      <wp:wrapNone/>
                      <wp:docPr id="291" name="Frame29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46735" cy="175260"/>
                      <wp:effectExtent l="0" t="0" r="0" b="0"/>
                      <wp:wrapNone/>
                      <wp:docPr id="292" name="Frame29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0335" cy="175260"/>
                      <wp:effectExtent l="0" t="0" r="0" b="0"/>
                      <wp:wrapNone/>
                      <wp:docPr id="294" name="Frame2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96900" cy="175260"/>
                      <wp:effectExtent l="0" t="0" r="0" b="0"/>
                      <wp:wrapNone/>
                      <wp:docPr id="295" name="Frame295"/>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7170" cy="175260"/>
                      <wp:effectExtent l="0" t="0" r="0" b="0"/>
                      <wp:wrapNone/>
                      <wp:docPr id="296" name="Frame29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0335" cy="175260"/>
                      <wp:effectExtent l="0" t="0" r="0" b="0"/>
                      <wp:wrapNone/>
                      <wp:docPr id="297" name="Frame29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63880" cy="175260"/>
                      <wp:effectExtent l="0" t="0" r="0" b="0"/>
                      <wp:wrapNone/>
                      <wp:docPr id="298" name="Frame298"/>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3" w:type="dxa"/>
            <w:tcBorders/>
            <w:vAlign w:val="center"/>
          </w:tcPr>
          <w:p>
            <w:pPr>
              <w:pStyle w:val="TableContents"/>
              <w:bidi w:val="0"/>
              <w:spacing w:before="0" w:after="0"/>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2"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94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  </w:t>
            </w:r>
          </w:p>
        </w:tc>
      </w:tr>
      <w:tr>
        <w:trPr/>
        <w:tc>
          <w:tcPr>
            <w:tcW w:w="4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(200,968)</w:t>
            </w:r>
          </w:p>
        </w:tc>
        <w:tc>
          <w:tcPr>
            <w:tcW w:w="353"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(198,003)</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4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325,024</w:t>
            </w:r>
          </w:p>
        </w:tc>
        <w:tc>
          <w:tcPr>
            <w:tcW w:w="353"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188,389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302,807</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170,665</w:t>
            </w:r>
          </w:p>
        </w:tc>
      </w:tr>
      <w:tr>
        <w:trPr/>
        <w:tc>
          <w:tcPr>
            <w:tcW w:w="4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r>
    </w:tbl>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vesting condition for all 2,479,000 Promote Sponsor Vesting Shares was satisfied on February 6, 2025 and the vesting condition for all 580,273 Sponsor Redemption-Based Vesting Shares was satisfied on August 14, 2025. For the three and nine months ended September 30, 2025, the Promote Sponsor Vesting Shares and the Sponsor Redemption-Based Vesting Shares have been included in the computations of basic and diluted net loss per share from their respective vesting dates.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Promote Sponsor Vesting Shares and Sponsor Redemption-Based Vesting Shares were not included in the computations of basic and diluted net loss per share for the three and nine months ended September 30, 2024, because the vesting conditions related to the shares had not been met.</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weighted-average common shares outstanding for the three and nine months ended September 30, 2025 include 777,118 and 781,925 weighted-average shares for warrants having an exercise price of $0.01 per share each, respectively. The weighted-average common shares outstanding for each of the three and nine months ended September 30, 2024 include 972,578 weighted-average shares for warrants having an exercise price of $0.01 per share each. </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potentially dilutive securities from the computations of diluted net loss per share for the three and nine months ended September 30, 2025 and September 30, 2024 because their effect would be anti-dilutive:</w:t>
      </w:r>
    </w:p>
    <w:p>
      <w:pPr>
        <w:pStyle w:val="TextBody"/>
        <w:bidi w:val="0"/>
        <w:spacing w:before="0" w:after="240"/>
        <w:ind w:left="0" w:right="0" w:hanging="0"/>
        <w:jc w:val="left"/>
        <w:rPr/>
      </w:pPr>
      <w:r>
        <w:rPr/>
        <w:t>​</w:t>
      </w:r>
    </w:p>
    <w:tbl>
      <w:tblPr>
        <w:tblW w:w="5445" w:type="dxa"/>
        <w:jc w:val="left"/>
        <w:tblInd w:w="0" w:type="dxa"/>
        <w:tblLayout w:type="fixed"/>
        <w:tblCellMar>
          <w:top w:w="0" w:type="dxa"/>
          <w:left w:w="0" w:type="dxa"/>
          <w:bottom w:w="0" w:type="dxa"/>
          <w:right w:w="0" w:type="dxa"/>
        </w:tblCellMar>
      </w:tblPr>
      <w:tblGrid>
        <w:gridCol w:w="2371"/>
        <w:gridCol w:w="326"/>
        <w:gridCol w:w="1121"/>
        <w:gridCol w:w="352"/>
        <w:gridCol w:w="1121"/>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505585" cy="175260"/>
                      <wp:effectExtent l="0" t="0" r="0" b="0"/>
                      <wp:wrapNone/>
                      <wp:docPr id="299" name="Frame29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11835" cy="175260"/>
                      <wp:effectExtent l="0" t="0" r="0" b="0"/>
                      <wp:wrapNone/>
                      <wp:docPr id="301" name="Frame301"/>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3520" cy="175260"/>
                      <wp:effectExtent l="0" t="0" r="0" b="0"/>
                      <wp:wrapNone/>
                      <wp:docPr id="302" name="Frame30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11835" cy="175260"/>
                      <wp:effectExtent l="0" t="0" r="0" b="0"/>
                      <wp:wrapNone/>
                      <wp:docPr id="303" name="Frame303"/>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97790" cy="175260"/>
                      <wp:effectExtent l="0" t="0" r="0" b="0"/>
                      <wp:wrapNone/>
                      <wp:docPr id="304" name="Frame3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9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2" w:type="dxa"/>
            <w:tcBorders/>
            <w:vAlign w:val="center"/>
          </w:tcPr>
          <w:p>
            <w:pPr>
              <w:pStyle w:val="TableContents"/>
              <w:bidi w:val="0"/>
              <w:spacing w:before="0" w:after="1"/>
              <w:ind w:left="0" w:right="0" w:hanging="0"/>
              <w:jc w:val="left"/>
              <w:rPr/>
            </w:pPr>
            <w:r>
              <w:rPr/>
              <w:t>    </w:t>
            </w:r>
          </w:p>
        </w:tc>
        <w:tc>
          <w:tcPr>
            <w:tcW w:w="11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1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14,154,357</w:t>
            </w:r>
          </w:p>
        </w:tc>
        <w:tc>
          <w:tcPr>
            <w:tcW w:w="352" w:type="dxa"/>
            <w:tcBorders/>
            <w:shd w:fill="CCEEFF" w:val="clear"/>
            <w:vAlign w:val="center"/>
          </w:tcPr>
          <w:p>
            <w:pPr>
              <w:pStyle w:val="TableContents"/>
              <w:bidi w:val="0"/>
              <w:spacing w:before="0" w:after="1"/>
              <w:ind w:left="0" w:right="0" w:hanging="0"/>
              <w:jc w:val="left"/>
              <w:rPr/>
            </w:pPr>
            <w:r>
              <w:rPr/>
              <w:t> </w:t>
            </w:r>
          </w:p>
        </w:tc>
        <w:tc>
          <w:tcPr>
            <w:tcW w:w="11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1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6,137,639</w:t>
            </w:r>
          </w:p>
        </w:tc>
        <w:tc>
          <w:tcPr>
            <w:tcW w:w="352" w:type="dxa"/>
            <w:tcBorders/>
            <w:vAlign w:val="center"/>
          </w:tcPr>
          <w:p>
            <w:pPr>
              <w:pStyle w:val="TableContents"/>
              <w:bidi w:val="0"/>
              <w:spacing w:before="0" w:after="1"/>
              <w:ind w:left="0" w:right="0" w:hanging="0"/>
              <w:jc w:val="left"/>
              <w:rPr/>
            </w:pPr>
            <w:r>
              <w:rPr/>
              <w:t> </w:t>
            </w:r>
          </w:p>
        </w:tc>
        <w:tc>
          <w:tcPr>
            <w:tcW w:w="11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8,325,875</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8,411,134</w:t>
            </w:r>
          </w:p>
        </w:tc>
        <w:tc>
          <w:tcPr>
            <w:tcW w:w="352" w:type="dxa"/>
            <w:tcBorders/>
            <w:shd w:fill="CCEEFF" w:val="clear"/>
            <w:vAlign w:val="center"/>
          </w:tcPr>
          <w:p>
            <w:pPr>
              <w:pStyle w:val="TableContents"/>
              <w:bidi w:val="0"/>
              <w:spacing w:before="0" w:after="1"/>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14,241,050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28,703,130</w:t>
            </w:r>
          </w:p>
        </w:tc>
        <w:tc>
          <w:tcPr>
            <w:tcW w:w="352" w:type="dxa"/>
            <w:tcBorders/>
            <w:vAlign w:val="center"/>
          </w:tcPr>
          <w:p>
            <w:pPr>
              <w:pStyle w:val="TableContents"/>
              <w:bidi w:val="0"/>
              <w:spacing w:before="0" w:after="1"/>
              <w:ind w:left="0" w:right="0" w:hanging="0"/>
              <w:jc w:val="left"/>
              <w:rPr/>
            </w:pPr>
            <w:r>
              <w:rPr/>
              <w:t> </w:t>
            </w:r>
          </w:p>
        </w:tc>
        <w:tc>
          <w:tcPr>
            <w:tcW w:w="11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37,017,342</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as of both September 30, 2025 and September 30, 2024 does not include 1,340,310</w:t>
            </w:r>
            <w:r>
              <w:rPr>
                <w:caps w:val="false"/>
                <w:smallCaps w:val="false"/>
              </w:rPr>
              <w:t xml:space="preserve"> </w:t>
            </w:r>
            <w:r>
              <w:rPr>
                <w:rFonts w:ascii="Times New Roman;Times;serif" w:hAnsi="Times New Roman;Times;serif"/>
                <w:b w:val="false"/>
                <w:i w:val="false"/>
                <w:caps w:val="false"/>
                <w:smallCaps w:val="false"/>
                <w:sz w:val="20"/>
              </w:rPr>
              <w:t>unvested Customer Warrants.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14)</w:t>
            </w:r>
          </w:p>
        </w:tc>
        <w:tc>
          <w:tcPr>
            <w:tcW w:w="1396" w:type="dxa"/>
            <w:tcBorders/>
            <w:vAlign w:val="center"/>
          </w:tcPr>
          <w:p>
            <w:pPr>
              <w:pStyle w:val="TableContents"/>
              <w:bidi w:val="0"/>
              <w:spacing w:before="0" w:after="0"/>
              <w:jc w:val="both"/>
              <w:rPr/>
            </w:pPr>
            <w:r>
              <w:rPr/>
              <w:t> </w:t>
            </w:r>
            <w:r>
              <w:rPr>
                <w:rFonts w:ascii="Times New Roman;Times;serif" w:hAnsi="Times New Roman;Times;serif"/>
                <w:b/>
                <w:sz w:val="20"/>
              </w:rPr>
              <w:t>Income Taxes</w:t>
            </w:r>
          </w:p>
        </w:tc>
      </w:tr>
    </w:tbl>
    <w:p>
      <w:pPr>
        <w:pStyle w:val="TextBody"/>
        <w:pBdr/>
        <w:bidi w:val="0"/>
        <w:spacing w:before="0" w:after="0"/>
        <w:ind w:left="0" w:right="0" w:hanging="36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 including gains and losses on derivative warrant and earn-out liabilities.</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has incurred a cumulative pre-tax loss for the past three years. The Company expects that it will continue to incur losses for income tax purposes for the foreseeable future, and will continue to carry a full valuation allowance for its deferred tax assets. Accordingly, the Company did not record a provision for income taxes for either the three and nine months ended September 30, 2025 or the three and nine months ended September 30, 2024.</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The Company evaluated the impact of the OBBA during the three months ended September 30, 2025 and determined that its provisions did not have a material impact on the condensed consolidated financial statements.</w:t>
      </w:r>
    </w:p>
    <w:p>
      <w:pPr>
        <w:pStyle w:val="TextBody"/>
        <w:bidi w:val="0"/>
        <w:spacing w:before="0" w:after="240"/>
        <w:ind w:left="0" w:right="0" w:firstLine="540"/>
        <w:jc w:val="both"/>
        <w:rPr/>
      </w:pPr>
      <w:r>
        <w:rPr/>
        <w:t>​</w:t>
      </w:r>
    </w:p>
    <w:p>
      <w:pPr>
        <w:pStyle w:val="TextBody"/>
        <w:bidi w:val="0"/>
        <w:spacing w:before="0" w:after="240"/>
        <w:ind w:left="0" w:right="0" w:firstLine="630"/>
        <w:jc w:val="both"/>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(15) Collaborative Arrangements</w:t>
      </w:r>
    </w:p>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February 27, 2025, the Company entered into a Collaboration Agreement (the “Collaboration Agreement”) with Quanta Computer Inc., a Taiwan corporation (“Quanta”). The term of the Collaboration Agreement is for five years, subject to cancellation under certain circumstances.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 No equity or joint venture was formed under the Collaboration Agreement. Costs incurred by the Company under the Collaboration Agreement, consisting of its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-half undivided interest in, all such joint project technology and all newly-created or newly-arising IP rights with respect thereto.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 The price per share was based on the volume weighted-average price of the Company’s Common Stock for the 15 trading days prior to February 27, 2025. </w:t>
      </w:r>
      <w:r>
        <w:rPr>
          <w:rFonts w:ascii="Times New Roman;Times;serif" w:hAnsi="Times New Roman;Times;serif"/>
          <w:sz w:val="20"/>
          <w:shd w:fill="FFFFFF" w:val="clear"/>
        </w:rPr>
        <w:t>The private placement transaction, which was subject to regulatory clearance, closed on April 29, 2025. In connection with the private placement transaction, Quanta entered into</w:t>
      </w:r>
      <w:r>
        <w:rPr>
          <w:rFonts w:ascii="Times New Roman;Times;serif" w:hAnsi="Times New Roman;Times;serif"/>
          <w:sz w:val="20"/>
        </w:rPr>
        <w:t xml:space="preserve"> a board observer and confidentiality agreement under which it has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securities purchase agreement for a three year period following the closing of the private placement transaction.</w:t>
      </w:r>
    </w:p>
    <w:p>
      <w:pPr>
        <w:pStyle w:val="TextBody"/>
        <w:bidi w:val="0"/>
        <w:spacing w:before="0" w:after="240"/>
        <w:ind w:left="0" w:right="0" w:firstLine="54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377" w:type="dxa"/>
        <w:jc w:val="left"/>
        <w:tblInd w:w="0" w:type="dxa"/>
        <w:tblLayout w:type="fixed"/>
        <w:tblCellMar>
          <w:top w:w="0" w:type="dxa"/>
          <w:left w:w="0" w:type="dxa"/>
          <w:bottom w:w="0" w:type="dxa"/>
          <w:right w:w="0" w:type="dxa"/>
        </w:tblCellMar>
      </w:tblPr>
      <w:tblGrid>
        <w:gridCol w:w="451"/>
        <w:gridCol w:w="2926"/>
      </w:tblGrid>
      <w:tr>
        <w:trPr/>
        <w:tc>
          <w:tcPr>
            <w:tcW w:w="4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16)</w:t>
            </w:r>
          </w:p>
        </w:tc>
        <w:tc>
          <w:tcPr>
            <w:tcW w:w="2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0"/>
        <w:ind w:left="0" w:right="0" w:hanging="360"/>
        <w:jc w:val="left"/>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618" w:name="ITEM2MANAGEMENTSDISCUSSIONANDANALYSISOFF"/>
      <w:bookmarkStart w:id="1619" w:name="_8ad07a86_2ea3_492f_98be_40e4bb144f54"/>
      <w:bookmarkEnd w:id="1618"/>
      <w:bookmarkEnd w:id="161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2024,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 We are located and headquartered in Berkeley, California. We also operate in Fremont, California; London, United Kingdom; Adelaide, Australia; British Columbia, Canada; and Mumbai, India. Our revenue is derived primarily from operations in the United States and the United Kingdom.</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currently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 We have been generating revenue since 2018 through partnerships with government agencies and commercial organizations; however, we have incurred significant operating losses since inception. Our net losses were $201.0 million and $75.1 million for the years ended December 31, 2024 and December 31, 2023, respectively. We incurred an operating loss for the three and nine months ended September 30, 2025. We expect to continue to incur additional losses for the foreseeable future as we invest in research, development, and infrastructure consistent with our long-term business strategy. As of September 30, 2025, we had an accumulated deficit of $752.8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Based on our forecasts, we believe that our existing cash, cash equivalents and available for sale investments should be sufficient to meet our anticipated operating cash needs for at least the next 12 months based on our current business plan, and expectations and assumptions considering current macroeconomic conditions. Our operating plans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the fourth quarter of 2024, we announced the launch </w:t>
      </w:r>
      <w:r>
        <w:rPr>
          <w:rFonts w:ascii="Times New Roman;Times;serif" w:hAnsi="Times New Roman;Times;serif"/>
          <w:sz w:val="20"/>
          <w:shd w:fill="FFFFFF" w:val="clear"/>
        </w:rPr>
        <w:t>of our 84-qubit Ankaa-3 system, our newest flagship quantum computer featuring an extensive hardware redesign. We also achieved major two-qubit gate fidelity milestones with Ankaa-3: </w:t>
      </w:r>
      <w:r>
        <w:rPr>
          <w:rFonts w:ascii="Times New Roman;Times;serif" w:hAnsi="Times New Roman;Times;serif"/>
          <w:sz w:val="20"/>
        </w:rPr>
        <w:t xml:space="preserve">successfully halving error rates in 2024 to achieve a 99.0% median two-qubit iSWAP gate fidelity, as well as demonstrating a 99.5% median two-qubit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fidelity with fSim gates. For more information on iSWAP gate fidelity and fSIM gates, see the section entitled “Our Technology—Our Superconducting Quantum Processors—Fidelity” in Part I, Item 1 of our Annual Report on Form 10-K for the year ended December 31, 2024.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goal for 2025 is to introduce the next generation of our modular system architecture, while continuing to increase fidelities. On July 16, 2025, we announced that we achieved our mid-year performance milestone of 99.5% median two-qubit gate fidelity on a modular 36-qubit system, a 2x reduction in median two-qubit gate error rate from our previous best results on our 84-qubit single chip Ankaa™-3 system. Composed of four 9-qubit chips (“chiplets”) tiled together and optimized for CZ gates, a commonly used two-qubit gate for executing quantum circuits with equivalent computational power to iSWAP gates, the 36-qubit system is based on our proprietary modular chip technology and provides a path to building a 100+ qubit chiplet-based system. Our 36-qubit system,</w:t>
      </w:r>
      <w:r>
        <w:rPr>
          <w:rFonts w:ascii="Times New Roman;Times;serif" w:hAnsi="Times New Roman;Times;serif"/>
          <w:color w:val="1D1C1D"/>
          <w:sz w:val="20"/>
        </w:rPr>
        <w:t xml:space="preserve"> Cepheus™-1-36Q, has been released for general availability and deployed on our Cloud Services Platform (QCS®) and Microsoft Azure.</w:t>
      </w:r>
      <w:r>
        <w:rPr>
          <w:rFonts w:ascii="Times New Roman;Times;serif" w:hAnsi="Times New Roman;Times;serif"/>
          <w:sz w:val="20"/>
        </w:rPr>
        <w:t xml:space="preserve"> We expect to release a 100+ qubit chiplet-based system with a 99.5% median two-qubit gate fidelity before the end of 2025.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we will be able to achieve our plans for 2025 described above and elsewhere in this Quarterly Report on Form 10-Q; however, we face various risks and uncertainties relating to our business that could cause actual results to differ materially from our expectations stated herein. This Quarterly Report on Form 10-Q, including this Management’s Discussion and Analysis of Financial Condition and Results of Operations should be read in conjunction with the section entitled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C-DAC MOU</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 xml:space="preserve">On September 2, 2025, the Company announced that it had signed a Memorandum of Understanding (“MOU”) with the Centre for Development of Advanced Computing (“C-DAC”), India’s premier research and development organization of the Ministry of Electronics and Information Technology. Through this MOU, the Company and C-DAC intend to explore the co-development of hybrid quantum computing systems to support government laboratories and academics pursuing quantum computing research and development. </w:t>
            </w:r>
          </w:p>
        </w:tc>
      </w:tr>
    </w:tbl>
    <w:p>
      <w:pPr>
        <w:pStyle w:val="TextBody"/>
        <w:bidi w:val="0"/>
        <w:spacing w:before="0" w:after="0"/>
        <w:ind w:left="1094"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Air Force Research Laboratory (AFRL) Contract</w:t>
            </w:r>
            <w:r>
              <w:rPr>
                <w:rFonts w:ascii="Times New Roman;Times;serif" w:hAnsi="Times New Roman;Times;serif"/>
                <w:b w:val="false"/>
                <w:i w:val="false"/>
                <w:caps w:val="false"/>
                <w:smallCaps w:val="false"/>
                <w:sz w:val="20"/>
              </w:rPr>
              <w:t xml:space="preserve">: On September 18, 2025, the Company announced that it was awarded a three-year $5.8 million contract from AFRL to advance superconducting quantum networking. The Company will be collaborating with QphoX on the project, a Dutch quantum technology start-up developing frequency conversion systems for quantum applications. </w:t>
            </w:r>
          </w:p>
        </w:tc>
      </w:tr>
    </w:tbl>
    <w:p>
      <w:pPr>
        <w:pStyle w:val="TextBody"/>
        <w:pBdr/>
        <w:bidi w:val="0"/>
        <w:spacing w:before="0" w:after="0"/>
        <w:ind w:left="547" w:right="0" w:hanging="547"/>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Orders</w:t>
            </w:r>
            <w:r>
              <w:rPr>
                <w:rFonts w:ascii="Times New Roman;Times;serif" w:hAnsi="Times New Roman;Times;serif"/>
                <w:b w:val="false"/>
                <w:i w:val="false"/>
                <w:caps w:val="false"/>
                <w:smallCaps w:val="false"/>
                <w:sz w:val="20"/>
              </w:rPr>
              <w:t>: On September 30, 2025, the Company announced that it had entered into purchase orders totaling approximately $5.7 million for two 9-qubit Novera™ quantum computing systems.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Update on DARPA QBI Participation: </w:t>
            </w:r>
            <w:r>
              <w:rPr>
                <w:rFonts w:ascii="Times New Roman;Times;serif" w:hAnsi="Times New Roman;Times;serif"/>
                <w:b w:val="false"/>
                <w:i w:val="false"/>
                <w:caps w:val="false"/>
                <w:smallCaps w:val="false"/>
                <w:sz w:val="20"/>
              </w:rPr>
              <w:t xml:space="preserve">The Company remains engaged with the Defense Advanced Research Projects Agency (DARPA) on Stage A of the Quantum Benchmarking Initiative (QBI).  On November 6, 2025, DARPA announced the companies initially selected to participate in Stage B of QBI. Although the Company was not initially selected for Stage B,  the Company received constructive input from DARPA regarding its proposal and its dialogue with DARPA is ongoing.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2025 ATM Offering</w:t>
      </w:r>
    </w:p>
    <w:p>
      <w:pPr>
        <w:pStyle w:val="TextBody"/>
        <w:bidi w:val="0"/>
        <w:spacing w:before="0" w:after="240"/>
        <w:ind w:left="0" w:right="0" w:hanging="0"/>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On May 29, 2025, we entered into an Open Market Sale Agreement</w:t>
      </w:r>
      <w:r>
        <w:rPr>
          <w:rFonts w:ascii="Times New Roman;Times;serif" w:hAnsi="Times New Roman;Times;serif"/>
          <w:sz w:val="15"/>
        </w:rPr>
        <w:t>TM</w:t>
      </w:r>
      <w:r>
        <w:rPr>
          <w:rFonts w:ascii="Times New Roman;Times;serif" w:hAnsi="Times New Roman;Times;serif"/>
          <w:sz w:val="20"/>
        </w:rPr>
        <w:t xml:space="preserve"> (the “Sales Agreement”) with Jefferies LLC with respect to an At-the-Market (“ATM”) offering program, pursuant to which we sold, from time to time at our sole discretion, shares of our common stock having an aggregate offering price of $350 million. The shares offered and sold in the ATM offering were issued pursuant to a shelf registration statement on Form S-3 and the related prospectus supplement. During the nine months ended September 30, 2025, we raised gross proceeds of $350 million from the sale of 30,309,780 shares of our common stock pursuant to the Sales Agreement, at a weighted average price of $11.55 per share. All of the shares were sold during our second quarter ended June 30, 2025. The net proceeds from the Sales Agreement during the nine months ended September 30, 2025 were $346.7 million. As of September 30, 2025, there were no remaining shares available for sale pursuant to the Sales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Quanta Collaboration Agreement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February 2025, our wholly-owned subsidiary entered into a Collaboration Agreement with Quanta, whereby the parties may enter into written statements of work from time to time pursuant to which Quanta will develop Covered Components listed in such statement of work that meet our specifications and requirements. “Covered Components” may include control systems, dilution refrigerators, flexible cables, and select other non-QPU components suitable for our quantum computing products. No statements of work were entered into by the parties in connection with the entry into the Collaboration Agreement. In addition, the parties have each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agreed to invest at least $250 million over the next five years in the field of quantum computing (and Quanta’s investment will be towards personnel and capital expenditures for developing products and services and manufacturing capability in furtherance of our product roadmap). </w:t>
      </w:r>
      <w:r>
        <w:rPr>
          <w:rFonts w:ascii="Times New Roman;Times;serif" w:hAnsi="Times New Roman;Times;serif"/>
          <w:sz w:val="20"/>
        </w:rPr>
        <w:t>No equity or joint venture was formed under the Collaboration Agreement and costs incurred by us under the Collaboration Agreement, consisting of expenditures for research and development and related capital, will be accounted for in accordance with GAAP as incurred.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Under the Collaboration Agreement, we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one-half undivided interest in, all such joint project technology and all newly-created or newly-arising IP rights with respect thereto.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private placement transaction, which was subject to regulatory clearance, closed on April 29, 2025. </w:t>
      </w:r>
    </w:p>
    <w:p>
      <w:pPr>
        <w:pStyle w:val="TextBody"/>
        <w:bidi w:val="0"/>
        <w:spacing w:before="0" w:after="24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Liberation Serif" w:hAnsi="Liberation Serif"/>
          <w:sz w:val="20"/>
        </w:rPr>
      </w:pPr>
      <w:r>
        <w:rPr>
          <w:rFonts w:ascii="Liberation Serif" w:hAnsi="Liberation Serif"/>
          <w:sz w:val="20"/>
        </w:rPr>
        <w:t xml:space="preserve">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supply chain constraints, international trade policies including tariffs and export controls, national security interests, pandemics, political turmoil, government shutdowns, natural catastrophes, warfare, and terrorist attacks in the United States or elsewhere, could negatively affect our business, including progress toward the development of quantum computing by increasing the cost of materials and components and our operating costs. </w:t>
      </w: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w:t>
      </w:r>
      <w:r>
        <w:rPr>
          <w:rFonts w:ascii="Liberation Serif" w:hAnsi="Liberation Serif"/>
          <w:sz w:val="20"/>
        </w:rPr>
        <w:t xml:space="preserve">and the trading price of our Common Stock could decline. </w:t>
      </w:r>
    </w:p>
    <w:p>
      <w:pPr>
        <w:pStyle w:val="TextBody"/>
        <w:bidi w:val="0"/>
        <w:spacing w:before="0" w:after="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Roman" w:hAnsi="Times-Roman"/>
          <w:sz w:val="20"/>
        </w:rPr>
        <w:t xml:space="preserve">For further discussion of the potential impacts of macroeconomic events on our business, financial condition, and operating results, see the section titled Part I “Item 1A. Risk Factors” in our Annual Report on Form 10-K for the year ended December 31, 2024, including the risk factor titled </w:t>
      </w:r>
      <w:r>
        <w:rPr>
          <w:rFonts w:ascii="Times New Roman;Times;serif" w:hAnsi="Times New Roman;Times;serif"/>
          <w:sz w:val="20"/>
        </w:rPr>
        <w:t>“</w:t>
      </w:r>
      <w:r>
        <w:rPr>
          <w:rFonts w:ascii="Times New Roman;Times;serif" w:hAnsi="Times New Roman;Times;serif"/>
          <w:i/>
          <w:sz w:val="20"/>
        </w:rPr>
        <w:t>Unfavorable conditions in our industry or the global economy could limit our ability to grow our business and negatively affect our results of operations.”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operating expenses primarily consist of research and development, and selling, general and administrative expenses.</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shd w:fill="FFFFFF" w:val="clear"/>
        </w:rPr>
      </w:pPr>
      <w:r>
        <w:rPr>
          <w:shd w:fill="FFFFFF" w:val="clear"/>
        </w:rPr>
        <w:t>​</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54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0" w:right="0" w:firstLine="54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research and development or sales of QPUs and providing development contracts, QCaaS offerings and other services. We expect selling, general and administrative expenses to increase as we grow our business, particularly </w:t>
      </w:r>
      <w:r>
        <w:rPr>
          <w:rFonts w:ascii="Times-Roman" w:hAnsi="Times-Roman"/>
          <w:sz w:val="20"/>
        </w:rPr>
        <w:t>to the extent we are able to demonstrate the usefulness of quantum computers and achieve broad quantum advantage, and subsequently enhance our product and service offerings, expand our customer base, and implement new marketing strategies.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Nine Months Ended September 30, 2025 and September 30,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p>
      <w:pPr>
        <w:pStyle w:val="TextBody"/>
        <w:bidi w:val="0"/>
        <w:spacing w:before="0" w:after="0"/>
        <w:ind w:left="0" w:right="0" w:hanging="0"/>
        <w:jc w:val="both"/>
        <w:rPr/>
      </w:pPr>
      <w:r>
        <w:rPr/>
        <w:t>​</w:t>
      </w:r>
    </w:p>
    <w:tbl>
      <w:tblPr>
        <w:tblW w:w="11749" w:type="dxa"/>
        <w:jc w:val="left"/>
        <w:tblInd w:w="0" w:type="dxa"/>
        <w:tblLayout w:type="fixed"/>
        <w:tblCellMar>
          <w:top w:w="0" w:type="dxa"/>
          <w:left w:w="0" w:type="dxa"/>
          <w:bottom w:w="0" w:type="dxa"/>
          <w:right w:w="0" w:type="dxa"/>
        </w:tblCellMar>
      </w:tblPr>
      <w:tblGrid>
        <w:gridCol w:w="1111"/>
        <w:gridCol w:w="326"/>
        <w:gridCol w:w="196"/>
        <w:gridCol w:w="751"/>
        <w:gridCol w:w="326"/>
        <w:gridCol w:w="196"/>
        <w:gridCol w:w="661"/>
        <w:gridCol w:w="326"/>
        <w:gridCol w:w="196"/>
        <w:gridCol w:w="751"/>
        <w:gridCol w:w="326"/>
        <w:gridCol w:w="931"/>
        <w:gridCol w:w="256"/>
        <w:gridCol w:w="326"/>
        <w:gridCol w:w="196"/>
        <w:gridCol w:w="751"/>
        <w:gridCol w:w="326"/>
        <w:gridCol w:w="196"/>
        <w:gridCol w:w="661"/>
        <w:gridCol w:w="326"/>
        <w:gridCol w:w="196"/>
        <w:gridCol w:w="751"/>
        <w:gridCol w:w="326"/>
        <w:gridCol w:w="931"/>
        <w:gridCol w:w="256"/>
        <w:gridCol w:w="154"/>
      </w:tblGrid>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w:t>
            </w:r>
          </w:p>
        </w:tc>
        <w:tc>
          <w:tcPr>
            <w:tcW w:w="326" w:type="dxa"/>
            <w:tcBorders/>
            <w:vAlign w:val="center"/>
          </w:tcPr>
          <w:p>
            <w:pPr>
              <w:pStyle w:val="TableContents"/>
              <w:bidi w:val="0"/>
              <w:spacing w:before="0" w:after="1"/>
              <w:ind w:left="0" w:right="0" w:hanging="0"/>
              <w:jc w:val="center"/>
              <w:rPr/>
            </w:pPr>
            <w:r>
              <w:rPr/>
              <w:t>​</w:t>
            </w:r>
          </w:p>
        </w:tc>
        <w:tc>
          <w:tcPr>
            <w:tcW w:w="22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 versus 2024</w:t>
            </w:r>
          </w:p>
        </w:tc>
        <w:tc>
          <w:tcPr>
            <w:tcW w:w="2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w:t>
            </w:r>
          </w:p>
        </w:tc>
        <w:tc>
          <w:tcPr>
            <w:tcW w:w="326" w:type="dxa"/>
            <w:tcBorders/>
            <w:vAlign w:val="center"/>
          </w:tcPr>
          <w:p>
            <w:pPr>
              <w:pStyle w:val="TableContents"/>
              <w:bidi w:val="0"/>
              <w:spacing w:before="0" w:after="1"/>
              <w:ind w:left="0" w:right="0" w:hanging="0"/>
              <w:jc w:val="center"/>
              <w:rPr/>
            </w:pPr>
            <w:r>
              <w:rPr/>
              <w:t>​</w:t>
            </w:r>
          </w:p>
        </w:tc>
        <w:tc>
          <w:tcPr>
            <w:tcW w:w="22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 vs. 2024</w:t>
            </w:r>
          </w:p>
        </w:tc>
        <w:tc>
          <w:tcPr>
            <w:tcW w:w="25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5,220</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2,268</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7,904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19,478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861</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8,765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(20,549)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(17,346)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(62,063)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(50,016)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(12,047)</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2,809</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7,225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(181,955)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(183,155)</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(149,967)</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(4,882)</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(180,419)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(182,932)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(135,940)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(137,929)</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(186,135)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NM</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(149,976)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5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(186,135)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(198,003)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(149,976)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$0.4 million and $3.3 million for the three and nine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when compared to the three and nine months ended September 30, 2024, respectively. The decreases were mainly due to reductions in revenue from collaborative research, related materials and professional services contracts. Our revenue has been negatively impacted by expiration of the National Quantum Initiative Act in September 2023 and its pending reauthorization in the United States Congress. </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Cost of revenue increased by $0.4 million during the three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when compared to the three months ended September 30, 2024. The change in cost of revenue during the nine months ended September 30, 2025 was not significant, when compared to the nine months ended September 30, 2024. </w:t>
      </w:r>
      <w:r>
        <w:rPr>
          <w:rFonts w:ascii="Times New Roman;Times;serif" w:hAnsi="Times New Roman;Times;serif"/>
          <w:sz w:val="20"/>
          <w:shd w:fill="FFFFFF" w:val="clear"/>
        </w:rPr>
        <w:t>Cost</w:t>
      </w:r>
      <w:r>
        <w:rPr>
          <w:rFonts w:ascii="Times New Roman;Times;serif" w:hAnsi="Times New Roman;Times;serif"/>
          <w:sz w:val="20"/>
        </w:rPr>
        <w:t xml:space="preserve"> of revenue during the three and nine months ended September 30, 2025 was negatively impacted by an unfavorable revenue mix, with more revenue and cost of revenue coming from contracts with higher costs and a lower gross margin profile. During the nine months ended September 30, 2025, the impact of the unfavorable revenue mix was mostly offset by the impact of lower revenue levels on cost of revenue.</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Our cost of revenue and gross margins are impacted by the composition of our revenue and variability in the pricing and terms of our development contracts. During the three and nine months ended September 30, 2025, we recognized revenue and cost of revenue from contracts to deliver 24-qubit and 36-qubit quantum computing systems, which have higher costs and a lower gross margin profile than most of our other contracts.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increased by $2.3 million and $7.9 million during the three and nine months ended </w:t>
      </w:r>
      <w:r>
        <w:rPr>
          <w:rFonts w:ascii="Times New Roman;Times;serif" w:hAnsi="Times New Roman;Times;serif"/>
          <w:sz w:val="20"/>
          <w:shd w:fill="FFFFFF" w:val="clear"/>
        </w:rPr>
        <w:t>September 30, 2025</w:t>
      </w:r>
      <w:r>
        <w:rPr>
          <w:rFonts w:ascii="Times New Roman;Times;serif" w:hAnsi="Times New Roman;Times;serif"/>
          <w:sz w:val="20"/>
        </w:rPr>
        <w:t>, when compared to the three and nine months ended September 30, 2024, respectively.</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increase in research and development expenses during the three and nine months ended </w:t>
      </w:r>
      <w:r>
        <w:rPr>
          <w:rFonts w:ascii="Times New Roman;Times;serif" w:hAnsi="Times New Roman;Times;serif"/>
          <w:sz w:val="20"/>
          <w:shd w:fill="FFFFFF" w:val="clear"/>
        </w:rPr>
        <w:t>September 30, 2025</w:t>
      </w:r>
      <w:r>
        <w:rPr>
          <w:rFonts w:ascii="Times New Roman;Times;serif" w:hAnsi="Times New Roman;Times;serif"/>
          <w:sz w:val="20"/>
        </w:rPr>
        <w:t>, when compared to the three and nine months ended September 30, 2024, was mainly due to increases in salaries, employee related costs and stock based compensation for existing employees to remain competitive in the marketplace for talent and new hires. Salaries and employee related costs increased by $0.8 million and $4.0 million during the three and nine months ended September 30, 2025, when compared to the three and nine months ended September 30, 2024, respectively. Employee related stock-based compensation costs increased by $0.8 million and $1.9 million during the three and nine months ended September 30, 2025, when compared to the three and nine months ended September 30, 2024, respectively. Higher costs for materials, consultants and information technology also contributed to the increase in both periods.</w:t>
      </w:r>
    </w:p>
    <w:p>
      <w:pPr>
        <w:pStyle w:val="TextBody"/>
        <w:bidi w:val="0"/>
        <w:spacing w:before="0" w:after="24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anticipate that research and development expenditures will grow in the future as we continue to focus on our technology roadmap and long-term goal of achieving broad quantum advantage.  In the future, we may seek to significantly increase our capital expenditures, including to upgrade our current chip fabrication facility, and possibly invest in a new quantum chip fabrication facility, which would require a significant amount of cash for capital expenditures and increase our depreciation expense in future years. </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$0.1 million and $0.9 million for the three and nine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when compared to the three and nine months ended September 30, 2024, respectively. The increase for the three months ended September 30, 2025 was mainly due to higher costs for stock-based compensation and consulting. The increase for the nine months ended September 30, 2025 was mainly due to higher costs for proxy distribution and solicitation related to our annual meeting during the nine months ended September 30, 2025, when compared to costs for our annual meeting during the nine months ended September 30, 2024, which was driven by the increase in the number of beneficial owners of our common stock. Salaries,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employee related costs and stock-based compensation for existing employees were also higher during the nine months ended September 30, 2025, when compared to the nine months ended September 30, 2024.</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incur additional selling, general and administrative expenses to support the growth of our business. Further, 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Interest expenses decreased by $0.7 million and $2.8 million for the three and nine months ended </w:t>
      </w:r>
      <w:r>
        <w:rPr>
          <w:rFonts w:ascii="Times New Roman;Times;serif" w:hAnsi="Times New Roman;Times;serif"/>
          <w:sz w:val="20"/>
          <w:shd w:fill="FFFFFF" w:val="clear"/>
        </w:rPr>
        <w:t>September 30, 2025</w:t>
      </w:r>
      <w:r>
        <w:rPr>
          <w:rFonts w:ascii="Times New Roman;Times;serif" w:hAnsi="Times New Roman;Times;serif"/>
          <w:sz w:val="20"/>
        </w:rPr>
        <w:t>, when compared to the three and nine months ended September 30, 2024, respectively. The reduction in interest expense was due to the prepayment of our outstanding debt with Trinity Capital Inc. (“Trinity Capital”) in December 2024. A discussion regarding the debt prepayment is included in Note 6 to our condensed consolidated financial statements for the three and nine months ended September 30, 2025, included elsewhere in this Quarterly Report on Form 10-Q.</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$5.6 million and $10.8 million for the three and nine months ended </w:t>
      </w:r>
      <w:r>
        <w:rPr>
          <w:rFonts w:ascii="Times New Roman;Times;serif" w:hAnsi="Times New Roman;Times;serif"/>
          <w:sz w:val="20"/>
          <w:shd w:fill="FFFFFF" w:val="clear"/>
        </w:rPr>
        <w:t>September 30, 2025, respectively, compared to $1.2 million and $3.6 million for the three and nine months ended September 30, 2024, respectively</w:t>
      </w:r>
      <w:r>
        <w:rPr>
          <w:rFonts w:ascii="Times New Roman;Times;serif" w:hAnsi="Times New Roman;Times;serif"/>
          <w:sz w:val="20"/>
        </w:rPr>
        <w:t>. The increase in interest income during the three and nine months ended September, 2025, when compared to the three and nine months ended September 30, 2024, was d</w:t>
      </w:r>
      <w:r>
        <w:rPr>
          <w:rFonts w:ascii="Times New Roman;Times;serif" w:hAnsi="Times New Roman;Times;serif"/>
          <w:sz w:val="20"/>
          <w:shd w:fill="FFFFFF" w:val="clear"/>
        </w:rPr>
        <w:t>ue to an increase in the balances of our invested cash and available-for-sale investments resulting from our equity offerings during late 2024 and the nine months ended September 30, 2025. Fluctuations in the rates of interest earned on our investments</w:t>
      </w:r>
      <w:r>
        <w:rPr>
          <w:rFonts w:ascii="Times New Roman;Times;serif" w:hAnsi="Times New Roman;Times;serif"/>
          <w:sz w:val="20"/>
        </w:rPr>
        <w:t xml:space="preserve"> also had an impact on interest income during these periods.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7 to our condensed consolidated financial statements for the three and nine months ended September 30, 2025, included elsewhere in this Quarterly Report on Form 10-Q. </w:t>
      </w:r>
    </w:p>
    <w:p>
      <w:pPr>
        <w:pStyle w:val="TextBody"/>
        <w:bidi w:val="0"/>
        <w:spacing w:before="0" w:after="240"/>
        <w:ind w:left="0" w:right="0" w:firstLine="54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and nine months ended September 30, 2025 was a loss of $182.0 million and $149.3 million, respectively. </w:t>
      </w:r>
      <w:r>
        <w:rPr>
          <w:rFonts w:ascii="Times New Roman;Times;serif" w:hAnsi="Times New Roman;Times;serif"/>
          <w:color w:val="212529"/>
          <w:sz w:val="20"/>
          <w:shd w:fill="FFFFFF" w:val="clear"/>
        </w:rPr>
        <w:t xml:space="preserve">The change in fair value of our warrant liabilities for the three and nine months ended September 30, 2024 was a gain of $1.2 million and  $0.7 million, respectively. </w:t>
      </w:r>
      <w:r>
        <w:rPr>
          <w:rFonts w:ascii="Times New Roman;Times;serif" w:hAnsi="Times New Roman;Times;serif"/>
          <w:sz w:val="20"/>
        </w:rPr>
        <w:t xml:space="preserve">The change in fair value for the three and nine months ended September 30, 2025 was primarily due to fluctuations in our stock price.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discussion of the change in the fair value of the earn-out liabilities is included in Note 8 to our condensed consolidated financial statements for the three and nine months ended September 30, 2025,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and nine months ended September 30, 2025 was a loss of $4.1 million and a gain of $2.5 million, respectively. T</w:t>
      </w:r>
      <w:r>
        <w:rPr>
          <w:rFonts w:ascii="Times New Roman;Times;serif" w:hAnsi="Times New Roman;Times;serif"/>
          <w:color w:val="212529"/>
          <w:sz w:val="20"/>
          <w:shd w:fill="FFFFFF" w:val="clear"/>
        </w:rPr>
        <w:t>he change in fair value of our earn-out liabilities for the three and nine months ended September 30, 2024 was a gain of $0.8 million and $0.5 million, respectively. </w:t>
      </w:r>
      <w:r>
        <w:rPr>
          <w:rFonts w:ascii="Times New Roman;Times;serif" w:hAnsi="Times New Roman;Times;serif"/>
          <w:sz w:val="20"/>
        </w:rPr>
        <w:t xml:space="preserve"> The change in fair value for the three and nine months ended September 30, 2025 was primarily due to fluctuations in our stock price.</w:t>
      </w:r>
    </w:p>
    <w:p>
      <w:pPr>
        <w:pStyle w:val="TextBody"/>
        <w:bidi w:val="0"/>
        <w:spacing w:before="0" w:after="240"/>
        <w:ind w:left="0" w:right="0" w:firstLine="540"/>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As of September 30, 2025, all of the earn-out liabilities have been satisfied and the remaining liability balance is zero. We do not expect the earn-out liabilities to have any impact on the condensed consolidated financial statements in future periods.</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incurred a cumulative pre-tax loss for the past three years. We expect to continue to incur losses for income tax purposes for the foreseeable future, and will continue to carry a full valuation allowance for our deferred tax assets. Accordingly, we did not record a provision for income taxes for either the three and nine months ended September 30, 2025 or the three and nine months ended September 30, 2024.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July 4, 2025, new federal tax and budget legislation, known as the “One Big Beautiful Bill Act” (“OBBA”) was signed into law. We evaluated the impact of the OBBA during the three months ended September 30, 2025 and determined that its provisions did not have a material impact on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incurred net losses and negative cash flows since inception. Historically, we financed our operations primarily through the sale and issuance of Common Stock, preferred stock, warrants, convertible notes, debt and revenues. During the years ended December 31, 2024 and December 31, 2023, we incurred net losses of $201.0 million and $75.1 million, respectively. We incurred an operating loss for the three and nine months ended September 30, 2025. As of September 30, 2025, we had an accumulated deficit of $752.8 million, and we expect to incur additional losses for the foreseeable future. Subsequent to September 30, 2025 and through November 6, 2025, we received proceeds of $46.5 million from the exercise of Public Warrants.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should be sufficient to meet our anticipated operating cash needs for the next 12 months based on our current business plan, and expectations and assumptions considering current macroeconomic conditions. Our operating plan may change because of factors currently unknown, including factors described herein,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Part I, Item 1A of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 In the future, we may seek to significantly increase our capital expenditures, including to upgrade our current chip fabrication facility, and possibly invest in a new quantum chip fabrication facility, which would require a significant amount of cash for capital expenditures.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With respect to our longer-term future cash requirements, we will require a significant amount of cash for expenditure as we invest in ongoing research and development and business operations, including with respect to the Collaboration Agreement with Quanta, pursuant to which we are required to invest at least $250.0 million in the field of quantum computing in furtherance of our product roadmap over a five year period commencing on February 27, 2025. </w:t>
      </w:r>
    </w:p>
    <w:p>
      <w:pPr>
        <w:pStyle w:val="TextBody"/>
        <w:bidi w:val="0"/>
        <w:spacing w:before="0" w:after="0"/>
        <w:ind w:left="0" w:right="0" w:firstLine="547"/>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Until such time as we can generate significant revenue from sales of QPUs, our development contracts and other services, including our QCaaS offering, we believe we will meet our cash requirements and obligations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In addition, the likelihood that Public Warrant holders will exercise their warrants, and therefore the amount of cash proceeds that we would receive, is dependent upon the trading price of our Common Stock. If the trading price for our Common Stock is less than $11.50 per share, we believe holders of our Public Warrants will be unlikely to exercise their warrants. To the extent our warrants are exercised, additional shares of Common Stock will be issued, which will result in dilution to the holders of our Common Stock and increase the number of shares eligible for resale in the public market.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2024, as updated under Part II “Item 1A. Risk Factors” and elsewhere in this Quarterly Report on Form 10-Q.</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Macroeconomic conditions, including inflation, interest rates and impacts from government policy and actions, such as international trade restrictions and policies and tariffs, may have adverse consequences, which may result in an economic recession globally or in the U.S., which could lead to a reduction in product demand, a decrease in corporate capital expenditures, prolonged unemployment, labors shortages, reduction in consumer confidence, adverse geopolitical and macroeconomic events, or any similar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negative economic condition. In addition, macroeconomic and geopolitical conditions may lead to disruptions to, and volatility and uncertainty in, the credit and financial markets in the U.S. and worldwide.</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nine months ended September 30, 2025 was $43.6 million, primarily resulting from our net loss of $198.0 million, partially offset by non-cash expenses totaling $158.7 million. Changes in operating assets and liabilities had a $4.3 million negative impact on net cash used in operating activities during nine months ended September 30, 2025.</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nine months ended September 30, 2024 was $42.1 million, primarily resulting from our net loss of $48.0 million, partially offset by non-cash expenses totaling $13.2 million. Changes in operating assets and liabilities had a $7.2 million negative impact on net cash used in operating activities during the nine months ended September 30, 2024.</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$1.5 million to $43.6 million </w:t>
      </w:r>
      <w:r>
        <w:rPr>
          <w:rFonts w:ascii="Times New Roman;Times;serif" w:hAnsi="Times New Roman;Times;serif"/>
          <w:sz w:val="20"/>
        </w:rPr>
        <w:t>during the nine months ended September 30, 2025</w:t>
      </w:r>
      <w:r>
        <w:rPr>
          <w:rFonts w:ascii="Times New Roman;Times;serif" w:hAnsi="Times New Roman;Times;serif"/>
          <w:sz w:val="20"/>
          <w:shd w:fill="FFFFFF" w:val="clear"/>
        </w:rPr>
        <w:t xml:space="preserve">, from $42.1 million during the nine months ended September 30, 2024. The $150.0 million increase in our net loss for the nine months ended September 30, 2025, when compared to our net loss for the nine months ended September 30, 2024, was mostly due to the non-cash change in the fair value of our derivative warrant liabilities. Non-cash expenses impacting our net loss increased by $145.5 million to $158.7 million during the nine months ended September 30, 2025, when compared to the nine months ended September 30, 2024. Operating assets and liabilities had a $2.9 million favorable impact on the change in cash used in operating activities during the </w:t>
      </w:r>
      <w:r>
        <w:rPr>
          <w:rFonts w:ascii="Times New Roman;Times;serif" w:hAnsi="Times New Roman;Times;serif"/>
          <w:sz w:val="20"/>
        </w:rPr>
        <w:t>nine months ended September 30, 2025</w:t>
      </w:r>
      <w:r>
        <w:rPr>
          <w:rFonts w:ascii="Times New Roman;Times;serif" w:hAnsi="Times New Roman;Times;serif"/>
          <w:sz w:val="20"/>
          <w:shd w:fill="FFFFFF" w:val="clear"/>
        </w:rPr>
        <w:t xml:space="preserve">, when compared to the </w:t>
      </w:r>
      <w:r>
        <w:rPr>
          <w:rFonts w:ascii="Times New Roman;Times;serif" w:hAnsi="Times New Roman;Times;serif"/>
          <w:sz w:val="20"/>
        </w:rPr>
        <w:t>nine months ended September 30, 2024</w:t>
      </w:r>
      <w:r>
        <w:rPr>
          <w:rFonts w:ascii="Times New Roman;Times;serif" w:hAnsi="Times New Roman;Times;serif"/>
          <w:sz w:val="20"/>
          <w:shd w:fill="FFFFFF" w:val="clear"/>
        </w:rPr>
        <w:t>.</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the nine months ended September 30, 2025 totaled $389.7 million, resulting from $522.6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$14.1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 partially offset by $147.0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used in investing activities during the </w:t>
      </w:r>
      <w:r>
        <w:rPr>
          <w:rFonts w:ascii="Times New Roman;Times;serif" w:hAnsi="Times New Roman;Times;serif"/>
          <w:sz w:val="20"/>
          <w:shd w:fill="FFFFFF" w:val="clear"/>
        </w:rPr>
        <w:t>nine months ended September 30, 2024 </w:t>
      </w:r>
      <w:r>
        <w:rPr>
          <w:rFonts w:ascii="Times New Roman;Times;serif" w:hAnsi="Times New Roman;Times;serif"/>
          <w:sz w:val="20"/>
        </w:rPr>
        <w:t>totaled $0.8 million, resulting from $98.5 </w:t>
      </w:r>
      <w:r>
        <w:rPr>
          <w:rFonts w:ascii="Times New Roman;Times;serif" w:hAnsi="Times New Roman;Times;serif"/>
          <w:sz w:val="20"/>
          <w:shd w:fill="FFFFFF" w:val="clear"/>
        </w:rPr>
        <w:t>million</w:t>
      </w:r>
      <w:r>
        <w:rPr>
          <w:rFonts w:ascii="Times New Roman;Times;serif" w:hAnsi="Times New Roman;Times;serif"/>
          <w:sz w:val="20"/>
        </w:rPr>
        <w:t> of purchases of available-for-sale securities and $9.8 </w:t>
      </w:r>
      <w:r>
        <w:rPr>
          <w:rFonts w:ascii="Times New Roman;Times;serif" w:hAnsi="Times New Roman;Times;serif"/>
          <w:sz w:val="20"/>
          <w:shd w:fill="FFFFFF" w:val="clear"/>
        </w:rPr>
        <w:t>million</w:t>
      </w:r>
      <w:r>
        <w:rPr>
          <w:rFonts w:ascii="Times New Roman;Times;serif" w:hAnsi="Times New Roman;Times;serif"/>
          <w:sz w:val="20"/>
        </w:rPr>
        <w:t> of purchases of property and equipment, offset in part by $107.5 </w:t>
      </w:r>
      <w:r>
        <w:rPr>
          <w:rFonts w:ascii="Times New Roman;Times;serif" w:hAnsi="Times New Roman;Times;serif"/>
          <w:sz w:val="20"/>
          <w:shd w:fill="FFFFFF" w:val="clear"/>
        </w:rPr>
        <w:t>million</w:t>
      </w:r>
      <w:r>
        <w:rPr>
          <w:rFonts w:ascii="Times New Roman;Times;serif" w:hAnsi="Times New Roman;Times;serif"/>
          <w:sz w:val="20"/>
        </w:rPr>
        <w:t> of maturities of available-for-sale securities</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shd w:fill="FFFFFF" w:val="clear"/>
        </w:rPr>
      </w:pPr>
      <w:r>
        <w:rPr>
          <w:shd w:fill="FFFFFF" w:val="clea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Net cash used in investing activities during the nine months ended September 30, 2025 increased by $388.9 million when compared to the nine months ended September 30, 2024, primarily due to investment of proceeds from our $350.0 million ATM offering, resulting in higher purchases of </w:t>
      </w:r>
      <w:r>
        <w:rPr>
          <w:rFonts w:ascii="Times New Roman;Times;serif" w:hAnsi="Times New Roman;Times;serif"/>
          <w:sz w:val="20"/>
        </w:rPr>
        <w:t xml:space="preserve">available-for-sale securities. </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w:t>
      </w:r>
      <w:r>
        <w:rPr>
          <w:rFonts w:ascii="Times New Roman;Times;serif" w:hAnsi="Times New Roman;Times;serif"/>
          <w:sz w:val="20"/>
          <w:shd w:fill="FFFFFF" w:val="clear"/>
        </w:rPr>
        <w:t xml:space="preserve">nine months ended September 30, 2025 </w:t>
      </w:r>
      <w:r>
        <w:rPr>
          <w:rFonts w:ascii="Times New Roman;Times;serif" w:hAnsi="Times New Roman;Times;serif"/>
          <w:sz w:val="20"/>
        </w:rPr>
        <w:t>totaled $391.9 million. We received net proceeds of $346.7 million from the sale of 30,309,780 shares of common stock pursuant to our ATM program that was completed during the nine months ended September 30, 2025. We received proceeds of $35.0 million from the sale of 3,020,412 shares of common stock from the private placement transaction with Quanta. We received proceeds of $6.3 million from tax withholdings on sell-to-cover equity award transactions, proceeds of $1.8 million from the exercise of stock options and proceeds of $3.0 million from the exercise of warrants. We also paid $0.9 million for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during the </w:t>
      </w:r>
      <w:r>
        <w:rPr>
          <w:rFonts w:ascii="Times New Roman;Times;serif" w:hAnsi="Times New Roman;Times;serif"/>
          <w:sz w:val="20"/>
          <w:shd w:fill="FFFFFF" w:val="clear"/>
        </w:rPr>
        <w:t>nine months ended September 30, 2024 </w:t>
      </w:r>
      <w:r>
        <w:rPr>
          <w:rFonts w:ascii="Times New Roman;Times;serif" w:hAnsi="Times New Roman;Times;serif"/>
          <w:sz w:val="20"/>
        </w:rPr>
        <w:t>totaled $41.8 million. We received net proceeds of $12.8 million from the sale of 10,056,799 shares of common stock to B. Riley through our prior Purchase Agreement and net proceeds of $38.8 million from the sale of 30,718,121 shares of common stock pursuant to our prior ATM program. Proceeds from the sale of common stock were offset in part by principal payments of $9.5 million under the Amended Loan Agreement with Trinity Capital and payments of $0.5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increased by $350.1 million during the</w:t>
      </w:r>
      <w:r>
        <w:rPr>
          <w:rFonts w:ascii="Times New Roman;Times;serif" w:hAnsi="Times New Roman;Times;serif"/>
          <w:sz w:val="20"/>
          <w:shd w:fill="FFFFFF" w:val="clear"/>
        </w:rPr>
        <w:t xml:space="preserve"> nine months </w:t>
      </w:r>
      <w:r>
        <w:rPr>
          <w:rFonts w:ascii="Times New Roman;Times;serif" w:hAnsi="Times New Roman;Times;serif"/>
          <w:sz w:val="20"/>
        </w:rPr>
        <w:t xml:space="preserve">ended September 30, 2025, when compared to the </w:t>
      </w:r>
      <w:r>
        <w:rPr>
          <w:rFonts w:ascii="Times New Roman;Times;serif" w:hAnsi="Times New Roman;Times;serif"/>
          <w:sz w:val="20"/>
          <w:shd w:fill="FFFFFF" w:val="clear"/>
        </w:rPr>
        <w:t xml:space="preserve">nine months </w:t>
      </w:r>
      <w:r>
        <w:rPr>
          <w:rFonts w:ascii="Times New Roman;Times;serif" w:hAnsi="Times New Roman;Times;serif"/>
          <w:sz w:val="20"/>
        </w:rPr>
        <w:t xml:space="preserve">ended September 30, 2024. The increase was primarily due to the $346.7 million of net proceeds we received from our $350.0 million ATM offering completed in June 2025. Other factors favorably impacting the increase in cash provided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financing activities during the nine months ended September 30, 2025, when compared to the nine months ended September 30, 2024, include proceeds of $35.0 million from the sale of common stock to Quanta, $6.3 million from tax withholdings on sell-to-cover equity award transactions, $4.8 million from stock option and warrant exercises and a $9.5 million reduction in payments of principal of notes payable due to the prepayment of our outstanding debt with Trinity Capital in December 2024. These increases were offset in part by proceeds of $51.7 million from sales of common stock during the nine months ended September 30, 2024.</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 and Contingencies</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16 to our unaudited interim condensed consolidated financial statements located in “Part I – Financial Information, Item 1. Notes to Condensed Consolidated Financial Statements” in this Quarterly Report for a description of our contractual obligations and contingencies.</w:t>
      </w:r>
    </w:p>
    <w:p>
      <w:pPr>
        <w:pStyle w:val="TextBody"/>
        <w:bidi w:val="0"/>
        <w:spacing w:before="0" w:after="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bidi w:val="0"/>
        <w:spacing w:before="0" w:after="240"/>
        <w:ind w:left="0" w:right="0" w:hanging="0"/>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shd w:fill="FFFFFF" w:val="clear"/>
        <w:bidi w:val="0"/>
        <w:spacing w:before="0" w:after="0"/>
        <w:ind w:left="0" w:right="0" w:firstLine="518"/>
        <w:jc w:val="both"/>
        <w:rPr/>
      </w:pPr>
      <w:r>
        <w:rPr/>
        <w:t>​</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There have been no material changes to our critical accounting estimates from those described under “Management’s Discussion and Analysis of Financial Condition and Results of Operations” in our Annual Report on Form 10-K for the year ended December 31, 2024. </w:t>
      </w:r>
    </w:p>
    <w:p>
      <w:pPr>
        <w:pStyle w:val="TextBody"/>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Critical accounting estimates are defined as those reflective of significant judgments, estimates and uncertainties, which may result in materially different results under different assumptions and conditions. Within our Annual Report on Form 10-K for the year ended December 31, 2024,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three and nine month periods ended September 30, 2025 included elsewhere in this Quarterly Report on Form 10-Q.</w:t>
      </w:r>
    </w:p>
    <w:p>
      <w:pPr>
        <w:pStyle w:val="TextBody"/>
        <w:bidi w:val="0"/>
        <w:spacing w:before="0" w:after="240"/>
        <w:ind w:left="0" w:right="0" w:firstLine="54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(“EGC”)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EGC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currently a “smaller reporting company” as defined in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determined as of June 30, 2025, the last business day of our second fiscal quarter in 2025, that we will no longer qualify as a smaller reporting company and will no longer be eligible to take advantage of the scaled disclosures available to smaller reporting companies beginning with our Quarterly Report on Form 10-Q for the first quarter of 2026. On August 27, 2025, the staff of the SEC published new guidance regarding filer status transition for certain smaller reporting companies that no longer qualify as a smaller reporting company. Based on this guidance, the Company has determined that it will be a “non-accelerated filer” as of December 31, 2025 for filings that are due in 2026. Based on the current rules of the SEC, the Company expects that it will continue to qualify as an EGC until December 31, 2026.</w:t>
      </w:r>
    </w:p>
    <w:p>
      <w:pPr>
        <w:pStyle w:val="TextBody"/>
        <w:bidi w:val="0"/>
        <w:spacing w:before="0" w:after="240"/>
        <w:ind w:left="0" w:right="0" w:hanging="0"/>
        <w:jc w:val="left"/>
        <w:rPr>
          <w:rFonts w:ascii="Times New Roman;Times;serif" w:hAnsi="Times New Roman;Times;serif"/>
          <w:b/>
          <w:sz w:val="20"/>
        </w:rPr>
      </w:pPr>
      <w:bookmarkStart w:id="1620" w:name="ITEM3QUANTITATIVEANDQUALITATIVEDISCLOSUR"/>
      <w:bookmarkStart w:id="1621" w:name="_48800f31_9c50_4889_832f_aa9847b063e7"/>
      <w:bookmarkEnd w:id="1620"/>
      <w:bookmarkEnd w:id="1621"/>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22" w:name="ITEM4CONTROLSANDPROCEDURES_496417"/>
      <w:bookmarkStart w:id="1623" w:name="_e4372637_f9de_4d81_a1b6_d39e428e8edf"/>
      <w:bookmarkEnd w:id="1622"/>
      <w:bookmarkEnd w:id="1623"/>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September 30, 2025. Based on the evaluation of our disclosure controls and procedures, our principal executive officer and principal financial officer concluded that, as of September 30, 2025, our disclosure controls and procedures were effective at a reasonable assurance level.</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were no material changes in our internal control over financial reporting that occurred during the quarter ended September 30, 2025 that materially affected, or are reasonably likely to materially affect, our internal control over financial reporting.</w:t>
      </w:r>
    </w:p>
    <w:p>
      <w:pPr>
        <w:pStyle w:val="TextBody"/>
        <w:bidi w:val="0"/>
        <w:spacing w:before="0" w:after="240"/>
        <w:ind w:left="0" w:right="0" w:firstLine="547"/>
        <w:jc w:val="both"/>
        <w:rPr/>
      </w:pPr>
      <w:r>
        <w:rPr/>
        <w:t>​</w:t>
      </w:r>
    </w:p>
    <w:p>
      <w:pPr>
        <w:pStyle w:val="TextBody"/>
        <w:bidi w:val="0"/>
        <w:spacing w:before="0" w:after="120"/>
        <w:ind w:left="0" w:right="0" w:hanging="0"/>
        <w:jc w:val="center"/>
        <w:rPr>
          <w:rFonts w:ascii="Times New Roman;Times;serif" w:hAnsi="Times New Roman;Times;serif"/>
          <w:b/>
          <w:sz w:val="20"/>
        </w:rPr>
      </w:pPr>
      <w:bookmarkStart w:id="1624" w:name="PARTIIOTHERINFORMATION_588959"/>
      <w:bookmarkStart w:id="1625" w:name="_7232825e_aaf9_41a5_a3f7_faebfc70d8d4"/>
      <w:bookmarkEnd w:id="1624"/>
      <w:bookmarkEnd w:id="1625"/>
      <w:r>
        <w:rPr>
          <w:rFonts w:ascii="Times New Roman;Times;serif" w:hAnsi="Times New Roman;Times;serif"/>
          <w:b/>
          <w:sz w:val="20"/>
        </w:rPr>
        <w:t>PART II. OTHER INFORMATION</w:t>
      </w:r>
    </w:p>
    <w:p>
      <w:pPr>
        <w:pStyle w:val="TextBody"/>
        <w:bidi w:val="0"/>
        <w:spacing w:before="0" w:after="120"/>
        <w:ind w:left="0" w:right="0" w:hanging="0"/>
        <w:jc w:val="both"/>
        <w:rPr>
          <w:rFonts w:ascii="Times New Roman;Times;serif" w:hAnsi="Times New Roman;Times;serif"/>
          <w:b/>
          <w:sz w:val="20"/>
        </w:rPr>
      </w:pPr>
      <w:bookmarkStart w:id="1626" w:name="ITEM1LEGALPROCEEDINGS_241174"/>
      <w:bookmarkEnd w:id="1626"/>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bookmarkStart w:id="1627" w:name="ITEM1ARISKFACTORS_372875"/>
      <w:bookmarkStart w:id="1628" w:name="_ce502aad_e0d0_458e_abba_eca40cf5659f"/>
      <w:bookmarkEnd w:id="1627"/>
      <w:bookmarkEnd w:id="1628"/>
      <w:r>
        <w:rPr>
          <w:rFonts w:ascii="Times New Roman;Times;serif" w:hAnsi="Times New Roman;Times;serif"/>
          <w:b/>
          <w:sz w:val="20"/>
        </w:rPr>
        <w:t>ITEM 1A.  RISK FACTORS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shd w:fill="FFFFFF" w:val="clear"/>
        </w:rPr>
        <w:t xml:space="preserve">In addition to the other information set forth in this report, you should carefully consider the risk factors discussed in Part I “Item 1A. Risk Factors” in our Annual Report on Form 10-K for the year ended December 31, 2024 (the “2024 Form 10-K Risk Factors”) </w:t>
      </w:r>
      <w:r>
        <w:rPr>
          <w:rFonts w:ascii="Times New Roman;Times;serif" w:hAnsi="Times New Roman;Times;serif"/>
          <w:color w:val="212529"/>
          <w:sz w:val="20"/>
          <w:shd w:fill="FFFFFF" w:val="clear"/>
        </w:rPr>
        <w:t>for a more complete understanding of the risks and uncertainties material to our business</w:t>
      </w:r>
      <w:r>
        <w:rPr>
          <w:rFonts w:ascii="Times New Roman;Times;serif" w:hAnsi="Times New Roman;Times;serif"/>
          <w:sz w:val="20"/>
          <w:shd w:fill="FFFFFF" w:val="clear"/>
        </w:rPr>
        <w:t xml:space="preserve"> that make an investment in our securities speculative or risky. There have been no material changes to our risk factors as previously disclosed in the 2024 Form 10-K Risk Factors, except as follows:</w:t>
      </w:r>
    </w:p>
    <w:p>
      <w:pPr>
        <w:pStyle w:val="TextBody"/>
        <w:bidi w:val="0"/>
        <w:spacing w:before="0" w:after="0"/>
        <w:ind w:left="0" w:right="0" w:firstLine="547"/>
        <w:jc w:val="both"/>
        <w:rPr>
          <w:shd w:fill="FFFFFF" w:val="clear"/>
        </w:rPr>
      </w:pPr>
      <w:r>
        <w:rPr>
          <w:shd w:fill="FFFFFF" w:val="clear"/>
        </w:rPr>
        <w:t>​</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currently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proxy statements, and exemptions from the requirements of holding a nonbinding advisory vote on executive compensation and shareholder approval of any golden parachute payments not previously approved.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our shareholders may not have access to certain information they may deem important. We do not know if investors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determined that as of June 30, 2025, the last business day of our second fiscal quarter in 2025, under the current rules of the SEC, we will no longer qualify as a smaller reporting company and will no longer be eligible to take advantage of the scaled disclosures available to smaller reporting companies beginning with our Quarterly Report on Form 10-Q for the first quarter of 2026. </w:t>
      </w:r>
      <w:r>
        <w:rPr>
          <w:rFonts w:ascii="Times New Roman;Times;serif" w:hAnsi="Times New Roman;Times;serif"/>
          <w:sz w:val="20"/>
          <w:shd w:fill="FFFFFF" w:val="clear"/>
        </w:rPr>
        <w:t xml:space="preserve">We expect that the loss of SRC status and eligibility to take advantage of the scaled disclosures will result in increased legal, accounting and financial compliance costs. </w:t>
      </w:r>
    </w:p>
    <w:p>
      <w:pPr>
        <w:pStyle w:val="TextBody"/>
        <w:bidi w:val="0"/>
        <w:spacing w:before="0" w:after="240"/>
        <w:ind w:left="0" w:right="0" w:firstLine="547"/>
        <w:jc w:val="both"/>
        <w:rPr>
          <w:shd w:fill="FFFFFF" w:val="clear"/>
        </w:rPr>
      </w:pPr>
      <w:r>
        <w:rPr>
          <w:shd w:fill="FFFFFF" w:val="clear"/>
        </w:rPr>
        <w:t>​</w:t>
      </w:r>
    </w:p>
    <w:p>
      <w:pPr>
        <w:pStyle w:val="TextBody"/>
        <w:bidi w:val="0"/>
        <w:spacing w:before="0" w:after="240"/>
        <w:ind w:left="0" w:right="0" w:firstLine="547"/>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warrants are exercisable for Common Stock, the exercise of which would increase the number of shares eligible for future resale in the public market and result in dilution to our stockholders.</w:t>
      </w:r>
    </w:p>
    <w:p>
      <w:pPr>
        <w:pStyle w:val="TextBody"/>
        <w:bidi w:val="0"/>
        <w:spacing w:before="0" w:after="24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As of September 30, 2025, the following warrants were outstanding: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Public Warrants and Private Warrants to purchase an aggregate of 12,814,060 shares of Common Stock with an exercise price of $11.50 per share.</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Series C Warrants (as defined herein) to purchase 777,118 shares of Common Stock with an exercise price of $0.01.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Customer Warrant (as defined herein) to purchase an aggregate of 2,680,607 shares of Common Stock with an exercise price of $1.152 per share.</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Subsequent to September 30, 2025 and through November 6, 2025, the Company received proceeds of $46.5 million from the exercise of 4,042,099 Public Warrants. As a result, Public Warrants and Private Warrants to purchase an aggregate of 8,771,961 shares of Common Stock with an exercise price of $11.50 per share were outstanding as of November 6, 2025. </w:t>
      </w:r>
    </w:p>
    <w:p>
      <w:pPr>
        <w:pStyle w:val="TextBody"/>
        <w:bidi w:val="0"/>
        <w:spacing w:before="0" w:after="240"/>
        <w:ind w:left="0" w:right="0" w:firstLine="634"/>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To the extent the aforementioned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November 6, 2025, the last reported sales price of our Common Stock was $34.36 per share.</w:t>
      </w:r>
    </w:p>
    <w:p>
      <w:pPr>
        <w:pStyle w:val="TextBody"/>
        <w:bidi w:val="0"/>
        <w:spacing w:before="0" w:after="240"/>
        <w:ind w:left="0" w:right="0" w:firstLine="547"/>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Sales of substantial shares in the public market or the fact that warrants may be exercised could adversely affect the market price of our Common Stock.  There is no guarantee that the Public Warrants or Private Warrants will stay in the money prior to their expiration, and as such, the warrants may expire worthless.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bookmarkStart w:id="1629" w:name="ITEM2UNREGISTEREDSALESOFEQUITYSECURITIES"/>
      <w:bookmarkStart w:id="1630" w:name="_85eef377_6f5a_4e49_9e0b_f09a70c3dfde"/>
      <w:bookmarkEnd w:id="1629"/>
      <w:bookmarkEnd w:id="1630"/>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631" w:name="ITEM3DEFAULTSUPONSENIORSECURITIES_579171"/>
      <w:bookmarkStart w:id="1632" w:name="_224f2b62_efb7_4621_8c39_94db9eb49622"/>
      <w:bookmarkEnd w:id="1631"/>
      <w:bookmarkEnd w:id="1632"/>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633" w:name="ITEM4MINESAFETYDISCLOSURES_518433"/>
      <w:bookmarkStart w:id="1634" w:name="_3a8e7043_c21c_4a9d_95ed_760006da3b12"/>
      <w:bookmarkEnd w:id="1633"/>
      <w:bookmarkEnd w:id="1634"/>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635" w:name="ITEM5OTHERINFORMATION_693016"/>
      <w:bookmarkStart w:id="1636" w:name="_7c74b5f4_2e1c_4c82_af20_8f82cf6b9c2c"/>
      <w:bookmarkEnd w:id="1635"/>
      <w:bookmarkEnd w:id="1636"/>
      <w:r>
        <w:rPr>
          <w:rFonts w:ascii="Times New Roman;Times;serif" w:hAnsi="Times New Roman;Times;serif"/>
          <w:b/>
          <w:sz w:val="20"/>
        </w:rPr>
        <w:t xml:space="preserve">ITEM 5. OTHER INFORMATION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During the three months ended September 30, 2025, none of our directors or officers (as defined in Rule 16a-1(f) promulgated under the Exchange Act) adopted or terminated any “Rule 10b5-1 trading arrangement” or “non-Rule 10b5-1 trading arrangement” (as each term is defined in Item 408 of Regulation S-K).</w:t>
      </w:r>
    </w:p>
    <w:p>
      <w:pPr>
        <w:pStyle w:val="TextBody"/>
        <w:bidi w:val="0"/>
        <w:spacing w:before="0" w:after="240"/>
        <w:ind w:left="0" w:right="0" w:firstLine="54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637" w:name="ITEM6EXHIBITS_411089"/>
      <w:bookmarkStart w:id="1638" w:name="_a5c5bd28_a2f9_4ed0_8e77_183805a95ca8"/>
      <w:bookmarkEnd w:id="1637"/>
      <w:bookmarkEnd w:id="1638"/>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691"/>
        <w:gridCol w:w="326"/>
        <w:gridCol w:w="4735"/>
        <w:gridCol w:w="326"/>
        <w:gridCol w:w="481"/>
        <w:gridCol w:w="326"/>
        <w:gridCol w:w="699"/>
        <w:gridCol w:w="326"/>
        <w:gridCol w:w="616"/>
        <w:gridCol w:w="326"/>
        <w:gridCol w:w="1353"/>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38785" cy="175260"/>
                      <wp:effectExtent l="0" t="0" r="0" b="0"/>
                      <wp:wrapNone/>
                      <wp:docPr id="305" name="Frame30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006725" cy="175260"/>
                      <wp:effectExtent l="0" t="0" r="0" b="0"/>
                      <wp:wrapNone/>
                      <wp:docPr id="306" name="Frame306"/>
                      <a:graphic xmlns:a="http://schemas.openxmlformats.org/drawingml/2006/main">
                        <a:graphicData uri="http://schemas.microsoft.com/office/word/2010/wordprocessingShape">
                          <wps:wsp>
                            <wps:cNvSpPr txBox="1"/>
                            <wps:spPr>
                              <a:xfrm>
                                <a:off x="0" y="0"/>
                                <a:ext cx="300672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05435" cy="175260"/>
                      <wp:effectExtent l="0" t="0" r="0" b="0"/>
                      <wp:wrapNone/>
                      <wp:docPr id="307" name="Frame30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43865" cy="175260"/>
                      <wp:effectExtent l="0" t="0" r="0" b="0"/>
                      <wp:wrapNone/>
                      <wp:docPr id="308" name="Frame30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91160" cy="175260"/>
                      <wp:effectExtent l="0" t="0" r="0" b="0"/>
                      <wp:wrapNone/>
                      <wp:docPr id="309" name="Frame30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center"/>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859155" cy="175260"/>
                      <wp:effectExtent l="0" t="0" r="0" b="0"/>
                      <wp:wrapNone/>
                      <wp:docPr id="310" name="Frame310"/>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509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0"/>
        <w:gridCol w:w="109"/>
        <w:gridCol w:w="8408"/>
        <w:gridCol w:w="109"/>
        <w:gridCol w:w="109"/>
        <w:gridCol w:w="109"/>
        <w:gridCol w:w="109"/>
        <w:gridCol w:w="109"/>
        <w:gridCol w:w="109"/>
        <w:gridCol w:w="109"/>
        <w:gridCol w:w="155"/>
      </w:tblGrid>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hyperlink w:anchor="rgti-202509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9" w:name="SIGNATURES_680104"/>
      <w:bookmarkStart w:id="1640" w:name="_a7c005fc_bceb_4b5f_9e92_3631cdaa2d57"/>
      <w:bookmarkEnd w:id="1639"/>
      <w:bookmarkEnd w:id="1640"/>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467" w:type="dxa"/>
        <w:jc w:val="left"/>
        <w:tblInd w:w="0" w:type="dxa"/>
        <w:tblLayout w:type="fixed"/>
        <w:tblCellMar>
          <w:top w:w="0" w:type="dxa"/>
          <w:left w:w="0" w:type="dxa"/>
          <w:bottom w:w="0" w:type="dxa"/>
          <w:right w:w="0" w:type="dxa"/>
        </w:tblCellMar>
      </w:tblPr>
      <w:tblGrid>
        <w:gridCol w:w="2266"/>
        <w:gridCol w:w="720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38910" cy="175260"/>
                      <wp:effectExtent l="0" t="0" r="0" b="0"/>
                      <wp:wrapNone/>
                      <wp:docPr id="311" name="Frame31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572635" cy="175260"/>
                      <wp:effectExtent l="0" t="0" r="0" b="0"/>
                      <wp:wrapNone/>
                      <wp:docPr id="312" name="Frame312"/>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22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10, 2025</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bookmarkStart w:id="1641" w:name="rgti-20250930xex31d1.htm"/>
      <w:bookmarkStart w:id="1642" w:name="ksrgti20250930xex31d1"/>
      <w:bookmarkEnd w:id="1641"/>
      <w:bookmarkEnd w:id="164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477" w:type="dxa"/>
        <w:jc w:val="center"/>
        <w:tblInd w:w="0" w:type="dxa"/>
        <w:tblLayout w:type="fixed"/>
        <w:tblCellMar>
          <w:top w:w="0" w:type="dxa"/>
          <w:left w:w="0" w:type="dxa"/>
          <w:bottom w:w="0" w:type="dxa"/>
          <w:right w:w="0" w:type="dxa"/>
        </w:tblCellMar>
      </w:tblPr>
      <w:tblGrid>
        <w:gridCol w:w="2266"/>
        <w:gridCol w:w="3211"/>
      </w:tblGrid>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10, 2025</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43" w:name="rgti-20250930xex31d2.htm"/>
      <w:bookmarkStart w:id="1644" w:name="ksrgti20250930xex31d2"/>
      <w:bookmarkEnd w:id="1643"/>
      <w:bookmarkEnd w:id="164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322" w:type="dxa"/>
        <w:jc w:val="center"/>
        <w:tblInd w:w="0" w:type="dxa"/>
        <w:tblLayout w:type="fixed"/>
        <w:tblCellMar>
          <w:top w:w="0" w:type="dxa"/>
          <w:left w:w="0" w:type="dxa"/>
          <w:bottom w:w="0" w:type="dxa"/>
          <w:right w:w="0" w:type="dxa"/>
        </w:tblCellMar>
      </w:tblPr>
      <w:tblGrid>
        <w:gridCol w:w="2266"/>
        <w:gridCol w:w="2056"/>
      </w:tblGrid>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10, 2025</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45" w:name="rgti-20250930xex32d1.htm"/>
      <w:bookmarkStart w:id="1646" w:name="ksrgti20250930xex32d1"/>
      <w:bookmarkEnd w:id="1645"/>
      <w:bookmarkEnd w:id="1646"/>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September 30, 2025, to which this Certification is attached as Exhibit 32.1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November 10,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WITNESS WHEREOF, the undersigned have set their hands hereto as of the 10th day of November, 2025.</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10,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47" w:name="rgti-20250930xex32d2.htm"/>
      <w:bookmarkStart w:id="1648" w:name="ksrgti20250930xex32d2"/>
      <w:bookmarkEnd w:id="1647"/>
      <w:bookmarkEnd w:id="1648"/>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September 30, 2025, to which this Certification is attached as Exhibit 32.2 (the “Periodic Report”), fully complies with the requirements of Section 13(a) or 15(d) of the Exchange Act;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November 10,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10th day of November, 2025.</w:t>
      </w:r>
    </w:p>
    <w:p>
      <w:pPr>
        <w:pStyle w:val="TextBody"/>
        <w:bidi w:val="0"/>
        <w:spacing w:before="0" w:after="0"/>
        <w:ind w:left="0" w:right="0" w:hanging="0"/>
        <w:jc w:val="left"/>
        <w:rPr/>
      </w:pPr>
      <w:r>
        <w:rPr/>
        <w:t>​</w:t>
      </w:r>
    </w:p>
    <w:tbl>
      <w:tblPr>
        <w:tblW w:w="2135" w:type="dxa"/>
        <w:jc w:val="lef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10,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Roman">
    <w:altName w:val="Times New Roman"/>
    <w:charset w:val="01"/>
    <w:family w:val="auto"/>
    <w:pitch w:val="default"/>
  </w:font>
  <w:font w:name="Aptos Narrow">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25081</Words>
  <Characters>138617</Characters>
  <CharactersWithSpaces>165793</CharactersWithSpaces>
  <Paragraphs>6219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