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Rivas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RIGETTI COMPUTING,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775 HEINZ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94710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Rigetti Computing, Inc.</w:t>
              </w:r>
            </w:hyperlink>
            <w:r>
              <w:rPr/>
              <w:t xml:space="preserve"> [ </w:t>
            </w:r>
            <w:r>
              <w:rPr>
                <w:rFonts w:ascii="Times;serif" w:hAnsi="Times;serif"/>
                <w:color w:val="0000FF"/>
                <w:sz w:val="24"/>
                <w:shd w:fill="FFFFFF" w:val="clear"/>
              </w:rPr>
              <w:t>RGTI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16.7885</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316,907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row represent nondiscretionary sales of shares required to be sold by the Reporting Person pursuant to sell to cover transactions to satisfy tax withholding obligations in connection with the settlement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$16.63 to $16.965,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Bertelsen,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0690" TargetMode="External"/><Relationship Id="rId5" Type="http://schemas.openxmlformats.org/officeDocument/2006/relationships/hyperlink" Target="http://www.sec.gov/cgi-bin/browse-edgar?action=getcompany&amp;CIK=00018383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3705</Characters>
  <CharactersWithSpaces>4315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