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jc w:val="center"/>
        <w:ind w:left="3920" w:right="1120" w:hanging="2789"/>
        <w:spacing w:after="0" w:line="429" w:lineRule="auto"/>
        <w:tabs>
          <w:tab w:leader="none" w:pos="1322" w:val="left"/>
        </w:tabs>
        <w:numPr>
          <w:ilvl w:val="1"/>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29" w:lineRule="exact"/>
        <w:rPr>
          <w:rFonts w:ascii="MS PGothic" w:cs="MS PGothic" w:eastAsia="MS PGothic" w:hAnsi="MS PGothic"/>
          <w:sz w:val="18"/>
          <w:szCs w:val="18"/>
          <w:color w:val="auto"/>
          <w:highlight w:val="black"/>
        </w:rPr>
      </w:pPr>
    </w:p>
    <w:p>
      <w:pPr>
        <w:ind w:left="1140" w:hanging="197"/>
        <w:spacing w:after="0"/>
        <w:tabs>
          <w:tab w:leader="none" w:pos="11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92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3962400</wp:posOffset>
            </wp:positionH>
            <wp:positionV relativeFrom="paragraph">
              <wp:posOffset>-7620</wp:posOffset>
            </wp:positionV>
            <wp:extent cx="57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001-40140</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SUPERNOVA PARTNERS ACQUISITION COMPANY II, LTD.</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60" w:type="dxa"/>
            <w:vAlign w:val="bottom"/>
            <w:tcBorders>
              <w:bottom w:val="single" w:sz="8" w:color="auto"/>
            </w:tcBorders>
          </w:tcPr>
          <w:p>
            <w:pPr>
              <w:spacing w:after="0"/>
              <w:rPr>
                <w:sz w:val="22"/>
                <w:szCs w:val="22"/>
                <w:color w:val="auto"/>
              </w:rPr>
            </w:pPr>
          </w:p>
        </w:tc>
        <w:tc>
          <w:tcPr>
            <w:tcW w:w="4620" w:type="dxa"/>
            <w:vAlign w:val="bottom"/>
            <w:tcBorders>
              <w:bottom w:val="single" w:sz="8" w:color="auto"/>
            </w:tcBorders>
            <w:gridSpan w:val="3"/>
          </w:tcPr>
          <w:p>
            <w:pPr>
              <w:jc w:val="center"/>
              <w:ind w:left="830"/>
              <w:spacing w:after="0"/>
              <w:rPr>
                <w:sz w:val="20"/>
                <w:szCs w:val="20"/>
                <w:color w:val="auto"/>
              </w:rPr>
            </w:pPr>
            <w:r>
              <w:rPr>
                <w:rFonts w:ascii="Arial" w:cs="Arial" w:eastAsia="Arial" w:hAnsi="Arial"/>
                <w:sz w:val="18"/>
                <w:szCs w:val="18"/>
                <w:b w:val="1"/>
                <w:bCs w:val="1"/>
                <w:color w:val="auto"/>
                <w:w w:val="91"/>
              </w:rPr>
              <w:t>Cayman Islands</w:t>
            </w:r>
          </w:p>
        </w:tc>
        <w:tc>
          <w:tcPr>
            <w:tcW w:w="9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460" w:type="dxa"/>
            <w:vAlign w:val="bottom"/>
            <w:tcBorders>
              <w:bottom w:val="single" w:sz="8" w:color="auto"/>
            </w:tcBorders>
            <w:gridSpan w:val="3"/>
          </w:tcPr>
          <w:p>
            <w:pPr>
              <w:jc w:val="right"/>
              <w:ind w:right="2070"/>
              <w:spacing w:after="0"/>
              <w:rPr>
                <w:sz w:val="20"/>
                <w:szCs w:val="20"/>
                <w:color w:val="auto"/>
              </w:rPr>
            </w:pPr>
            <w:r>
              <w:rPr>
                <w:rFonts w:ascii="Arial" w:cs="Arial" w:eastAsia="Arial" w:hAnsi="Arial"/>
                <w:sz w:val="18"/>
                <w:szCs w:val="18"/>
                <w:b w:val="1"/>
                <w:bCs w:val="1"/>
                <w:color w:val="auto"/>
              </w:rPr>
              <w:t>98-1574543</w:t>
            </w:r>
          </w:p>
        </w:tc>
        <w:tc>
          <w:tcPr>
            <w:tcW w:w="1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462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40" w:type="dxa"/>
            <w:vAlign w:val="bottom"/>
            <w:gridSpan w:val="4"/>
          </w:tcPr>
          <w:p>
            <w:pPr>
              <w:ind w:left="300"/>
              <w:spacing w:after="0"/>
              <w:rPr>
                <w:sz w:val="20"/>
                <w:szCs w:val="20"/>
                <w:color w:val="auto"/>
              </w:rPr>
            </w:pPr>
            <w:r>
              <w:rPr>
                <w:rFonts w:ascii="Arial" w:cs="Arial" w:eastAsia="Arial" w:hAnsi="Arial"/>
                <w:sz w:val="18"/>
                <w:szCs w:val="18"/>
                <w:b w:val="1"/>
                <w:bCs w:val="1"/>
                <w:color w:val="auto"/>
              </w:rPr>
              <w:t>(I.R.S. Employer Identification Number)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60" w:type="dxa"/>
            <w:vAlign w:val="bottom"/>
          </w:tcPr>
          <w:p>
            <w:pPr>
              <w:spacing w:after="0"/>
              <w:rPr>
                <w:sz w:val="24"/>
                <w:szCs w:val="24"/>
                <w:color w:val="auto"/>
              </w:rPr>
            </w:pPr>
          </w:p>
        </w:tc>
        <w:tc>
          <w:tcPr>
            <w:tcW w:w="462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93"/>
              </w:rPr>
              <w:t>4301 50th Street NW</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62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91"/>
              </w:rPr>
              <w:t>Suite 300 PMB 1044</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462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91"/>
              </w:rPr>
              <w:t>Washington, D.C.</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3"/>
          </w:tcPr>
          <w:p>
            <w:pPr>
              <w:jc w:val="right"/>
              <w:ind w:right="2270"/>
              <w:spacing w:after="0"/>
              <w:rPr>
                <w:sz w:val="20"/>
                <w:szCs w:val="20"/>
                <w:color w:val="auto"/>
              </w:rPr>
            </w:pPr>
            <w:r>
              <w:rPr>
                <w:rFonts w:ascii="Arial" w:cs="Arial" w:eastAsia="Arial" w:hAnsi="Arial"/>
                <w:sz w:val="18"/>
                <w:szCs w:val="18"/>
                <w:b w:val="1"/>
                <w:bCs w:val="1"/>
                <w:color w:val="auto"/>
              </w:rPr>
              <w:t>20016</w:t>
            </w:r>
          </w:p>
        </w:tc>
        <w:tc>
          <w:tcPr>
            <w:tcW w:w="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462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80" w:type="dxa"/>
            <w:vAlign w:val="bottom"/>
            <w:gridSpan w:val="2"/>
          </w:tcPr>
          <w:p>
            <w:pPr>
              <w:ind w:left="580"/>
              <w:spacing w:after="0"/>
              <w:rPr>
                <w:sz w:val="20"/>
                <w:szCs w:val="20"/>
                <w:color w:val="auto"/>
              </w:rPr>
            </w:pPr>
            <w:r>
              <w:rPr>
                <w:rFonts w:ascii="Arial" w:cs="Arial" w:eastAsia="Arial" w:hAnsi="Arial"/>
                <w:sz w:val="18"/>
                <w:szCs w:val="18"/>
                <w:b w:val="1"/>
                <w:bCs w:val="1"/>
                <w:color w:val="auto"/>
              </w:rPr>
              <w:t>(Zip Code)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60" w:type="dxa"/>
            <w:vAlign w:val="bottom"/>
          </w:tcPr>
          <w:p>
            <w:pPr>
              <w:spacing w:after="0"/>
              <w:rPr>
                <w:sz w:val="24"/>
                <w:szCs w:val="24"/>
                <w:color w:val="auto"/>
              </w:rPr>
            </w:pPr>
          </w:p>
        </w:tc>
        <w:tc>
          <w:tcPr>
            <w:tcW w:w="11160" w:type="dxa"/>
            <w:vAlign w:val="bottom"/>
            <w:gridSpan w:val="10"/>
          </w:tcPr>
          <w:p>
            <w:pPr>
              <w:jc w:val="center"/>
              <w:ind w:right="40"/>
              <w:spacing w:after="0"/>
              <w:rPr>
                <w:sz w:val="20"/>
                <w:szCs w:val="20"/>
                <w:color w:val="auto"/>
              </w:rPr>
            </w:pPr>
            <w:r>
              <w:rPr>
                <w:rFonts w:ascii="Arial" w:cs="Arial" w:eastAsia="Arial" w:hAnsi="Arial"/>
                <w:sz w:val="18"/>
                <w:szCs w:val="18"/>
                <w:b w:val="1"/>
                <w:bCs w:val="1"/>
                <w:color w:val="auto"/>
                <w:w w:val="89"/>
              </w:rPr>
              <w:t>Registrant’s telephone number, including area code: (202) 918-7050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11160" w:type="dxa"/>
            <w:vAlign w:val="bottom"/>
            <w:gridSpan w:val="10"/>
          </w:tcPr>
          <w:p>
            <w:pPr>
              <w:jc w:val="center"/>
              <w:ind w:right="4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0" w:type="dxa"/>
            <w:vAlign w:val="bottom"/>
          </w:tcPr>
          <w:p>
            <w:pPr>
              <w:spacing w:after="0"/>
              <w:rPr>
                <w:sz w:val="24"/>
                <w:szCs w:val="24"/>
                <w:color w:val="auto"/>
              </w:rPr>
            </w:pPr>
          </w:p>
        </w:tc>
        <w:tc>
          <w:tcPr>
            <w:tcW w:w="462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0"/>
              </w:rPr>
              <w:t>Title of Each Class:</w:t>
            </w:r>
          </w:p>
        </w:tc>
        <w:tc>
          <w:tcPr>
            <w:tcW w:w="19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Trading Symbol(s)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8"/>
                <w:szCs w:val="18"/>
                <w:b w:val="1"/>
                <w:bCs w:val="1"/>
                <w:color w:val="auto"/>
                <w:w w:val="94"/>
              </w:rPr>
              <w:t>Name of Each Exchange on Which Registered: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6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Units, each consisting of one Class A ordinary</w:t>
            </w:r>
          </w:p>
        </w:tc>
        <w:tc>
          <w:tcPr>
            <w:tcW w:w="6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62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86"/>
              </w:rPr>
              <w:t>share,</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62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89"/>
              </w:rPr>
              <w:t>$0.0001 par value, and one-fourth of one</w:t>
            </w:r>
          </w:p>
        </w:tc>
        <w:tc>
          <w:tcPr>
            <w:tcW w:w="19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rPr>
              <w:t>SNII.U</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80" w:type="dxa"/>
            <w:vAlign w:val="bottom"/>
            <w:gridSpan w:val="2"/>
          </w:tcPr>
          <w:p>
            <w:pPr>
              <w:ind w:left="600"/>
              <w:spacing w:after="0"/>
              <w:rPr>
                <w:sz w:val="20"/>
                <w:szCs w:val="20"/>
                <w:color w:val="auto"/>
              </w:rPr>
            </w:pPr>
            <w:r>
              <w:rPr>
                <w:rFonts w:ascii="Arial" w:cs="Arial" w:eastAsia="Arial" w:hAnsi="Arial"/>
                <w:sz w:val="18"/>
                <w:szCs w:val="18"/>
                <w:b w:val="1"/>
                <w:bCs w:val="1"/>
                <w:color w:val="auto"/>
              </w:rPr>
              <w:t>The New York Stock Exchange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62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0"/>
              </w:rPr>
              <w:t>redeemable warrant to</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62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88"/>
              </w:rPr>
              <w:t>purchase one Class A ordinary share</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62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89"/>
              </w:rPr>
              <w:t>Class A ordinary shares, par value $0.0001 per</w:t>
            </w:r>
          </w:p>
        </w:tc>
        <w:tc>
          <w:tcPr>
            <w:tcW w:w="1900" w:type="dxa"/>
            <w:vAlign w:val="bottom"/>
            <w:gridSpan w:val="3"/>
            <w:vMerge w:val="restart"/>
          </w:tcPr>
          <w:p>
            <w:pPr>
              <w:jc w:val="center"/>
              <w:ind w:right="160"/>
              <w:spacing w:after="0"/>
              <w:rPr>
                <w:sz w:val="20"/>
                <w:szCs w:val="20"/>
                <w:color w:val="auto"/>
              </w:rPr>
            </w:pPr>
            <w:r>
              <w:rPr>
                <w:rFonts w:ascii="Arial" w:cs="Arial" w:eastAsia="Arial" w:hAnsi="Arial"/>
                <w:sz w:val="18"/>
                <w:szCs w:val="18"/>
                <w:b w:val="1"/>
                <w:bCs w:val="1"/>
                <w:color w:val="auto"/>
              </w:rPr>
              <w:t>SNII</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8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rPr>
              <w:t>The New York Stock Exchange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4620" w:type="dxa"/>
            <w:vAlign w:val="bottom"/>
            <w:gridSpan w:val="3"/>
            <w:vMerge w:val="restart"/>
          </w:tcPr>
          <w:p>
            <w:pPr>
              <w:jc w:val="center"/>
              <w:ind w:right="1000"/>
              <w:spacing w:after="0"/>
              <w:rPr>
                <w:sz w:val="20"/>
                <w:szCs w:val="20"/>
                <w:color w:val="auto"/>
              </w:rPr>
            </w:pPr>
            <w:r>
              <w:rPr>
                <w:rFonts w:ascii="Arial" w:cs="Arial" w:eastAsia="Arial" w:hAnsi="Arial"/>
                <w:sz w:val="18"/>
                <w:szCs w:val="18"/>
                <w:b w:val="1"/>
                <w:bCs w:val="1"/>
                <w:color w:val="auto"/>
                <w:w w:val="87"/>
              </w:rPr>
              <w:t>share</w:t>
            </w:r>
          </w:p>
        </w:tc>
        <w:tc>
          <w:tcPr>
            <w:tcW w:w="1900" w:type="dxa"/>
            <w:vAlign w:val="bottom"/>
            <w:gridSpan w:val="3"/>
            <w:vMerge w:val="continue"/>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462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62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88"/>
              </w:rPr>
              <w:t>Warrants, each whole exercisable for one Class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62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89"/>
              </w:rPr>
              <w:t>A ordinary share at an exercise price of $11.50</w:t>
            </w:r>
          </w:p>
        </w:tc>
        <w:tc>
          <w:tcPr>
            <w:tcW w:w="19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rPr>
              <w:t>SNII WS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80" w:type="dxa"/>
            <w:vAlign w:val="bottom"/>
            <w:gridSpan w:val="2"/>
          </w:tcPr>
          <w:p>
            <w:pPr>
              <w:ind w:left="600"/>
              <w:spacing w:after="0"/>
              <w:rPr>
                <w:sz w:val="20"/>
                <w:szCs w:val="20"/>
                <w:color w:val="auto"/>
              </w:rPr>
            </w:pPr>
            <w:r>
              <w:rPr>
                <w:rFonts w:ascii="Arial" w:cs="Arial" w:eastAsia="Arial" w:hAnsi="Arial"/>
                <w:sz w:val="18"/>
                <w:szCs w:val="18"/>
                <w:b w:val="1"/>
                <w:bCs w:val="1"/>
                <w:color w:val="auto"/>
              </w:rPr>
              <w:t>The New York Stock Exchange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462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88"/>
              </w:rPr>
              <w:t>per share</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520" w:type="dxa"/>
            <w:vAlign w:val="bottom"/>
          </w:tcPr>
          <w:p>
            <w:pPr>
              <w:ind w:left="320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1720" w:type="dxa"/>
            <w:vAlign w:val="bottom"/>
          </w:tcPr>
          <w:p>
            <w:pPr>
              <w:spacing w:after="0"/>
              <w:rPr>
                <w:sz w:val="20"/>
                <w:szCs w:val="20"/>
                <w:color w:val="auto"/>
              </w:rPr>
            </w:pPr>
          </w:p>
        </w:tc>
      </w:tr>
      <w:tr>
        <w:trPr>
          <w:trHeight w:val="411"/>
        </w:trPr>
        <w:tc>
          <w:tcPr>
            <w:tcW w:w="9520" w:type="dxa"/>
            <w:vAlign w:val="bottom"/>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No</w:t>
            </w:r>
          </w:p>
        </w:tc>
        <w:tc>
          <w:tcPr>
            <w:tcW w:w="17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r>
        <w:trPr>
          <w:trHeight w:val="405"/>
        </w:trPr>
        <w:tc>
          <w:tcPr>
            <w:tcW w:w="9520" w:type="dxa"/>
            <w:vAlign w:val="bottom"/>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Section 15(d) of the Exchange Act.</w:t>
            </w:r>
          </w:p>
        </w:tc>
        <w:tc>
          <w:tcPr>
            <w:tcW w:w="172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r>
        <w:trPr>
          <w:trHeight w:val="540"/>
        </w:trPr>
        <w:tc>
          <w:tcPr>
            <w:tcW w:w="95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2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371"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2"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24" w:lineRule="exact"/>
        <w:rPr>
          <w:sz w:val="20"/>
          <w:szCs w:val="20"/>
          <w:color w:val="auto"/>
        </w:rPr>
      </w:pPr>
    </w:p>
    <w:p>
      <w:pPr>
        <w:spacing w:after="0" w:line="207" w:lineRule="exact"/>
        <w:tabs>
          <w:tab w:leader="none" w:pos="834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2021, the last business day of the registrant’s most recently completed second fiscal quarter, closing price of the registrant’s Class A ordinary shares was $9.71. The registrant’s units begin trading on the New York Stock Exchange on March 1, 2021 and the registrant’s shares of Class A ordinary shares and warrants began trading on the New York Stock Exchange on April 22, 2021. The aggregate market value of the units outstanding, other than shares held by persons who may be deemed affiliates of the registrant, computed by reference to the closing price for the units on June 30, 2021, as reported on the New York Stock Exchange was $335.0 million.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February 22, 2022, there were 34,500,000 Class A ordinary shares, par value $0.0001 per share, and 8,625,000 shares of the Company’s Class B ordinary shares, par value $0.0001 per share, of the registrant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0" w:type="dxa"/>
            <w:vAlign w:val="bottom"/>
            <w:gridSpan w:val="9"/>
          </w:tcPr>
          <w:p>
            <w:pPr>
              <w:ind w:left="340"/>
              <w:spacing w:after="0"/>
              <w:rPr>
                <w:sz w:val="20"/>
                <w:szCs w:val="20"/>
                <w:color w:val="auto"/>
              </w:rPr>
            </w:pPr>
            <w:r>
              <w:rPr>
                <w:rFonts w:ascii="Arial" w:cs="Arial" w:eastAsia="Arial" w:hAnsi="Arial"/>
                <w:sz w:val="18"/>
                <w:szCs w:val="18"/>
                <w:b w:val="1"/>
                <w:bCs w:val="1"/>
                <w:color w:val="auto"/>
              </w:rPr>
              <w:t>TABLE OF CONTENTS</w:t>
            </w:r>
          </w:p>
        </w:tc>
        <w:tc>
          <w:tcPr>
            <w:tcW w:w="1320" w:type="dxa"/>
            <w:vAlign w:val="bottom"/>
          </w:tcPr>
          <w:p>
            <w:pPr>
              <w:spacing w:after="0"/>
              <w:rPr>
                <w:sz w:val="20"/>
                <w:szCs w:val="20"/>
                <w:color w:val="auto"/>
              </w:rPr>
            </w:pPr>
          </w:p>
        </w:tc>
      </w:tr>
      <w:tr>
        <w:trPr>
          <w:trHeight w:val="392"/>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05"/>
        </w:trPr>
        <w:tc>
          <w:tcPr>
            <w:tcW w:w="9920" w:type="dxa"/>
            <w:vAlign w:val="bottom"/>
            <w:gridSpan w:val="2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PART I</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9480" w:type="dxa"/>
            <w:vAlign w:val="bottom"/>
            <w:gridSpan w:val="2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Item 1. Business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4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9480" w:type="dxa"/>
            <w:vAlign w:val="bottom"/>
            <w:gridSpan w:val="2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1A. Risk Factors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4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27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1B. Unresolved Staff Comments</w:t>
              </w:r>
            </w:hyperlink>
          </w:p>
        </w:tc>
        <w:tc>
          <w:tcPr>
            <w:tcW w:w="6760" w:type="dxa"/>
            <w:vAlign w:val="bottom"/>
            <w:gridSpan w:val="11"/>
          </w:tcPr>
          <w:p>
            <w:pPr>
              <w:spacing w:after="0"/>
              <w:rPr>
                <w:sz w:val="18"/>
                <w:szCs w:val="18"/>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9"/>
        </w:trPr>
        <w:tc>
          <w:tcPr>
            <w:tcW w:w="440" w:type="dxa"/>
            <w:vAlign w:val="bottom"/>
          </w:tcPr>
          <w:p>
            <w:pPr>
              <w:spacing w:after="0"/>
              <w:rPr>
                <w:sz w:val="18"/>
                <w:szCs w:val="18"/>
                <w:color w:val="auto"/>
              </w:rPr>
            </w:pPr>
          </w:p>
        </w:tc>
        <w:tc>
          <w:tcPr>
            <w:tcW w:w="12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Item 2. Properties</w:t>
              </w:r>
            </w:hyperlink>
          </w:p>
        </w:tc>
        <w:tc>
          <w:tcPr>
            <w:tcW w:w="8200" w:type="dxa"/>
            <w:vAlign w:val="bottom"/>
            <w:gridSpan w:val="20"/>
          </w:tcPr>
          <w:p>
            <w:pPr>
              <w:spacing w:after="0"/>
              <w:rPr>
                <w:sz w:val="18"/>
                <w:szCs w:val="18"/>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9"/>
        </w:trPr>
        <w:tc>
          <w:tcPr>
            <w:tcW w:w="440" w:type="dxa"/>
            <w:vAlign w:val="bottom"/>
          </w:tcPr>
          <w:p>
            <w:pPr>
              <w:spacing w:after="0"/>
              <w:rPr>
                <w:sz w:val="18"/>
                <w:szCs w:val="18"/>
                <w:color w:val="auto"/>
              </w:rPr>
            </w:pPr>
          </w:p>
        </w:tc>
        <w:tc>
          <w:tcPr>
            <w:tcW w:w="18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Item 3. Legal Proceedings</w:t>
              </w:r>
            </w:hyperlink>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9"/>
        </w:trPr>
        <w:tc>
          <w:tcPr>
            <w:tcW w:w="440" w:type="dxa"/>
            <w:vAlign w:val="bottom"/>
          </w:tcPr>
          <w:p>
            <w:pPr>
              <w:spacing w:after="0"/>
              <w:rPr>
                <w:sz w:val="18"/>
                <w:szCs w:val="18"/>
                <w:color w:val="auto"/>
              </w:rPr>
            </w:pPr>
          </w:p>
        </w:tc>
        <w:tc>
          <w:tcPr>
            <w:tcW w:w="23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4. Mine Safety Disclosures</w:t>
              </w:r>
            </w:hyperlink>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9920" w:type="dxa"/>
            <w:vAlign w:val="bottom"/>
            <w:gridSpan w:val="2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PART II</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9480" w:type="dxa"/>
            <w:vAlign w:val="bottom"/>
            <w:gridSpan w:val="26"/>
          </w:tcPr>
          <w:p>
            <w:pPr>
              <w:spacing w:after="0" w:line="196" w:lineRule="exact"/>
              <w:rPr>
                <w:rFonts w:ascii="Arial" w:cs="Arial" w:eastAsia="Arial" w:hAnsi="Arial"/>
                <w:sz w:val="18"/>
                <w:szCs w:val="18"/>
                <w:color w:val="0000EE"/>
                <w:w w:val="98"/>
              </w:rPr>
            </w:pPr>
            <w:hyperlink w:anchor="page28">
              <w:r>
                <w:rPr>
                  <w:rFonts w:ascii="Arial" w:cs="Arial" w:eastAsia="Arial" w:hAnsi="Arial"/>
                  <w:sz w:val="18"/>
                  <w:szCs w:val="18"/>
                  <w:color w:val="0000EE"/>
                  <w:w w:val="98"/>
                </w:rPr>
                <w:t>Item 5. Market for Registrant’s Common Equity, Related Shareholder Matters, and Issuer Purchases of Equity Securities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9"/>
        </w:trPr>
        <w:tc>
          <w:tcPr>
            <w:tcW w:w="440" w:type="dxa"/>
            <w:vAlign w:val="bottom"/>
          </w:tcPr>
          <w:p>
            <w:pPr>
              <w:spacing w:after="0"/>
              <w:rPr>
                <w:sz w:val="18"/>
                <w:szCs w:val="18"/>
                <w:color w:val="auto"/>
              </w:rPr>
            </w:pPr>
          </w:p>
        </w:tc>
        <w:tc>
          <w:tcPr>
            <w:tcW w:w="22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Item 6. Selected Financial Data</w:t>
              </w:r>
            </w:hyperlink>
          </w:p>
        </w:tc>
        <w:tc>
          <w:tcPr>
            <w:tcW w:w="6400" w:type="dxa"/>
            <w:vAlign w:val="bottom"/>
            <w:tcBorders>
              <w:top w:val="single" w:sz="8" w:color="0000EE"/>
            </w:tcBorders>
            <w:gridSpan w:val="14"/>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9"/>
        </w:trPr>
        <w:tc>
          <w:tcPr>
            <w:tcW w:w="440" w:type="dxa"/>
            <w:vAlign w:val="bottom"/>
          </w:tcPr>
          <w:p>
            <w:pPr>
              <w:spacing w:after="0"/>
              <w:rPr>
                <w:sz w:val="18"/>
                <w:szCs w:val="18"/>
                <w:color w:val="auto"/>
              </w:rPr>
            </w:pPr>
          </w:p>
        </w:tc>
        <w:tc>
          <w:tcPr>
            <w:tcW w:w="9480" w:type="dxa"/>
            <w:vAlign w:val="bottom"/>
            <w:gridSpan w:val="2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7. Management’s Discussion And Analysis Of Financial Condition And Results Of Operations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9"/>
        </w:trPr>
        <w:tc>
          <w:tcPr>
            <w:tcW w:w="440" w:type="dxa"/>
            <w:vAlign w:val="bottom"/>
          </w:tcPr>
          <w:p>
            <w:pPr>
              <w:spacing w:after="0"/>
              <w:rPr>
                <w:sz w:val="18"/>
                <w:szCs w:val="18"/>
                <w:color w:val="auto"/>
              </w:rPr>
            </w:pPr>
          </w:p>
        </w:tc>
        <w:tc>
          <w:tcPr>
            <w:tcW w:w="49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Item 7A. Quantitative and Qualitative Disclosures about Market Risk</w:t>
              </w:r>
            </w:hyperlink>
          </w:p>
        </w:tc>
        <w:tc>
          <w:tcPr>
            <w:tcW w:w="4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9"/>
        </w:trPr>
        <w:tc>
          <w:tcPr>
            <w:tcW w:w="440" w:type="dxa"/>
            <w:vAlign w:val="bottom"/>
          </w:tcPr>
          <w:p>
            <w:pPr>
              <w:spacing w:after="0"/>
              <w:rPr>
                <w:sz w:val="18"/>
                <w:szCs w:val="18"/>
                <w:color w:val="auto"/>
              </w:rPr>
            </w:pPr>
          </w:p>
        </w:tc>
        <w:tc>
          <w:tcPr>
            <w:tcW w:w="38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Item 8. Financial Statements and Supplementary Data</w:t>
              </w:r>
            </w:hyperlink>
          </w:p>
        </w:tc>
        <w:tc>
          <w:tcPr>
            <w:tcW w:w="84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560" w:type="dxa"/>
            <w:vAlign w:val="bottom"/>
            <w:gridSpan w:val="2"/>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0"/>
        </w:trPr>
        <w:tc>
          <w:tcPr>
            <w:tcW w:w="440" w:type="dxa"/>
            <w:vAlign w:val="bottom"/>
          </w:tcPr>
          <w:p>
            <w:pPr>
              <w:spacing w:after="0"/>
              <w:rPr>
                <w:sz w:val="18"/>
                <w:szCs w:val="18"/>
                <w:color w:val="auto"/>
              </w:rPr>
            </w:pPr>
          </w:p>
        </w:tc>
        <w:tc>
          <w:tcPr>
            <w:tcW w:w="9480" w:type="dxa"/>
            <w:vAlign w:val="bottom"/>
            <w:gridSpan w:val="2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9. Changes in and Disagreements with Accountants on Accounting and Financial Disclosure.</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9"/>
        </w:trPr>
        <w:tc>
          <w:tcPr>
            <w:tcW w:w="440" w:type="dxa"/>
            <w:vAlign w:val="bottom"/>
          </w:tcPr>
          <w:p>
            <w:pPr>
              <w:spacing w:after="0"/>
              <w:rPr>
                <w:sz w:val="18"/>
                <w:szCs w:val="18"/>
                <w:color w:val="auto"/>
              </w:rPr>
            </w:pPr>
          </w:p>
        </w:tc>
        <w:tc>
          <w:tcPr>
            <w:tcW w:w="25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Item 9A. Controls and Procedures.</w:t>
              </w:r>
            </w:hyperlink>
          </w:p>
        </w:tc>
        <w:tc>
          <w:tcPr>
            <w:tcW w:w="4560" w:type="dxa"/>
            <w:vAlign w:val="bottom"/>
            <w:tcBorders>
              <w:top w:val="single" w:sz="8" w:color="0000EE"/>
            </w:tcBorders>
            <w:gridSpan w:val="8"/>
          </w:tcPr>
          <w:p>
            <w:pPr>
              <w:spacing w:after="0"/>
              <w:rPr>
                <w:sz w:val="18"/>
                <w:szCs w:val="18"/>
                <w:color w:val="auto"/>
              </w:rPr>
            </w:pPr>
          </w:p>
        </w:tc>
        <w:tc>
          <w:tcPr>
            <w:tcW w:w="2420" w:type="dxa"/>
            <w:vAlign w:val="bottom"/>
            <w:gridSpan w:val="4"/>
          </w:tcPr>
          <w:p>
            <w:pPr>
              <w:spacing w:after="0"/>
              <w:rPr>
                <w:sz w:val="18"/>
                <w:szCs w:val="18"/>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9"/>
        </w:trPr>
        <w:tc>
          <w:tcPr>
            <w:tcW w:w="440" w:type="dxa"/>
            <w:vAlign w:val="bottom"/>
          </w:tcPr>
          <w:p>
            <w:pPr>
              <w:spacing w:after="0"/>
              <w:rPr>
                <w:sz w:val="18"/>
                <w:szCs w:val="18"/>
                <w:color w:val="auto"/>
              </w:rPr>
            </w:pPr>
          </w:p>
        </w:tc>
        <w:tc>
          <w:tcPr>
            <w:tcW w:w="9480" w:type="dxa"/>
            <w:vAlign w:val="bottom"/>
            <w:gridSpan w:val="2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9B. Other Information</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440" w:type="dxa"/>
            <w:vAlign w:val="bottom"/>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40" w:type="dxa"/>
            <w:vAlign w:val="bottom"/>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0"/>
        </w:trPr>
        <w:tc>
          <w:tcPr>
            <w:tcW w:w="9920" w:type="dxa"/>
            <w:vAlign w:val="bottom"/>
            <w:gridSpan w:val="2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PART III</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4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47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10. Directors, Executive Officers and Corporate Governance</w:t>
              </w:r>
            </w:hyperlink>
          </w:p>
        </w:tc>
        <w:tc>
          <w:tcPr>
            <w:tcW w:w="66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1840" w:type="dxa"/>
            <w:vAlign w:val="bottom"/>
            <w:gridSpan w:val="3"/>
          </w:tcPr>
          <w:p>
            <w:pPr>
              <w:spacing w:after="0"/>
              <w:rPr>
                <w:sz w:val="18"/>
                <w:szCs w:val="18"/>
                <w:color w:val="auto"/>
              </w:rPr>
            </w:pPr>
          </w:p>
        </w:tc>
        <w:tc>
          <w:tcPr>
            <w:tcW w:w="1560" w:type="dxa"/>
            <w:vAlign w:val="bottom"/>
            <w:gridSpan w:val="2"/>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440" w:type="dxa"/>
            <w:vAlign w:val="bottom"/>
          </w:tcPr>
          <w:p>
            <w:pPr>
              <w:spacing w:after="0"/>
              <w:rPr>
                <w:sz w:val="18"/>
                <w:szCs w:val="18"/>
                <w:color w:val="auto"/>
              </w:rPr>
            </w:pPr>
          </w:p>
        </w:tc>
        <w:tc>
          <w:tcPr>
            <w:tcW w:w="24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Item 11. Executive Compensation</w:t>
              </w:r>
            </w:hyperlink>
          </w:p>
        </w:tc>
        <w:tc>
          <w:tcPr>
            <w:tcW w:w="7040" w:type="dxa"/>
            <w:vAlign w:val="bottom"/>
            <w:gridSpan w:val="13"/>
          </w:tcPr>
          <w:p>
            <w:pPr>
              <w:spacing w:after="0"/>
              <w:rPr>
                <w:sz w:val="18"/>
                <w:szCs w:val="18"/>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9"/>
        </w:trPr>
        <w:tc>
          <w:tcPr>
            <w:tcW w:w="440" w:type="dxa"/>
            <w:vAlign w:val="bottom"/>
          </w:tcPr>
          <w:p>
            <w:pPr>
              <w:spacing w:after="0"/>
              <w:rPr>
                <w:sz w:val="18"/>
                <w:szCs w:val="18"/>
                <w:color w:val="auto"/>
              </w:rPr>
            </w:pPr>
          </w:p>
        </w:tc>
        <w:tc>
          <w:tcPr>
            <w:tcW w:w="9480" w:type="dxa"/>
            <w:vAlign w:val="bottom"/>
            <w:gridSpan w:val="26"/>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Item 12. Security Ownership of Certain Beneficial Owners and Management and Related Shareholder Matters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9"/>
        </w:trPr>
        <w:tc>
          <w:tcPr>
            <w:tcW w:w="440" w:type="dxa"/>
            <w:vAlign w:val="bottom"/>
          </w:tcPr>
          <w:p>
            <w:pPr>
              <w:spacing w:after="0"/>
              <w:rPr>
                <w:sz w:val="18"/>
                <w:szCs w:val="18"/>
                <w:color w:val="auto"/>
              </w:rPr>
            </w:pPr>
          </w:p>
        </w:tc>
        <w:tc>
          <w:tcPr>
            <w:tcW w:w="79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Item 13. Certain Relationships and Related Transactions, and Director Independence</w:t>
              </w:r>
            </w:hyperlink>
          </w:p>
        </w:tc>
        <w:tc>
          <w:tcPr>
            <w:tcW w:w="1560" w:type="dxa"/>
            <w:vAlign w:val="bottom"/>
            <w:gridSpan w:val="2"/>
          </w:tcPr>
          <w:p>
            <w:pPr>
              <w:spacing w:after="0"/>
              <w:rPr>
                <w:sz w:val="18"/>
                <w:szCs w:val="18"/>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9"/>
        </w:trPr>
        <w:tc>
          <w:tcPr>
            <w:tcW w:w="440" w:type="dxa"/>
            <w:vAlign w:val="bottom"/>
          </w:tcPr>
          <w:p>
            <w:pPr>
              <w:spacing w:after="0"/>
              <w:rPr>
                <w:sz w:val="18"/>
                <w:szCs w:val="18"/>
                <w:color w:val="auto"/>
              </w:rPr>
            </w:pPr>
          </w:p>
        </w:tc>
        <w:tc>
          <w:tcPr>
            <w:tcW w:w="35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Item 14. Principal Accountant Fees and Services.</w:t>
              </w:r>
            </w:hyperlink>
          </w:p>
        </w:tc>
        <w:tc>
          <w:tcPr>
            <w:tcW w:w="1840" w:type="dxa"/>
            <w:vAlign w:val="bottom"/>
            <w:tcBorders>
              <w:top w:val="single" w:sz="8" w:color="0000EE"/>
            </w:tcBorders>
            <w:gridSpan w:val="4"/>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400" w:type="dxa"/>
            <w:vAlign w:val="bottom"/>
            <w:gridSpan w:val="5"/>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0"/>
        </w:trPr>
        <w:tc>
          <w:tcPr>
            <w:tcW w:w="6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45">
              <w:r>
                <w:rPr>
                  <w:rFonts w:ascii="Arial" w:cs="Arial" w:eastAsia="Arial" w:hAnsi="Arial"/>
                  <w:sz w:val="18"/>
                  <w:szCs w:val="18"/>
                  <w:color w:val="0000EE"/>
                  <w:w w:val="94"/>
                </w:rPr>
                <w:t>PART IV</w:t>
              </w:r>
            </w:hyperlink>
          </w:p>
        </w:tc>
        <w:tc>
          <w:tcPr>
            <w:tcW w:w="9240" w:type="dxa"/>
            <w:vAlign w:val="bottom"/>
            <w:gridSpan w:val="22"/>
          </w:tcPr>
          <w:p>
            <w:pPr>
              <w:spacing w:after="0"/>
              <w:rPr>
                <w:sz w:val="18"/>
                <w:szCs w:val="18"/>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10"/>
        </w:trPr>
        <w:tc>
          <w:tcPr>
            <w:tcW w:w="440" w:type="dxa"/>
            <w:vAlign w:val="bottom"/>
          </w:tcPr>
          <w:p>
            <w:pPr>
              <w:spacing w:after="0"/>
              <w:rPr>
                <w:sz w:val="18"/>
                <w:szCs w:val="18"/>
                <w:color w:val="auto"/>
              </w:rPr>
            </w:pPr>
          </w:p>
        </w:tc>
        <w:tc>
          <w:tcPr>
            <w:tcW w:w="9480" w:type="dxa"/>
            <w:vAlign w:val="bottom"/>
            <w:gridSpan w:val="26"/>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Item 15. Exhibits, Financial Statements and Financial Statement Schedules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10"/>
        </w:trPr>
        <w:tc>
          <w:tcPr>
            <w:tcW w:w="440" w:type="dxa"/>
            <w:vAlign w:val="bottom"/>
          </w:tcPr>
          <w:p>
            <w:pPr>
              <w:spacing w:after="0"/>
              <w:rPr>
                <w:sz w:val="18"/>
                <w:szCs w:val="18"/>
                <w:color w:val="auto"/>
              </w:rPr>
            </w:pPr>
          </w:p>
        </w:tc>
        <w:tc>
          <w:tcPr>
            <w:tcW w:w="53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Item 16. Form 10-K Summary</w:t>
              </w:r>
            </w:hyperlink>
          </w:p>
        </w:tc>
        <w:tc>
          <w:tcPr>
            <w:tcW w:w="4100" w:type="dxa"/>
            <w:vAlign w:val="bottom"/>
            <w:gridSpan w:val="6"/>
          </w:tcPr>
          <w:p>
            <w:pPr>
              <w:spacing w:after="0"/>
              <w:rPr>
                <w:sz w:val="18"/>
                <w:szCs w:val="18"/>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4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stated in this Annual Report on Form 10-K (the “Report”), references to:</w:t>
      </w:r>
    </w:p>
    <w:p>
      <w:pPr>
        <w:spacing w:after="0" w:line="198" w:lineRule="exact"/>
        <w:rPr>
          <w:sz w:val="20"/>
          <w:szCs w:val="20"/>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“us,” “company,” “our company” or “Supernova” are to Supernova Partners Acquisition Company II, Ltd.;</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“Board” are to our board of directors;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“ordinary shares” are to our Class A ordinary shares and our Class B ordinary shares, collectively;</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“equity-linked securities” are to any securities of our company that are convertible into, or exchangeable or exercisable for, ordinary shares of our company;</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“Founder Shares” are to shares of our Class B ordinary shares initially purchased by our Sponsor in a private placement prior to our initial public offering, and the shares of our Class A ordinary shares issued upon the conversion thereof as provided herein;</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“initial shareholders” are to our Sponsor and any other holders of our founder shares prior to our initial public offering;</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“management” or our “management team” are to our officers and directors;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 w:name="page4"/>
    <w:bookmarkEnd w:id="3"/>
    <w:p>
      <w:pPr>
        <w:ind w:left="440" w:hanging="440"/>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“private placement warrants” are to the warrants issued to our Sponsor in a private placement simultaneously with the closing of our initial public offering;</w:t>
      </w:r>
    </w:p>
    <w:p>
      <w:pPr>
        <w:spacing w:after="0" w:line="129" w:lineRule="exact"/>
        <w:rPr>
          <w:rFonts w:ascii="Arial" w:cs="Arial" w:eastAsia="Arial" w:hAnsi="Arial"/>
          <w:sz w:val="18"/>
          <w:szCs w:val="18"/>
          <w:color w:val="auto"/>
        </w:rPr>
      </w:pPr>
    </w:p>
    <w:p>
      <w:pPr>
        <w:ind w:left="440" w:hanging="440"/>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shares” are to shares of our Class A ordinary shares sold as part of the units in our initial public offering (whether they were purchased in the initial public offering or thereafter in the open market);</w:t>
      </w:r>
    </w:p>
    <w:p>
      <w:pPr>
        <w:spacing w:after="0" w:line="129" w:lineRule="exact"/>
        <w:rPr>
          <w:rFonts w:ascii="Arial" w:cs="Arial" w:eastAsia="Arial" w:hAnsi="Arial"/>
          <w:sz w:val="18"/>
          <w:szCs w:val="18"/>
          <w:color w:val="auto"/>
        </w:rPr>
      </w:pPr>
    </w:p>
    <w:p>
      <w:pPr>
        <w:jc w:val="both"/>
        <w:ind w:left="440" w:hanging="440"/>
        <w:spacing w:after="0" w:line="263"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“public shareholders” are to the holders of our public shares, including our initial shareholders and members of our management team, Board to the extent any of them purchases public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such initial shareholder’s and individual’s status as a “public shareholder” shall only exist with respect to such public shares;</w:t>
      </w:r>
    </w:p>
    <w:p>
      <w:pPr>
        <w:spacing w:after="0" w:line="143" w:lineRule="exact"/>
        <w:rPr>
          <w:rFonts w:ascii="Arial" w:cs="Arial" w:eastAsia="Arial" w:hAnsi="Arial"/>
          <w:sz w:val="18"/>
          <w:szCs w:val="18"/>
          <w:color w:val="auto"/>
        </w:rPr>
      </w:pPr>
    </w:p>
    <w:p>
      <w:pPr>
        <w:jc w:val="both"/>
        <w:ind w:left="440" w:hanging="440"/>
        <w:spacing w:after="0" w:line="259"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warrants” are to our warrants sold as part of the units in our initial public offering (whether they were purchased in our initial public offering or thereafter in the open market) and to any private placement warrants or warrants issued upon conversion of working capital loans that are sold to third parties that are not initial purchasers or officers or directors (or permitted transferees) following the consummation of our initial business combination;</w:t>
      </w:r>
    </w:p>
    <w:p>
      <w:pPr>
        <w:spacing w:after="0" w:line="146" w:lineRule="exact"/>
        <w:rPr>
          <w:rFonts w:ascii="Arial" w:cs="Arial" w:eastAsia="Arial" w:hAnsi="Arial"/>
          <w:sz w:val="18"/>
          <w:szCs w:val="18"/>
          <w:color w:val="auto"/>
        </w:rPr>
      </w:pPr>
    </w:p>
    <w:p>
      <w:pPr>
        <w:ind w:left="440" w:right="20" w:hanging="440"/>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“specified future issuance” are to an issuance of a class of equity or equity-linked securities to specified purchasers that we may determine to make in connection with financing our initial business combination;</w:t>
      </w:r>
    </w:p>
    <w:p>
      <w:pPr>
        <w:spacing w:after="0" w:line="129" w:lineRule="exact"/>
        <w:rPr>
          <w:rFonts w:ascii="Arial" w:cs="Arial" w:eastAsia="Arial" w:hAnsi="Arial"/>
          <w:sz w:val="18"/>
          <w:szCs w:val="18"/>
          <w:color w:val="auto"/>
        </w:rPr>
      </w:pPr>
    </w:p>
    <w:p>
      <w:pPr>
        <w:ind w:left="440" w:hanging="440"/>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“Sponsor” are to Supernova Partners II LLC, a Cayman Islands exempted company, in which certain of our officers and directors are beneficial owners; and</w:t>
      </w:r>
    </w:p>
    <w:p>
      <w:pPr>
        <w:spacing w:after="0" w:line="129" w:lineRule="exact"/>
        <w:rPr>
          <w:rFonts w:ascii="Arial" w:cs="Arial" w:eastAsia="Arial" w:hAnsi="Arial"/>
          <w:sz w:val="18"/>
          <w:szCs w:val="18"/>
          <w:color w:val="auto"/>
        </w:rPr>
      </w:pPr>
    </w:p>
    <w:p>
      <w:pPr>
        <w:ind w:left="440" w:right="20" w:hanging="440"/>
        <w:spacing w:after="0" w:line="223" w:lineRule="exact"/>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“Units” are to the units sold in our initial public offering (whether they were purchased in our initial public offering or thereafter in the open market) and the units sold upon the underwriter’s exercise of their over</w:t>
      </w:r>
      <w:r>
        <w:rPr>
          <w:rFonts w:ascii="MS PGothic" w:cs="MS PGothic" w:eastAsia="MS PGothic" w:hAnsi="MS PGothic"/>
          <w:sz w:val="18"/>
          <w:szCs w:val="18"/>
          <w:color w:val="auto"/>
        </w:rPr>
        <w:t>‑</w:t>
      </w:r>
      <w:r>
        <w:rPr>
          <w:rFonts w:ascii="Arial" w:cs="Arial" w:eastAsia="Arial" w:hAnsi="Arial"/>
          <w:sz w:val="18"/>
          <w:szCs w:val="18"/>
          <w:color w:val="auto"/>
        </w:rPr>
        <w:t>allotment option.</w:t>
      </w:r>
    </w:p>
    <w:p>
      <w:pPr>
        <w:spacing w:after="0" w:line="37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51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Some of the statements contained in this Form 10-K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 looking. Forward-looking statements may include, for example, statements about:</w:t>
      </w:r>
    </w:p>
    <w:p>
      <w:pPr>
        <w:spacing w:after="0" w:line="343" w:lineRule="exact"/>
        <w:rPr>
          <w:sz w:val="20"/>
          <w:szCs w:val="20"/>
          <w:color w:val="auto"/>
        </w:rPr>
      </w:pPr>
    </w:p>
    <w:p>
      <w:pPr>
        <w:ind w:left="1300" w:right="20" w:hanging="44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 including our recently announced business combination with Rigetti Holdings, Inc., a Delaware corporation (“Rigetti”);</w:t>
      </w:r>
    </w:p>
    <w:p>
      <w:pPr>
        <w:spacing w:after="0" w:line="318"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318" w:lineRule="exact"/>
        <w:rPr>
          <w:rFonts w:ascii="Arial" w:cs="Arial" w:eastAsia="Arial" w:hAnsi="Arial"/>
          <w:sz w:val="18"/>
          <w:szCs w:val="18"/>
          <w:color w:val="auto"/>
        </w:rPr>
      </w:pPr>
    </w:p>
    <w:p>
      <w:pPr>
        <w:ind w:left="1300" w:hanging="44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due to the uncertainty resulting from the COVID-19 pandemic;</w:t>
      </w:r>
    </w:p>
    <w:p>
      <w:pPr>
        <w:spacing w:after="0" w:line="373"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318" w:lineRule="exact"/>
        <w:rPr>
          <w:rFonts w:ascii="Arial" w:cs="Arial" w:eastAsia="Arial" w:hAnsi="Arial"/>
          <w:sz w:val="18"/>
          <w:szCs w:val="18"/>
          <w:color w:val="auto"/>
        </w:rPr>
      </w:pPr>
    </w:p>
    <w:p>
      <w:pPr>
        <w:ind w:left="1300" w:hanging="44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373" w:lineRule="exact"/>
        <w:rPr>
          <w:rFonts w:ascii="Arial" w:cs="Arial" w:eastAsia="Arial" w:hAnsi="Arial"/>
          <w:sz w:val="18"/>
          <w:szCs w:val="18"/>
          <w:color w:val="auto"/>
        </w:rPr>
      </w:pPr>
    </w:p>
    <w:p>
      <w:pPr>
        <w:ind w:left="1300" w:hanging="44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373" w:lineRule="exact"/>
        <w:rPr>
          <w:rFonts w:ascii="Arial" w:cs="Arial" w:eastAsia="Arial" w:hAnsi="Arial"/>
          <w:sz w:val="18"/>
          <w:szCs w:val="18"/>
          <w:color w:val="auto"/>
        </w:rPr>
      </w:pPr>
    </w:p>
    <w:p>
      <w:pPr>
        <w:ind w:left="1300" w:hanging="44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w:t>
      </w:r>
    </w:p>
    <w:p>
      <w:pPr>
        <w:spacing w:after="0" w:line="373" w:lineRule="exact"/>
        <w:rPr>
          <w:rFonts w:ascii="Arial" w:cs="Arial" w:eastAsia="Arial" w:hAnsi="Arial"/>
          <w:sz w:val="18"/>
          <w:szCs w:val="18"/>
          <w:color w:val="auto"/>
        </w:rPr>
      </w:pPr>
    </w:p>
    <w:p>
      <w:pPr>
        <w:ind w:left="1300" w:hanging="44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373" w:lineRule="exact"/>
        <w:rPr>
          <w:rFonts w:ascii="Arial" w:cs="Arial" w:eastAsia="Arial" w:hAnsi="Arial"/>
          <w:sz w:val="18"/>
          <w:szCs w:val="18"/>
          <w:color w:val="auto"/>
        </w:rPr>
      </w:pPr>
    </w:p>
    <w:p>
      <w:pPr>
        <w:ind w:left="1300" w:hanging="44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373" w:lineRule="exact"/>
        <w:rPr>
          <w:rFonts w:ascii="Arial" w:cs="Arial" w:eastAsia="Arial" w:hAnsi="Arial"/>
          <w:sz w:val="18"/>
          <w:szCs w:val="18"/>
          <w:color w:val="auto"/>
        </w:rPr>
      </w:pPr>
    </w:p>
    <w:p>
      <w:pPr>
        <w:ind w:left="1300" w:hanging="44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373" w:lineRule="exact"/>
        <w:rPr>
          <w:rFonts w:ascii="Arial" w:cs="Arial" w:eastAsia="Arial" w:hAnsi="Arial"/>
          <w:sz w:val="18"/>
          <w:szCs w:val="18"/>
          <w:color w:val="auto"/>
        </w:rPr>
      </w:pPr>
    </w:p>
    <w:p>
      <w:pPr>
        <w:ind w:left="1300" w:hanging="44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373" w:lineRule="exact"/>
        <w:rPr>
          <w:rFonts w:ascii="Arial" w:cs="Arial" w:eastAsia="Arial" w:hAnsi="Arial"/>
          <w:sz w:val="18"/>
          <w:szCs w:val="18"/>
          <w:color w:val="auto"/>
        </w:rPr>
      </w:pPr>
    </w:p>
    <w:p>
      <w:pPr>
        <w:ind w:left="1300" w:hanging="44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financial performance.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forward-looking statements contained in this Form 10-K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Item IA.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 w:name="page6"/>
    <w:bookmarkEnd w:id="5"/>
    <w:p>
      <w:pPr>
        <w:ind w:left="5760"/>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Item 1. Business</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blank check company incorporated as a Cayman Islands corporation and formed for the purpose of effecting a merger, share exchange, asset acquisition, share purchase, reorganization or similar business combination with one or more businesses, which we refer to throughout this Report as our initial business combination.</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Initial Public Offering</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4, 2021, the Company consummated its initial public offering of 34,500,000 units, including 4,500,000 additional units to cover over-allotments. Each Unit consists of one share of Class A ordinary share, $0.0001 par value per share (“Class A ordinary shares”), and one-fourth of one redeemable warrant, each redeemable warrant entitling the holder to purchase one share of Class A ordinary shares at $11.50 per share. The Units were sold at an offering price of $10.00 per Unit, generating gross proceeds of $345,000,000. Simultaneously with the consummation of the initial public offering and the sale of the Units, the Company consummated the private placement (“private placement”) of an aggregate of 4,450,000 warrants to our Sponsor at a price of $2.00 per private placement warrant, generating total proceeds of $8,900,000.</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total of $345,000,000 of the net proceeds from our initial public offering (including the over-allotment) and the private placement with the Sponsor were deposited in a trust account (the “Trust Account”) established for the benefit of the Company’s public shareholders.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Units began trading on March 1, 2021 on the NYSE under the symbol “SNII.U.” The ordinary shares and warrants trade on the NYSE under the symbols “SNII” and “SNII WS,” respectively. Supernova will apply for listing, to be effective at the time of the Business Combination, of New Rigetti Common Stock and warrants on Nasdaq under the proposed symbols “RGTI” and “RGTI WS,” respectively. It is a condition of the consummation of the Business Combination that Supernova receive confirmation from Nasdaq that New Rigetti has been conditionally approved for listing on Nasdaq, but there can be no assurance such listing condition will be met or that Supernova will obtain such confirmation from Nasdaq. If such listing condition is not met or if such confirmation is not obtained, the Business Combination will not be consummated unless the stock exchange condition set forth in the Merger Agreement is waived by the applicable parties.</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Since our Initial Public Offering, we have focused on identifying a business combination target within the technology industry. It is the job of our Sponsor and management team to complete our initial business combination. Our management team is led by Robert Reid, our Chief Executive Officer, and Michael Clifton, our Chief Financial Officer, who have many years of experience investing in ventures and building companies with operations. We must complete our initial business combination by March 4, 2023 (the “Completion Window”). If our initial business combination is not consummated by the Completion Window, then our existence will terminate, and we will distribute all amounts in the Trust Account.</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Initial Business Combination</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The Mergers</w:t>
      </w:r>
    </w:p>
    <w:p>
      <w:pPr>
        <w:spacing w:after="0" w:line="198"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On October 6, 2021, we entered into an Agreement and Plan of Merger (the “Merger Agreement”) with Supernova Merger Sub, Inc., a Delaware corporation and a direct wholly owned subsidiary of ours (“First Merger Sub”), Romeo Supernova Merger Sub, LLC, a Delaware limited liability company and a direct wholly owned subsidiary of ours (“Second Merger Sub”), and Rigetti Holdings, Inc. (“Rigetti”), as amended by the First Amendment to Agreement and Plan of Merger, dated as of December 23, 2021, and the Second Amendment to Agreement and Plan of Merger, dated as of January 10, 2022. The Merger Agreement provides that, subject to the approval of Supernova’s shareholders and upon the terms and subject to the conditions thereof, the following transactions will occur: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jc w:val="both"/>
        <w:ind w:left="1700" w:hanging="842"/>
        <w:spacing w:after="0" w:line="257" w:lineRule="auto"/>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the closing of the transactions contemplated by the Merger Agreement (the “Closing”) (x) in accordance with the Delaware General Corporation Law, as amended (the “DGCL”), First Merger Sub will merge with and into Rigetti, with Rigetti being the surviving entity in the merger, and immediately following the First Merger, (y) Rigetti will merge with and into Second Merger Sub, with Second Merger Sub being the surviving entity in the merger (the “Second Merger” and, together with the First Merger, the “Mergers”);</w:t>
      </w:r>
    </w:p>
    <w:p>
      <w:pPr>
        <w:spacing w:after="0" w:line="147" w:lineRule="exact"/>
        <w:rPr>
          <w:rFonts w:ascii="Arial" w:cs="Arial" w:eastAsia="Arial" w:hAnsi="Arial"/>
          <w:sz w:val="18"/>
          <w:szCs w:val="18"/>
          <w:color w:val="auto"/>
        </w:rPr>
      </w:pPr>
    </w:p>
    <w:p>
      <w:pPr>
        <w:jc w:val="both"/>
        <w:ind w:left="1700" w:hanging="842"/>
        <w:spacing w:after="0" w:line="286" w:lineRule="auto"/>
        <w:tabs>
          <w:tab w:leader="none" w:pos="1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as a result of the Mergers, among other things, each issued and outstanding Class A ordinary share, par value $0.0001 per share, and each issued and outstanding Class B ordinary share, par value $0.0001 per share, of Supernova will be converted into one share of common stock, par value $0.0001 per share, of New Rigetti (the “New Rigetti Common Stock”);</w:t>
      </w:r>
    </w:p>
    <w:p>
      <w:pPr>
        <w:spacing w:after="0" w:line="124" w:lineRule="exact"/>
        <w:rPr>
          <w:rFonts w:ascii="Arial" w:cs="Arial" w:eastAsia="Arial" w:hAnsi="Arial"/>
          <w:sz w:val="17"/>
          <w:szCs w:val="17"/>
          <w:color w:val="auto"/>
        </w:rPr>
      </w:pPr>
    </w:p>
    <w:p>
      <w:pPr>
        <w:jc w:val="both"/>
        <w:ind w:left="1700" w:hanging="842"/>
        <w:spacing w:after="0" w:line="259" w:lineRule="auto"/>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issued and outstanding whole warrant to purchase Class A ordinary shares of Supernova will automatically represent the right to purchase one share of New Rigetti Common Stock at an exercise price of $11.50 per share on the terms and conditions set forth in the warrant agreement between American Stock Transfer &amp; Trust Company, LLC and Supernova Partners Acquisition Company II, Ltd., dated March 1, 2021 (the “Supernova Warrant Agreement”);</w:t>
      </w:r>
    </w:p>
    <w:p>
      <w:pPr>
        <w:spacing w:after="0" w:line="146" w:lineRule="exact"/>
        <w:rPr>
          <w:rFonts w:ascii="Arial" w:cs="Arial" w:eastAsia="Arial" w:hAnsi="Arial"/>
          <w:sz w:val="18"/>
          <w:szCs w:val="18"/>
          <w:color w:val="auto"/>
        </w:rPr>
      </w:pPr>
    </w:p>
    <w:p>
      <w:pPr>
        <w:ind w:left="1700" w:hanging="842"/>
        <w:spacing w:after="0"/>
        <w:tabs>
          <w:tab w:leader="none" w:pos="1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each issued and outstanding Supernova preference share will continue to exist as a share of preferred stock of New Rigetti;</w:t>
      </w:r>
    </w:p>
    <w:p>
      <w:pPr>
        <w:spacing w:after="0" w:line="196" w:lineRule="exact"/>
        <w:rPr>
          <w:rFonts w:ascii="Arial" w:cs="Arial" w:eastAsia="Arial" w:hAnsi="Arial"/>
          <w:sz w:val="17"/>
          <w:szCs w:val="17"/>
          <w:color w:val="auto"/>
        </w:rPr>
      </w:pPr>
    </w:p>
    <w:p>
      <w:pPr>
        <w:ind w:left="1700" w:right="20" w:hanging="842"/>
        <w:spacing w:after="0" w:line="277" w:lineRule="auto"/>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governing documents of Supernova will be amended and restated and become the certificate of incorporation and the bylaws of New Rigetti as described in the proxy statement / prospectus on Form S-4; and</w:t>
      </w:r>
    </w:p>
    <w:p>
      <w:pPr>
        <w:spacing w:after="0" w:line="129" w:lineRule="exact"/>
        <w:rPr>
          <w:rFonts w:ascii="Arial" w:cs="Arial" w:eastAsia="Arial" w:hAnsi="Arial"/>
          <w:sz w:val="18"/>
          <w:szCs w:val="18"/>
          <w:color w:val="auto"/>
        </w:rPr>
      </w:pPr>
    </w:p>
    <w:p>
      <w:pPr>
        <w:ind w:left="1700" w:hanging="842"/>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Supernova’s name will change to “Rigetti Computing, Inc.”</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of Directors of Supernova (the “Board”) has (x) approved and declared advisable the Merger Agreement, the business combination and the other transactions contemplated thereby, and (y) resolved to recommend approval of the Merger Agreement and related matters by the shareholders of Supernova.</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The Domestication</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Prior to the Closing, subject to the approval of Supernova’s shareholders, and in accordance with the DGCL, Cayman Islands Companies Law (2021 Revision) (the “CICL”) and Supernova’s Amended and Restated Memorandum and Articles of Association (as may be amended from time to time, the “Cayman Constitutional Documents”), Supernova will effect a deregistration under the CICL and a domestication under Section 388 of the DGCL (by means of filing a certificate of domestication (the “Certificate of Domestication”) with the Secretary of State of Delaware), pursuant to which Supernova’s jurisdiction of incorporation will be changed from the Cayman Islands to the State of Delaware (the “Domestication”).</w:t>
      </w:r>
    </w:p>
    <w:p>
      <w:pPr>
        <w:spacing w:after="0" w:line="13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connection with the Domestication, immediately prior to (but no later than the day preceding) the closing date: (i) each issued and outstanding Class A ordinary share and each issued and outstanding Class B ordinary share of Supernova will be converted into one share of common stock, par value $0.0001 per share, of New Rigetti; (ii) each issued and outstanding whole warrant to purchase Class A ordinary shares of Supernova will automatically represent the right to purchase one share of New Rigetti Common Stock at an exercise price of $11.50 per share on the terms and conditions set forth in the Supernova Warrant Agreement; (iii) each issued and outstanding Supernova preference share will continue to exist as a share of preferred stock of New Rigetti; (iv) the governing documents of Supernova will be amended and restated and become the certificate of incorporation and the bylaws of New Rigetti as described in the proxy statement / prospectus on Form S-4; and (v) Supernova’s name will change to “Rigetti Computing, Inc.” In connection with clauses</w:t>
      </w:r>
    </w:p>
    <w:p>
      <w:pPr>
        <w:spacing w:after="0" w:line="2" w:lineRule="exact"/>
        <w:rPr>
          <w:sz w:val="20"/>
          <w:szCs w:val="20"/>
          <w:color w:val="auto"/>
        </w:rPr>
      </w:pPr>
    </w:p>
    <w:p>
      <w:pPr>
        <w:jc w:val="both"/>
        <w:ind w:firstLine="8"/>
        <w:spacing w:after="0" w:line="273" w:lineRule="auto"/>
        <w:tabs>
          <w:tab w:leader="none" w:pos="228" w:val="left"/>
        </w:tabs>
        <w:numPr>
          <w:ilvl w:val="0"/>
          <w:numId w:val="6"/>
        </w:numPr>
        <w:rPr>
          <w:rFonts w:ascii="Arial" w:cs="Arial" w:eastAsia="Arial" w:hAnsi="Arial"/>
          <w:sz w:val="17"/>
          <w:szCs w:val="17"/>
          <w:color w:val="auto"/>
        </w:rPr>
      </w:pPr>
      <w:r>
        <w:rPr>
          <w:rFonts w:ascii="Arial" w:cs="Arial" w:eastAsia="Arial" w:hAnsi="Arial"/>
          <w:sz w:val="17"/>
          <w:szCs w:val="17"/>
          <w:color w:val="auto"/>
        </w:rPr>
        <w:t>and (ii) of this paragraph, each issued and outstanding unit of Supernova that has not been previously separated into the underlying Class A ordinary shares of Supernova and the underlying warrants of Supernova prior to the Domestication will be cancelled and will entitle the holder thereof to one share of New Rigetti Common Stock and one-fourth of one warrant representing the right to purchase one share of New Rigetti Common Stock at an exercise price of $11.50 per share on the terms and subject to the conditions set forth in the Supernova Warrant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ind w:left="880"/>
        <w:spacing w:after="0"/>
        <w:rPr>
          <w:sz w:val="20"/>
          <w:szCs w:val="20"/>
          <w:color w:val="auto"/>
        </w:rPr>
      </w:pPr>
      <w:r>
        <w:rPr>
          <w:rFonts w:ascii="Arial" w:cs="Arial" w:eastAsia="Arial" w:hAnsi="Arial"/>
          <w:sz w:val="18"/>
          <w:szCs w:val="18"/>
          <w:b w:val="1"/>
          <w:bCs w:val="1"/>
          <w:i w:val="1"/>
          <w:iCs w:val="1"/>
          <w:color w:val="auto"/>
        </w:rPr>
        <w:t>Conditions to Closing</w:t>
      </w:r>
    </w:p>
    <w:p>
      <w:pPr>
        <w:spacing w:after="0" w:line="177"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The Merger Agreement is subject to the satisfaction or waiver of certain customary closing conditions, including, among others, (i) approval of the business combination and related agreements and transactions by the respective shareholders of Supernova and Rigetti, (ii) effectiveness of the proxy statement / prospectus on Form S-4 filed by Supernova in connection with the business combination, (iii) expiration or termination of the waiting period under the Hart-Scott-Rodino Antitrust Improvements Act of 1976, (iv) receipt of approval for listing on Nasdaq of the shares of New Rigetti Common Stock to be issued in connection with the Mergers, (v) that Supernova shall not have redeemed Supernova Class A ordinary shares that would cause Supernova to have less than $5,000,001 of net tangible assets upon Closing, (vi) completion of the Domestication, (vii) the absence of any injunctions or statute, rule or regulation prohibiting the transactions (vii) the accuracy of the parties’ respective representations and warranties (subject to specified materiality thresholds) and the material performance of the parties’ respective covenants and other obligations, (viii) no material adverse effect on Rigetti having occurred since signing that is continuing at Closing and (ix) solely as relates to Rigetti’s obligation to consummate the Transaction, Supernova having at least $165,000,000 of available cash at the Closing.</w:t>
      </w:r>
    </w:p>
    <w:p>
      <w:pPr>
        <w:spacing w:after="0" w:line="38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Covenants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Merger Agreement contains additional covenants, including, among others, providing for (i) the parties to conduct their respective businesses in the ordinary course through the Closing, (ii) Rigetti to prepare certain audited and unaudited consolidated financial statements of Rigetti for inclusion in the proxy statement / prospectus on Form S-4 related to the business combination, (iii) Supernova and Rigetti to prepare and Supernova file a proxy statement / prospectus on Form S-4 and take certain other actions to obtain the requisite approval of Supernova shareholders of certain proposals regarding the business combination (including the Domestication), and (iv) the parties to use reasonable best efforts to obtain necessary approvals from governmental agencies.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Representations and Warranties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Merger Agreement contains customary representations and warranties by Supernova, First Merger Sub, Second Merger Sub and Rigetti. The representations and warranties of the respective parties to the Merger Agreement generally will not survive the Closing.</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Termination</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Merger Agreement may be terminated at any time prior to the Closing (i) by mutual written agreement of Supernova and Rigetti; (ii) by Rigetti or Supernova, if (a) Closing has not occurred on or before June 6, 2022, subject to requirements set forth in the Merger Agreement, (b) any law adopted following the date of the Merger Agreement or Governmental Order (as defined in the Merger Agreement) issued making consummation of the Mergers illegal or otherwise preventing or prohibiting consummation of the Mergers or (c) Supernova shareholder approval is not obtained at an extraordinary general meeting of Supernova shareholders; (iii) by Supernova, if (a) Rigetti stockholder approval is not delivered to Supernova within seven days after the Registration Statement is declared effective, (b) any breach of any representation, warranty, covenant or agreement on the part of Rigetti set forth in the Merger Agreement, subject to the conditions and certain exceptions contained therein; or (iv) by Rigetti, upon any breach of any representation, warranty, covenant or agreement on the part of Supernova set forth in the Merger Agreement, subject to the conditions and certain exceptions contained therein.</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description of the Merger Agreement does not purport to be complete and is qualified in its entirety by the terms and conditions of the Merger Agreement, a copy of which is incorporated herein by reference from Exhibit 2.1 hereto.</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Merger Agreement has been included to provide investors with information regarding its terms. It is not intended to provide any other factual information about Supernova or its affiliates. The representations, warranties, covenants and agreements contained therein were made only for purposes and as of the specific dates set forth therein, were solely for the benefit of the parties thereto, may be subject to limitations agreed upon by the contracting parties, including being qualified by confidential disclosures made for the purposes of allocating contractual risk between the parties thereto instead of establishing these matters as facts, and may be subject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both"/>
        <w:spacing w:after="0" w:line="257" w:lineRule="auto"/>
        <w:rPr>
          <w:sz w:val="20"/>
          <w:szCs w:val="20"/>
          <w:color w:val="auto"/>
        </w:rPr>
      </w:pPr>
      <w:r>
        <w:rPr>
          <w:rFonts w:ascii="Arial" w:cs="Arial" w:eastAsia="Arial" w:hAnsi="Arial"/>
          <w:sz w:val="18"/>
          <w:szCs w:val="18"/>
          <w:color w:val="auto"/>
        </w:rPr>
        <w:t>standards of materiality applicable to the contracting parties that differ from those applicable to investors. Investors are not third-party beneficiaries thereunder and should not rely on the representations, warranties, covenants and agreements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Supernova’s public disclosures.</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October 6, 2021, Supernova entered into subscription agreements (the “Subscription Agreements”) with certain investors (collectively, the “PIPE Investors”), pursuant to, and on the terms and subject to the conditions of which, the PIPE Investors have collectively subscribed for 10,251,000 shares of New Rigetti Common Stock for an aggregate purchase price equal to $102,510,000 (the “PIPE Investment”). On December 23, 2021, Supernova entered into Subscription Agreements (the “Subsequent Subscription Agreements”), pursuant to which the subsequent PIPE investors (the “Subsequent PIPE Investors”) have agreed to subscribe for and purchase, and Supernova has agreed to issue and sell to the Subsequent PIPE investors an aggregate of 4,390,244 shares of New Rigetti Common Stock at a price of $10.25 per share, for aggregate gross proceeds of $45,000,000. The shares of New Rigetti Common Stock to be issued pursuant to the Subscription Agreements have not been registered under the Securities Act of 1933, as amended (the “Securities Act”) in reliance upon the exemption provided in Section 4(a)(2) of the Securities Act and/or Rule 506(c) promulgated thereunder. Supernova will grant the PIPE Investors certain registration rights in connection with the PIPE Financing. The PIPE Investments will be consummated substantially concurrently with the closing of the transactions contemplated by the Merger Agreement, subject to the terms and conditions contemplated by the Subscription Agreements. The Sponsor has purchased PIPE Shares in the PIPE Financing on the same terms as the initial PIPE Investors.</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Subscription Agreements for the PIPE Investors provide for certain registration rights. In particular, New Rigetti will be required to, as soon as practicable but no later than 30 calendar days following the Closing, submit to or file with the SEC a registration statement registering the resale of such shares. Additionally, New Rigetti will be required to use its commercially reasonable efforts to have the registration statement declared effective as soon as practicable after the filing thereof, but no later than the earlier of (i) the 60th calendar day following the filing date thereof, (ii) the 90th calendar day following the filing date thereof if the SEC notifies New Rigetti that it will “review” the registration statement, and (iii) the 10th business day after the date New Rigetti is notified in writing by the SEC that the registration statement will not be “reviewed” or will not be subject to further review. New Rigetti must use reasonable best efforts to keep the registration statement effective until the earliest of: (x) the date on which all of the shares covered by the registration statement have been sold, (y) with respect to shares held by a particular subscriber, the date all shares held by such subscriber may be sold without restriction under Rule 144, and (z) three years from the date of effectiveness of the registration statement.</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Subscription Agreements will terminate with no further force and effect upon the earliest to occur of: (a) such date and time as the Merger Agreement is terminated in accordance with its terms; (b) the mutual written agreement of the parties to such Subscription Agreement; (c) if any of the conditions to closing set forth in such Subscription Agreement are not satisfied on or prior to the Closing and, as a result thereof, the transactions contemplated by the Subscription Agreement fail to occur; and (d) June 6, 2022, if the Closing has not occurred by such date.</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description of the Subscription Agreements does not purport to be complete and is qualified in its entirety by the terms and conditions of the form of Subscription Agreement, a copy of which is incorporated herein by reference from Exhibit 10.7 hereto.</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Sponsor Support Agreement</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6, 2021, Supernova entered into a Sponsor Support Agreement in connection with the execution of the Merger Agreement, (the “Sponsor Support Agreement”) with the Sponsor, Rigetti and Supernova’s directors and officers, pursuant to which the Sponsor and each director of Supernova agreed, among other things, (i) to vote in favor of the Merger Agreement and the transactions contemplated thereby, (ii) that 2,479,000 Class B ordinary shares held by the Sponsor shall become unvested and subject to forfeiture if certain earnout conditions described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both"/>
        <w:spacing w:after="0" w:line="254" w:lineRule="auto"/>
        <w:rPr>
          <w:sz w:val="20"/>
          <w:szCs w:val="20"/>
          <w:color w:val="auto"/>
        </w:rPr>
      </w:pPr>
      <w:r>
        <w:rPr>
          <w:rFonts w:ascii="Arial" w:cs="Arial" w:eastAsia="Arial" w:hAnsi="Arial"/>
          <w:sz w:val="18"/>
          <w:szCs w:val="18"/>
          <w:color w:val="auto"/>
        </w:rPr>
        <w:t>more fully in the Sponsor Support Agreement are not satisfied, and (iii) up to an additional 1,000,000 Sponsor Shares will be unvested and subject to forfeiture as of the Closing based on the level of redemptions of Supernova Class A ordinary shares by holders thereof in connection with the transactions contemplated by the Merger Agreement (calculated in the manner set forth in the Sponsor Support Agreement), and any such additional Sponsor Earn Out Shares will only vest if, during the five-year period following the Closing, the volume weighted average price of Supernova’s common stock equals or exceeds $15.00 for any 20 trading days within a period of 30 consecutive trading days. Any Sponsor Earn Out Shares that remain unvested after the fifth anniversary of the Closing will be forfeited. The Sponsor Support Agreement will terminate upon the termination of the Merger Agreement if the Closing does not occur.</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description of the Sponsor Support Agreement does not purport to be complete and is qualified in its entirety by the terms and conditions of the Sponsor Support Agreement, a copy of which is incorporated herein by reference from Exhibit 10.8 hereto.</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Company Support Agreements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6, 2021, Supernova entered into the Rigetti Holders Support Agreement (the “Company Support Agreement”) with Rigetti and certain stockholders of Rigetti pursuant to which such stockholders have, among other things, agreed to vote to adopt and approve, upon the registration statement on Form S-4 being declared effective, the Merger Agreement and all other documents and transactions contemplated thereby. The Rigetti Holders Support Agreement will terminate upon the termination of the Merger Agreement if the Closing does not occur.</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foregoing description of the Company Support Agreement does not purport to be complete and is qualified in its entirety by the terms and conditions of the form of Company Support Agreement, a copy of which is incorporated herein by reference from Exhibit 10.9 hereto.</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Transfer Restrictions and Registration Rights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Merger Agreement contemplates that, at the Closing, Supernova, the Sponsor, Supernova’s officers and directors and certain of Rigetti’s former stockholders and certain of their respective affiliates will enter into an Amended and Restated Registration Rights Agreement (the “Registration Rights Agreement”), pursuant to which New Rigetti will agree to register for resale, pursuant to Rule 415 under the Securities Act, certain shares of New Rigetti Common Stock and other equity securities that are held by the parties thereto from time to time. Additionally, the Bylaws of New Rigetti (the “Bylaws”) contain certain restrictions on transfer with respect to the shares of New Rigetti Common Stock received as Merger Consideration immediately following the closing. Such restrictions begin at Closing and end at the date that is six months after the Closing, except that, on the date that is 180 days after the Closing, an amount of New Rigetti Common Stock equal to the lesser of (i) 1% of the New Rigetti Common Stock then outstanding, or (ii) the average weekly reported trading volume of the New Rigetti Common Stock during the four calendar weeks preceding the filing of a notice on Form 144 with respect to the sale.</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Subscription Agreements, the Sponsor Support Agreement and the Company Support Agreements have been included to provide investors with information regarding its terms. They are not intended to provide any other factual information about Supernova or its affiliates. The representations, warranties, covenants and agreements contained in the Subscription Agreements, the Sponsor Support Agreement, the Company Support Agreements and the other documents related thereto were made only for purposes and as of the specific dates set forth therein, were solely for the benefit of the parties to the Subscription Agreements, the Sponsor Support Agreement and the Company Support Agreements, may be subject to limitations agreed upon by the contracting parties, including being qualified by confidential disclosures made for the purposes of allocating contractual risk between the parties to the Subscription Agreements, the Sponsor Support Agreement or Company Support Agreements instead of establishing these matters as facts, and may be subject to standards of materiality applicable to the contracting parties that differ from those applicable to investors. Investors are not third-party beneficiaries under the Subscription Agreements, the Sponsor Support Agreement or the Company Support Agreements and should not rely on the representations, warranties, covenants and agreements or any descriptions thereof as characterizations of the actual state of facts or condition of the parties thereto or any of their respective subsidiaries or affiliates. Moreover, information concerning the subject matter of representations and warranties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both"/>
        <w:ind w:right="20"/>
        <w:spacing w:after="0" w:line="277" w:lineRule="auto"/>
        <w:rPr>
          <w:sz w:val="20"/>
          <w:szCs w:val="20"/>
          <w:color w:val="auto"/>
        </w:rPr>
      </w:pPr>
      <w:r>
        <w:rPr>
          <w:rFonts w:ascii="Arial" w:cs="Arial" w:eastAsia="Arial" w:hAnsi="Arial"/>
          <w:sz w:val="18"/>
          <w:szCs w:val="18"/>
          <w:color w:val="auto"/>
        </w:rPr>
        <w:t>may change after the date of the Subscription Agreements, the Sponsor Support Agreements or the Company Support Agreements, as applicable, which subsequent information may or may not be fully reflected in Supernova’s public disclosures.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regarding the business combination, see the Registration Statement filed on Amendment No. 3 to Form S-4 dated January 28, 2022.</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Business Strategy</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Supernova Partners Acquisition Company II, Ltd., a newly formed blank check company, was established by Spencer Rascoff, Alexander Klabin, Robert Reid and Michael Clifton to leverage their extensive experience in acquiring, building, operating and scaling businesses in constantly evolving environments. We intend to partner with a technology company focusing on enterprise solutions.</w:t>
      </w:r>
    </w:p>
    <w:p>
      <w:pPr>
        <w:spacing w:after="0" w:line="143"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Our team has decades of operational, investment and acquisition experience across both public and private companies. Mr. Rascoff is a serial entrepreneur who co-founded Hotwire and Zillow, and who led Zillow as Chief Executive Officer (“CEO”) for nearly a decade. Mr. Klabin is an accomplished investor and entrepreneur who co</w:t>
      </w:r>
      <w:r>
        <w:rPr>
          <w:rFonts w:ascii="MS PGothic" w:cs="MS PGothic" w:eastAsia="MS PGothic" w:hAnsi="MS PGothic"/>
          <w:sz w:val="18"/>
          <w:szCs w:val="18"/>
          <w:color w:val="auto"/>
        </w:rPr>
        <w:t>‑</w:t>
      </w:r>
      <w:r>
        <w:rPr>
          <w:rFonts w:ascii="Arial" w:cs="Arial" w:eastAsia="Arial" w:hAnsi="Arial"/>
          <w:sz w:val="18"/>
          <w:szCs w:val="18"/>
          <w:color w:val="auto"/>
        </w:rPr>
        <w:t>founded Senator Investment Group in 2008 and successfully navigated the firm through complicated equity and credit market environments during his 12-year tenure as Co-Chief Investment Officer. Mr. Reid is an experienced investor who spent 21 years at Blackstone, where he was a Senior Managing Director in the Private Equity Group. Mr. Clifton has been an investor and financial professional for over 18 years and was most recently a senior investment professional at The Carlyle Group. Our founders also successfully executed an initial public offering of Supernova Partners Acquisition Company, Inc. (“Supernova I”) in October of 2020. Supernova I has since completed a business combination and is now named Offerpad Solutions Inc. (“Offerpad”).</w:t>
      </w:r>
    </w:p>
    <w:p>
      <w:pPr>
        <w:spacing w:after="0" w:line="178"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We believe our collective experience provides us a distinctive ability to identify and partner with a high</w:t>
      </w:r>
      <w:r>
        <w:rPr>
          <w:rFonts w:ascii="MS PGothic" w:cs="MS PGothic" w:eastAsia="MS PGothic" w:hAnsi="MS PGothic"/>
          <w:sz w:val="18"/>
          <w:szCs w:val="18"/>
          <w:color w:val="auto"/>
        </w:rPr>
        <w:t>‑</w:t>
      </w:r>
      <w:r>
        <w:rPr>
          <w:rFonts w:ascii="Arial" w:cs="Arial" w:eastAsia="Arial" w:hAnsi="Arial"/>
          <w:sz w:val="18"/>
          <w:szCs w:val="18"/>
          <w:color w:val="auto"/>
        </w:rPr>
        <w:t>quality company and add value through active and engaged involvement with its management team.</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were incorporated as a Cayman Islands exempted company for the purpose of effecting a merger, share exchange, asset acquisition, share purchase, reorganization or similar business combination with one or more businesses or entities. We have not selected any specific business combination target, and we have not, nor has anyone on our behalf, engaged in any substantive discussions, directly or indirectly, with any business combination target with respect to a business combination with us.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Our sourcing and transactional experience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of the members of our team is an accomplished investor with a strong track record of identifying, sourcing and executing a wide variety of transactions, from small tuck-ins to mega-mergers to growth investments globally across a range of macroeconomic and industry cycles.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With decades of experience as entrepreneurs, operating executives and investors, our team has expansive networks to help source transactions. We have earned the respect and trust of founders and company CEOs, as reflected by the independent Board members we have assembled.</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partner will benefit from the trust our collective team has built with the investing and technology community over the last three decades. Our team has tenured relationships with some of the largest long-term public market investors. We will be strong supporters of the target company from the initial business combination through the evolution of the company over the years to come. Our complementary transaction experience is a key differentiator that will enable the management team to navigate the combination process.</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Our operating experience</w:t>
      </w:r>
    </w:p>
    <w:p>
      <w:pPr>
        <w:spacing w:after="0" w:line="18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Our team has extensive operating experience and has demonstrated the ability to scale businesses across sectors and create immense value for shareholders over time. Our team has a strong focus on culture, and they have created award</w:t>
      </w:r>
      <w:r>
        <w:rPr>
          <w:rFonts w:ascii="MS PGothic" w:cs="MS PGothic" w:eastAsia="MS PGothic" w:hAnsi="MS PGothic"/>
          <w:sz w:val="18"/>
          <w:szCs w:val="18"/>
          <w:color w:val="auto"/>
        </w:rPr>
        <w:t>‑</w:t>
      </w:r>
      <w:r>
        <w:rPr>
          <w:rFonts w:ascii="Arial" w:cs="Arial" w:eastAsia="Arial" w:hAnsi="Arial"/>
          <w:sz w:val="18"/>
          <w:szCs w:val="18"/>
          <w:color w:val="auto"/>
        </w:rPr>
        <w:t>winning workplaces. Our team has served as advisors, investors and board members to companies across all stages of business lifecycles and have managed companies and investment strategies through ever-changing markets and world events.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both"/>
        <w:spacing w:after="0" w:line="255" w:lineRule="auto"/>
        <w:rPr>
          <w:sz w:val="20"/>
          <w:szCs w:val="20"/>
          <w:color w:val="auto"/>
        </w:rPr>
      </w:pPr>
      <w:r>
        <w:rPr>
          <w:rFonts w:ascii="Arial" w:cs="Arial" w:eastAsia="Arial" w:hAnsi="Arial"/>
          <w:sz w:val="18"/>
          <w:szCs w:val="18"/>
          <w:color w:val="auto"/>
        </w:rPr>
        <w:t>In 2018, Mr. Rascoff led Zillow through a seminal business model pivot when it launched Zillow Offers, an expansion into the buying and selling of homes and a materially different business than Zillow’s existing online advertising business. This launch necessitated extensive communications with investors, many of whom were initially dubious of the new strategy. This pivot also led to a wholesale re-imagining of Zillow’s corporate structure and culture, as Zillow evolved from a vertical technology company with an online marketplace to one that required operational efficiency and asset intensity. Today, Zillow Offers is considered a core pillar of Zillow’s business and Mr. Rascoff’s strategic shift has resulted in meaningful value creation for Zillow Group’s shareholders.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Senator, Mr. Klabin, alongside his partner, built, scaled and managed the firm’s business during an incredibly complex time in global financial markets and the investment management industry. He successfully navigated the firm and its investment portfolio through the Great Financial Crisis (2008-2009), the European Sovereign Crisis (2011), the Global Growth Slowdown (2015-2016) and numerous other periods of stress in funding and capital markets. His track record of generating value for multiple stakeholders is underscored by Senator’s strong risk-adjusted returns and growth in assets under management during his tenure.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rapidly evolving technology landscape, management teams benefit from advice from seasoned operators who have experience scaling businesses and accessing capital markets. Our team’s combined and complementary experience of managing companies throughout business cycles will be an advantage for a potential partner company.</w:t>
      </w:r>
    </w:p>
    <w:p>
      <w:pPr>
        <w:spacing w:after="0" w:line="143"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i w:val="1"/>
          <w:iCs w:val="1"/>
          <w:color w:val="auto"/>
        </w:rPr>
        <w:t>Our commitment to helping our partner company avoid the potential pitfalls faced by newly public and growing companies</w:t>
      </w:r>
    </w:p>
    <w:p>
      <w:pPr>
        <w:spacing w:after="0" w:line="185"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As entrepreneurs ourselves, our management team is “all-in”—we have committed to all of the risk capital associated with this business combination.</w:t>
      </w: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well-situated to help guide our partner through the challenges of being a publicly traded company. Our team’s operating and transactional experience, along with that of our Board, will help our partner company build and scale over many years. We have assembled a Board that includes operating executives from companies of wide-ranging sizes, stages and sectors. Our Board members have experienced the various challenges of entrepreneurship and management from taking resource-constrained companies from scratch to scale and pivoting global strategies as technology trends and competitive forces shift.</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Business Combination Criteria</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our Initial Public Offering, we commenced a search for prospective business and assets to acquire. Our goal was to identify technology companies that are well-positioned to benefit from thematic shifts and tech-enabled trends. Consistent with our business strategy, we have identified the following general criteria and guidelines that we believe are important in evaluating prospective target businesses. We have used and will continue to use these criteria and guidelines in evaluating acquisition opportunities, but we may decide to enter into our initial business combination with a target business that does not meet some or all of these criteria and guidelines.</w:t>
      </w:r>
    </w:p>
    <w:p>
      <w:pPr>
        <w:spacing w:after="0" w:line="336" w:lineRule="exact"/>
        <w:rPr>
          <w:sz w:val="20"/>
          <w:szCs w:val="20"/>
          <w:color w:val="auto"/>
        </w:rPr>
      </w:pPr>
    </w:p>
    <w:p>
      <w:pPr>
        <w:ind w:left="1300" w:hanging="44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Large addressable market</w:t>
      </w:r>
      <w:r>
        <w:rPr>
          <w:rFonts w:ascii="Arial" w:cs="Arial" w:eastAsia="Arial" w:hAnsi="Arial"/>
          <w:sz w:val="18"/>
          <w:szCs w:val="18"/>
          <w:color w:val="auto"/>
        </w:rPr>
        <w:t>. We will focus on investing in a business that addresses a large market that creates the opportunity for</w:t>
      </w:r>
      <w:r>
        <w:rPr>
          <w:rFonts w:ascii="Arial" w:cs="Arial" w:eastAsia="Arial" w:hAnsi="Arial"/>
          <w:sz w:val="18"/>
          <w:szCs w:val="18"/>
          <w:i w:val="1"/>
          <w:iCs w:val="1"/>
          <w:color w:val="auto"/>
        </w:rPr>
        <w:t xml:space="preserve"> </w:t>
      </w:r>
      <w:r>
        <w:rPr>
          <w:rFonts w:ascii="Arial" w:cs="Arial" w:eastAsia="Arial" w:hAnsi="Arial"/>
          <w:sz w:val="18"/>
          <w:szCs w:val="18"/>
          <w:color w:val="auto"/>
        </w:rPr>
        <w:t>attractive long-term growth prospects.</w:t>
      </w:r>
    </w:p>
    <w:p>
      <w:pPr>
        <w:spacing w:after="0" w:line="318"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Growth</w:t>
      </w:r>
      <w:r>
        <w:rPr>
          <w:rFonts w:ascii="Arial" w:cs="Arial" w:eastAsia="Arial" w:hAnsi="Arial"/>
          <w:sz w:val="18"/>
          <w:szCs w:val="18"/>
          <w:color w:val="auto"/>
        </w:rPr>
        <w:t>. We believe that sustainable growth provides a company with access to the capital, talent and resources necessary for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success.</w:t>
      </w:r>
    </w:p>
    <w:p>
      <w:pPr>
        <w:spacing w:after="0" w:line="318" w:lineRule="exact"/>
        <w:rPr>
          <w:rFonts w:ascii="Arial" w:cs="Arial" w:eastAsia="Arial" w:hAnsi="Arial"/>
          <w:sz w:val="18"/>
          <w:szCs w:val="18"/>
          <w:color w:val="auto"/>
        </w:rPr>
      </w:pPr>
    </w:p>
    <w:p>
      <w:pPr>
        <w:ind w:left="1300" w:right="20" w:hanging="442"/>
        <w:spacing w:after="0" w:line="308"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Management team</w:t>
      </w:r>
      <w:r>
        <w:rPr>
          <w:rFonts w:ascii="Arial" w:cs="Arial" w:eastAsia="Arial" w:hAnsi="Arial"/>
          <w:sz w:val="17"/>
          <w:szCs w:val="17"/>
          <w:color w:val="auto"/>
        </w:rPr>
        <w:t>. We intend to partner with a management team that has a well-defined vision for the company and the sector in which</w:t>
      </w:r>
      <w:r>
        <w:rPr>
          <w:rFonts w:ascii="Arial" w:cs="Arial" w:eastAsia="Arial" w:hAnsi="Arial"/>
          <w:sz w:val="17"/>
          <w:szCs w:val="17"/>
          <w:i w:val="1"/>
          <w:iCs w:val="1"/>
          <w:color w:val="auto"/>
        </w:rPr>
        <w:t xml:space="preserve"> </w:t>
      </w:r>
      <w:r>
        <w:rPr>
          <w:rFonts w:ascii="Arial" w:cs="Arial" w:eastAsia="Arial" w:hAnsi="Arial"/>
          <w:sz w:val="17"/>
          <w:szCs w:val="17"/>
          <w:color w:val="auto"/>
        </w:rPr>
        <w:t>they operate. We intend to identify a management team with a proven track record in managing and scaling businesses.</w:t>
      </w:r>
    </w:p>
    <w:p>
      <w:pPr>
        <w:spacing w:after="0" w:line="294" w:lineRule="exact"/>
        <w:rPr>
          <w:rFonts w:ascii="Arial" w:cs="Arial" w:eastAsia="Arial" w:hAnsi="Arial"/>
          <w:sz w:val="17"/>
          <w:szCs w:val="17"/>
          <w:color w:val="auto"/>
        </w:rPr>
      </w:pPr>
    </w:p>
    <w:p>
      <w:pPr>
        <w:ind w:left="1300" w:hanging="44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Competitive differentiation</w:t>
      </w:r>
      <w:r>
        <w:rPr>
          <w:rFonts w:ascii="Arial" w:cs="Arial" w:eastAsia="Arial" w:hAnsi="Arial"/>
          <w:sz w:val="18"/>
          <w:szCs w:val="18"/>
          <w:color w:val="auto"/>
        </w:rPr>
        <w:t>. We seek a business that maintains strong and defensible competitive moats. We believe these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advantages over time will lead to durable and profitable growth.</w:t>
      </w:r>
    </w:p>
    <w:p>
      <w:pPr>
        <w:spacing w:after="0" w:line="318" w:lineRule="exact"/>
        <w:rPr>
          <w:rFonts w:ascii="Arial" w:cs="Arial" w:eastAsia="Arial" w:hAnsi="Arial"/>
          <w:sz w:val="18"/>
          <w:szCs w:val="18"/>
          <w:color w:val="auto"/>
        </w:rPr>
      </w:pPr>
    </w:p>
    <w:p>
      <w:pPr>
        <w:ind w:left="1300" w:right="20" w:hanging="44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Economic model</w:t>
      </w:r>
      <w:r>
        <w:rPr>
          <w:rFonts w:ascii="Arial" w:cs="Arial" w:eastAsia="Arial" w:hAnsi="Arial"/>
          <w:sz w:val="18"/>
          <w:szCs w:val="18"/>
          <w:color w:val="auto"/>
        </w:rPr>
        <w:t>. We intend to leverage our extensive experience in understanding and evaluating various business models to identify</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with compelling unit economics that will underpin the trajectory of the business over time.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ind w:left="1300" w:hanging="44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Scalability</w:t>
      </w:r>
      <w:r>
        <w:rPr>
          <w:rFonts w:ascii="Arial" w:cs="Arial" w:eastAsia="Arial" w:hAnsi="Arial"/>
          <w:sz w:val="18"/>
          <w:szCs w:val="18"/>
          <w:color w:val="auto"/>
        </w:rPr>
        <w:t>. We seek to partner with a company that will be able to significantly scale its operations to take advantage of its opportunities.</w:t>
      </w:r>
      <w:r>
        <w:rPr>
          <w:rFonts w:ascii="Arial" w:cs="Arial" w:eastAsia="Arial" w:hAnsi="Arial"/>
          <w:sz w:val="18"/>
          <w:szCs w:val="18"/>
          <w:i w:val="1"/>
          <w:iCs w:val="1"/>
          <w:color w:val="auto"/>
        </w:rPr>
        <w:t xml:space="preserve"> </w:t>
      </w:r>
      <w:r>
        <w:rPr>
          <w:rFonts w:ascii="Arial" w:cs="Arial" w:eastAsia="Arial" w:hAnsi="Arial"/>
          <w:sz w:val="18"/>
          <w:szCs w:val="18"/>
          <w:color w:val="auto"/>
        </w:rPr>
        <w:t>We intend to leverage our experience in scaling businesses in order to help accelerate growth.</w:t>
      </w:r>
    </w:p>
    <w:p>
      <w:pPr>
        <w:spacing w:after="0" w:line="305" w:lineRule="exact"/>
        <w:rPr>
          <w:rFonts w:ascii="Arial" w:cs="Arial" w:eastAsia="Arial" w:hAnsi="Arial"/>
          <w:sz w:val="18"/>
          <w:szCs w:val="18"/>
          <w:color w:val="auto"/>
        </w:rPr>
      </w:pPr>
    </w:p>
    <w:p>
      <w:pPr>
        <w:jc w:val="both"/>
        <w:ind w:left="1300" w:hanging="442"/>
        <w:spacing w:after="0" w:line="263"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Culture. </w:t>
      </w:r>
      <w:r>
        <w:rPr>
          <w:rFonts w:ascii="Arial" w:cs="Arial" w:eastAsia="Arial" w:hAnsi="Arial"/>
          <w:sz w:val="18"/>
          <w:szCs w:val="18"/>
          <w:color w:val="auto"/>
        </w:rPr>
        <w:t>Our team’s experience has shown that the relationship a company has with its employees and other stakeholders can contribute</w:t>
      </w:r>
      <w:r>
        <w:rPr>
          <w:rFonts w:ascii="Arial" w:cs="Arial" w:eastAsia="Arial" w:hAnsi="Arial"/>
          <w:sz w:val="18"/>
          <w:szCs w:val="18"/>
          <w:i w:val="1"/>
          <w:iCs w:val="1"/>
          <w:color w:val="auto"/>
        </w:rPr>
        <w:t xml:space="preserve"> </w:t>
      </w:r>
      <w:r>
        <w:rPr>
          <w:rFonts w:ascii="Arial" w:cs="Arial" w:eastAsia="Arial" w:hAnsi="Arial"/>
          <w:sz w:val="18"/>
          <w:szCs w:val="18"/>
          <w:color w:val="auto"/>
        </w:rPr>
        <w:t>positively to a company’s success, and we therefore intend to partner with a company that has a transparent corporate culture anchored in strong values.</w:t>
      </w:r>
    </w:p>
    <w:p>
      <w:pPr>
        <w:spacing w:after="0" w:line="332" w:lineRule="exact"/>
        <w:rPr>
          <w:rFonts w:ascii="Arial" w:cs="Arial" w:eastAsia="Arial" w:hAnsi="Arial"/>
          <w:sz w:val="18"/>
          <w:szCs w:val="18"/>
          <w:color w:val="auto"/>
        </w:rPr>
      </w:pPr>
    </w:p>
    <w:p>
      <w:pPr>
        <w:ind w:left="1300" w:right="20" w:hanging="44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Valuation</w:t>
      </w:r>
      <w:r>
        <w:rPr>
          <w:rFonts w:ascii="Arial" w:cs="Arial" w:eastAsia="Arial" w:hAnsi="Arial"/>
          <w:sz w:val="18"/>
          <w:szCs w:val="18"/>
          <w:color w:val="auto"/>
        </w:rPr>
        <w:t>. We are nimble, experienced and sophisticated investors with a keen understanding of fundamental value. We expect to</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 a business combination that pairs significant upside potential with limited downside risks.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criteria and guidelines are not intended to be exhaustive. Any evaluation relating to the merits of a particular initial business combination may be based, to the extent relevant, on these general criteria and guidelines as well as other considerations, factors, criteria and guidelines that our management may deem relevant. In the event that we decide to enter into our initial business combination with a target business that does not meet the above criteria and guidelines, we will disclose that the target business does not meet the above criteria and guidelines in our shareholder communications related to our initial business combination, which, as discussed in this Report, would be in the form of tender offer documents or proxy solicitation materials that we would file with the SEC.</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Our Business Combination Process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evaluating a prospective target business, we will conduct an extensive due diligence review which may encompass, as applicable and among other things, meetings with incumbent management and employees, document reviews, interviews of customers and suppliers, inspection of facilities and a review of financial and other information about the target and its industry. We will also utilize our management team’s operational and capital planning experience.</w:t>
      </w:r>
    </w:p>
    <w:p>
      <w:pPr>
        <w:spacing w:after="0" w:line="1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Each of our directors and officers, directly or indirectly, own Founder Shares and/or private placement warrants and, accordingly, may have a conflict of interest in determining whether a particular target business is an appropriate business with which to effectuate our initial business combination. Further, such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subject to his or her fiduciary duties. As a result, if any of our officers or directors become aware of a business combination opportunity that is suitable for an entity to which he or she has then-current fiduciary or contractual obligations, then, subject to such officer’s and director’s fiduciary duties under Cayman Islands law, he or she will need to honor such fiduciary or contractual obligations to present such business combination opportunity to such entity, before we can pursue such opportunity. If these other entities decide to pursue any such opportunity, we may be precluded from pursuing the same. However, we do not expect these duties to materially affect our ability to complete our initial business combination. Our amended and restated memorandum and articles of association provides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Initial Business Combination</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New York Stock Exchange (“NYSE”) listing rules require that our initial business combination must be with one or more target businesses that together have an aggregate fair market value equal to at least 80% of the assets held in the Trust Account (excluding the amount of deferred underwriting discounts held in trust and taxes payable on the income earned on the Trust Account) at the time of our signing a definitive agreement in connection with our initial business combination. We refer to this as the 80% of net assets test. If our board of directors is not able to independently determine the fair market value of the target business or businesses, we will obtain an opinion from an independent investment banking firm that is a member of FINRA or from an independent accounting firm, with respect to the satisfaction of such criteria.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both"/>
        <w:spacing w:after="0" w:line="288" w:lineRule="auto"/>
        <w:rPr>
          <w:sz w:val="20"/>
          <w:szCs w:val="20"/>
          <w:color w:val="auto"/>
        </w:rPr>
      </w:pPr>
      <w:r>
        <w:rPr>
          <w:rFonts w:ascii="Arial" w:cs="Arial" w:eastAsia="Arial" w:hAnsi="Arial"/>
          <w:sz w:val="16"/>
          <w:szCs w:val="16"/>
          <w:color w:val="auto"/>
        </w:rPr>
        <w:t>If our board of directors is not able to independently determine the fair market value of the target business or businesses, we will obtain an opinion from an independent investment banking firm or an independent valuation or appraisal firm with respect to the satisfaction of such criteria. While we consider it unlikely that our board of directors will not be able to make an independent determination of the fair market value of a target business or businesses, it may be unable to do so if the board is less familiar or experienced with the target company’s business, there is a significant amount of uncertainty as to the value of the company’s assets or prospects, including if such company is at an early stage of development, operations or growth, or if the anticipated transaction involves a complex financial analysis or other specialized skills and the board determines that outside expertise would be helpful or necessary in conducting such analysis. Since any opinion, if obtained, would merely state that the fair market value of the target business meets the 80% of net assets threshold, unless such opinion includes material information regarding the valuation of a target business or the consideration to be provided, it is not anticipated that copies of such opinion would be distributed to our shareholders. However, if required under applicable law, any proxy statement that we deliver to shareholders and file with the SEC in connection with a proposed transaction will include such opinion.</w:t>
      </w:r>
    </w:p>
    <w:p>
      <w:pPr>
        <w:spacing w:after="0" w:line="12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anticipate structuring our initial business combination so that the post-business combination company in which our public shareholders own shares will own or acquire 100% of the equity interests or assets of the target business or businesses. We may, however, structure our initial business combination such that the post-business combination company owns or acquires less than 100% of such interests or assets of the target in order to meet certain objectives of the target management team or shareholders or for other reasons, but we will only complete such business combination if the post-business combination company owns or acquires 50% or more of the outstanding voting securities of the target or otherwise acquires a controlling interest in the target business sufficient for it not to be required to register as an investment company under the Investment Company Act of 1940, as amended, or the Investment Company Act. Even if the post-business combination company owns or acquires 50% or more of the voting securities of the target, our shareholders prior to the business combination may collectively own a minority interest in the post-business combination company, depending on valuations ascribed to the target and us in the business combination. For example, we could pursue a transaction in which we issue a substantial number of new shares in exchange for all of the outstanding capital stock, shares or other equity interests of a target or issue a substantial number of new shares to third parties in connection with financing our initial business combination. In such cases, we would acquire a 100% controlling interest in the target. However, as a result of the issuance of a substantial number of new shares, our shareholders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post-business combination company, the portion of such business or businesses that is owned or acquired is what will be valued for purposes of the 80% of net assets test. If the business combination involves more than one target business, the 80% of net assets test will be based on the aggregate value of all of the target businesses.</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Other Considerations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Founders, officers or directors. In the event we seek to complete our initial business combination with a company that is affiliated with our Sponsor or any of our Founders, officers or directors, we, or a committee of independent directors,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both"/>
        <w:spacing w:after="0" w:line="308" w:lineRule="auto"/>
        <w:rPr>
          <w:sz w:val="20"/>
          <w:szCs w:val="20"/>
          <w:color w:val="auto"/>
        </w:rPr>
      </w:pPr>
      <w:r>
        <w:rPr>
          <w:rFonts w:ascii="Arial" w:cs="Arial" w:eastAsia="Arial" w:hAnsi="Arial"/>
          <w:sz w:val="17"/>
          <w:szCs w:val="17"/>
          <w:color w:val="auto"/>
        </w:rPr>
        <w:t>will obtain an opinion from an independent investment banking firm or another independent entity that commonly renders valuation opinions that such initial business combination is fair to our company from a financial point of view. We are not required to obtain such an opinion in any other context.</w:t>
      </w:r>
    </w:p>
    <w:p>
      <w:pPr>
        <w:spacing w:after="0" w:line="10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Members of our management team may directly or indirectly own our ordinary shares and/or warrants following the IPO and, accordingly, may have a conflict of interest in determining whether a particular target business is an appropriate business with which to effectuate our initial business combination.</w:t>
      </w:r>
    </w:p>
    <w:p>
      <w:pPr>
        <w:spacing w:after="0" w:line="97"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In addition, certain of our Founders, officers and directors presently have, and any of them in the future may have additional, fiduciary and contractual duties to other entities. As a result, if any of our Founders, officers or directors becomes aware of a business combination opportunity which is suitable for an entity to which he, she or it has then</w:t>
      </w:r>
      <w:r>
        <w:rPr>
          <w:rFonts w:ascii="MS PGothic" w:cs="MS PGothic" w:eastAsia="MS PGothic" w:hAnsi="MS PGothic"/>
          <w:sz w:val="18"/>
          <w:szCs w:val="18"/>
          <w:color w:val="auto"/>
        </w:rPr>
        <w:t>‑</w:t>
      </w:r>
      <w:r>
        <w:rPr>
          <w:rFonts w:ascii="Arial" w:cs="Arial" w:eastAsia="Arial" w:hAnsi="Arial"/>
          <w:sz w:val="18"/>
          <w:szCs w:val="18"/>
          <w:color w:val="auto"/>
        </w:rPr>
        <w:t>current fiduciary or contractual obligations, then, subject to their fiduciary duties under Cayman Islands law, he, she or it will need to honor such fiduciary or contractual obligations to present such business combination opportunity to such entity, before we can pursue such opportunity. If these other entities decide to pursue any such opportunity, we may be precluded from pursuing the same. However, we do not expect these duties to materially affect our ability to complete our initial business combination. Our amended and restated memorandum and articles of association provides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Founders, Sponsor, officers and directors may Sponsor, form or participate in other blank check companies similar to ours during the period in which we are seeking an initial business combination, including Supernova Partners Acquisition Company III, Ltd. (“Supernova III”). Any such companies may present additional conflicts of interest in pursuing an acquisition target, particularly in the event there is overlap among investment mandates. However, we do not currently expect that any such other blank check company would materially affect our ability to complete our initial business combination. In addition, our Founders, Sponsor,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Status as a Public Company</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believe our structure as a public company makes us an attractive business combination partner to target businesses. As an existing public company, we offer a target business an alternative to the traditional Initial Public Offering through a merger or other business combination with us. In a business combination transaction with us, the owners of the target business may, for example, exchange their shares of stock, shares or other equity interests in the target business for our Class A ordinary shares (or shares of a new holding company) or for a combination of our Class A ordinary shares and cash, allowing us to tailor the consideration to the specific needs of the sellers. We believe target businesses will find this method a more expeditious and cost-effective method to becoming a public company than the typical Initial Public Offering. The typical Initial Public Offering process takes a significantly longer period of time than the typical business combination transaction process, and there are significant expenses in the Initial Public Offering process, including underwriting discounts and commissions, that may not be present to the same extent in connection with a business combination with us.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have negative valuation consequences. Once public, we believe the target business would then have greater access to capital, an additional means of providing management incentives consistent with shareholders’ interests and the ability to use its shares as currency for acquisitions. Being a public company can offer further benefits by augmenting a company’s profile among potential new customers and vendors and aid in attracting talented employees.</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we believe that our structure and our management team’s backgrounds will make us an attractive business partner, some potential target businesses may view our status as a blank check company, such as our lack of an operating history and our ability to seek shareholder approval of any proposed initial business combination, negatively.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both"/>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will remain an emerging growth company until the earlier of (i) the last day of the fiscal year (a) following the fifth anniversary of the completion of our Initial Public Offering, (b) in which we have total annual gross revenue of at least $1.07 billion, or (c) in which we are deemed to be a large accelerated filer, which means the market value of our Class A ordinary shares that are held by non-affiliates exceeds $700 million as of the prior June 30th, and (ii) the date on which we have issued more than $1.0 billion in non-convertible debt during the prior three-year period.</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Financial Position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funds available for a business combination initially in the amount of $333,476,000 after payment of $12,075,000 of deferred underwriting fees, we offer a target business a variety of options such as creating a liquidity event for its owners, providing capital for the potential growth and expansion of its operations or strengthening its consolidated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General</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not presently engaged in, and we will not engage in, any operations until we consummate our initial business combination. We intend to effectuate our initial business combination using cash from the proceeds of our Initial Public Offering and the private placement of the private placement warrants, the proceeds of the sale of our shares in connection with our initial business combination (pursuant to forward purchase agreements or backstop agreements we may enter into following the consummation of our Initial Public Offering or otherwise), shares issued to the owners of the target, debt issued to bank or other lenders or the owners of the target, or a combination of the foregoing or other sources.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initial business combination is paid for using equity or debt, or not all of the funds released from the Trust Account are used for payment of the consideration in connection with our initial business combination or used for redemptions of our Class A ordinary shares, we may apply the balance of the cash released to us from the Trust Account for general corporate purposes, including for maintenance or expansion of operations of the post-business combination company, the payment of principal or interest due on indebtedness incurred in completing our initial business combination, to fund the purchase of other companies or for working capital.</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There are no prohibitions on our ability to issue securities or incur debt in connection with our initial business combination.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ind w:left="880"/>
        <w:spacing w:after="0"/>
        <w:rPr>
          <w:sz w:val="20"/>
          <w:szCs w:val="20"/>
          <w:color w:val="auto"/>
        </w:rPr>
      </w:pPr>
      <w:r>
        <w:rPr>
          <w:rFonts w:ascii="Arial" w:cs="Arial" w:eastAsia="Arial" w:hAnsi="Arial"/>
          <w:sz w:val="18"/>
          <w:szCs w:val="18"/>
          <w:b w:val="1"/>
          <w:bCs w:val="1"/>
          <w:color w:val="auto"/>
        </w:rPr>
        <w:t>Sources of Target Businesses</w:t>
      </w:r>
    </w:p>
    <w:p>
      <w:pPr>
        <w:spacing w:after="0" w:line="189"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We anticipate that target business candidates will be brought to our attention from various unaffiliated sources, including investment market participants, private equity groups, investment banking firms, consultants, accounting firms and large business enterprises. Target businesses may be brought to our attention by such unaffiliated sources as a result of being solicited by us through calls or mailings. These sources may also introduce us to target businesses in which they think we may be interested on an unsolicited basis, since some of these sources will have read this Report and know what types of businesses we are targeting. Our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In no event, however, will our sponsor or any of our existing officers or directors, or their respective affiliates be paid by us any finder’s fee, consulting fee or other compensation prior to, or for any services they render in order to effectuate, the completion of our initial business combination (regardless of the type of transaction that it is). Some of our officers and directors may enter into employment or consulting agreements with the post</w:t>
      </w:r>
      <w:r>
        <w:rPr>
          <w:rFonts w:ascii="MS PGothic" w:cs="MS PGothic" w:eastAsia="MS PGothic" w:hAnsi="MS PGothic"/>
          <w:sz w:val="16"/>
          <w:szCs w:val="16"/>
          <w:color w:val="auto"/>
        </w:rPr>
        <w:t>‑</w:t>
      </w:r>
      <w:r>
        <w:rPr>
          <w:rFonts w:ascii="Arial" w:cs="Arial" w:eastAsia="Arial" w:hAnsi="Arial"/>
          <w:sz w:val="16"/>
          <w:szCs w:val="16"/>
          <w:color w:val="auto"/>
        </w:rPr>
        <w:t>business combination company following our initial business combination. The presence or absence of any such fees or arrangements will not be used as a criterion in our selection process of an acquisition candidate.</w:t>
      </w: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or any of our officers or directors, we, or a committee of independent directors, will obtain an opinion from an independent investment banking firm that is a member of FINRA or another independent entity that commonly renders valuation opinions that such initial business combination is fair to our company from a financial point of view. We are not required to obtain such an opinion in any other context.</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or contractual obligations to other entities, including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Selection of a Target Business and Structuring of Our Initial Business Combination</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evaluating a prospective target business, we expect to conduct an extensive due diligence review which may encompass, as applicable and among other things, meetings with incumbent management and employees, document reviews, interviews of customers and suppliers, inspection of facilities and a review of financial and other information about the target and its industry. We will also utilize our management team’s operational and capital planning experience. If we determine to move forward with a particular target, we will proceed to structure and negotiate the terms of the business combination transaction.</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and negotiation with, a prospective target business with which our initial business combination is not ultimately completed will result in our incurring losses and will reduce the funds we can use to complete another business combination. The company will not pay any consulting fees to members of our management team, or their respective affiliates, for services rendered to or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connection with our initial business combination. In addition, we have agreed not to enter into a definitive agreement regarding an initial business combination without the prior consent of our Sponsor.</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Lack of Business Diversification</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322" w:lineRule="exact"/>
        <w:rPr>
          <w:sz w:val="20"/>
          <w:szCs w:val="20"/>
          <w:color w:val="auto"/>
        </w:rPr>
      </w:pPr>
    </w:p>
    <w:p>
      <w:pPr>
        <w:ind w:left="1300" w:hanging="44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318" w:lineRule="exact"/>
        <w:rPr>
          <w:rFonts w:ascii="Arial" w:cs="Arial" w:eastAsia="Arial" w:hAnsi="Arial"/>
          <w:sz w:val="18"/>
          <w:szCs w:val="18"/>
          <w:color w:val="auto"/>
        </w:rPr>
      </w:pPr>
    </w:p>
    <w:p>
      <w:pPr>
        <w:ind w:left="1300" w:hanging="44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Although we closely scrutinize the management of a prospective target business, including the management team of Rigetti,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3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Shareholders May Not Have the Ability to Approve Our Initial Business Combination</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may conduct redemptions without a shareholder vote pursuant to the tender offer rules of the SEC subject to the provisions of our amended and restated memorandum and articles of association. However, we will seek shareholder approval if it is required by applicable law or stock exchange listing requirements (as is the case in the Rigetti business combination), or we may decide to seek shareholder approval for business or other reasons.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Under the NYSE’s listing rules, shareholder approval would typically be required for our initial business combination if, for example:</w:t>
      </w:r>
    </w:p>
    <w:p>
      <w:pPr>
        <w:spacing w:after="0" w:line="293" w:lineRule="exact"/>
        <w:rPr>
          <w:sz w:val="20"/>
          <w:szCs w:val="20"/>
          <w:color w:val="auto"/>
        </w:rPr>
      </w:pPr>
    </w:p>
    <w:p>
      <w:pPr>
        <w:ind w:left="1300" w:hanging="442"/>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issue ordinary shares that will be equal to or in excess of 20% of the number of our ordinary shares then-outstanding (other than in a public offering);</w:t>
      </w:r>
    </w:p>
    <w:p>
      <w:pPr>
        <w:spacing w:after="0" w:line="318" w:lineRule="exact"/>
        <w:rPr>
          <w:rFonts w:ascii="Arial" w:cs="Arial" w:eastAsia="Arial" w:hAnsi="Arial"/>
          <w:sz w:val="18"/>
          <w:szCs w:val="18"/>
          <w:color w:val="auto"/>
        </w:rPr>
      </w:pPr>
    </w:p>
    <w:p>
      <w:pPr>
        <w:jc w:val="both"/>
        <w:ind w:left="1300" w:hanging="442"/>
        <w:spacing w:after="0" w:line="263"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of our directors, officers or substantial security holder (as defined by the NYSE rules) has a 5% or greater interest (or such persons collectively have a 10% or greater interest), directly or indirectly, in the target business or assets to be acquired or otherwise and the present or potential issuance of ordinary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ind w:left="1300"/>
        <w:spacing w:after="0" w:line="277" w:lineRule="auto"/>
        <w:rPr>
          <w:sz w:val="20"/>
          <w:szCs w:val="20"/>
          <w:color w:val="auto"/>
        </w:rPr>
      </w:pPr>
      <w:r>
        <w:rPr>
          <w:rFonts w:ascii="Arial" w:cs="Arial" w:eastAsia="Arial" w:hAnsi="Arial"/>
          <w:sz w:val="18"/>
          <w:szCs w:val="18"/>
          <w:color w:val="auto"/>
        </w:rPr>
        <w:t>shares could result in an increase in issued and outstanding ordinary shares or voting power of 1% or more (or 5% or more if the related party involved is classified as such solely because such person is a substantial security holder); or</w:t>
      </w:r>
    </w:p>
    <w:p>
      <w:pPr>
        <w:spacing w:after="0" w:line="305" w:lineRule="exact"/>
        <w:rPr>
          <w:sz w:val="20"/>
          <w:szCs w:val="20"/>
          <w:color w:val="auto"/>
        </w:rPr>
      </w:pPr>
    </w:p>
    <w:p>
      <w:pPr>
        <w:ind w:left="1300" w:hanging="44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issuance or potential issuance of ordinary shares will result in our undergoing a change of control.</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decision as to whether we will seek shareholder approval of a proposed business combination in those instances in which shareholder approval is not required by law will be made by us, solely in our discretion, and will be based on business and reasons, which include a variety of factors, including, but not limited to:</w:t>
      </w:r>
    </w:p>
    <w:p>
      <w:pPr>
        <w:spacing w:after="0" w:line="332" w:lineRule="exact"/>
        <w:rPr>
          <w:sz w:val="20"/>
          <w:szCs w:val="20"/>
          <w:color w:val="auto"/>
        </w:rPr>
      </w:pPr>
    </w:p>
    <w:p>
      <w:pPr>
        <w:jc w:val="both"/>
        <w:ind w:left="1300" w:hanging="442"/>
        <w:spacing w:after="0" w:line="263"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the transaction, including in the event we determine shareholder approval would require additional time and there is either not enough time to seek shareholder approval or doing so would place the company at a disadvantage in the transaction or result in other additional burdens on the company;</w:t>
      </w:r>
    </w:p>
    <w:p>
      <w:pPr>
        <w:spacing w:after="0" w:line="332" w:lineRule="exact"/>
        <w:rPr>
          <w:rFonts w:ascii="Arial" w:cs="Arial" w:eastAsia="Arial" w:hAnsi="Arial"/>
          <w:sz w:val="18"/>
          <w:szCs w:val="18"/>
          <w:color w:val="auto"/>
        </w:rPr>
      </w:pPr>
    </w:p>
    <w:p>
      <w:pPr>
        <w:ind w:left="1300" w:hanging="44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expected cost of holding a shareholder vote;</w:t>
      </w:r>
    </w:p>
    <w:p>
      <w:pPr>
        <w:spacing w:after="0" w:line="373" w:lineRule="exact"/>
        <w:rPr>
          <w:rFonts w:ascii="Arial" w:cs="Arial" w:eastAsia="Arial" w:hAnsi="Arial"/>
          <w:sz w:val="18"/>
          <w:szCs w:val="18"/>
          <w:color w:val="auto"/>
        </w:rPr>
      </w:pPr>
    </w:p>
    <w:p>
      <w:pPr>
        <w:ind w:left="1300" w:hanging="44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risk that the shareholders would fail to approve the proposed business combination;</w:t>
      </w:r>
    </w:p>
    <w:p>
      <w:pPr>
        <w:spacing w:after="0" w:line="373" w:lineRule="exact"/>
        <w:rPr>
          <w:rFonts w:ascii="Arial" w:cs="Arial" w:eastAsia="Arial" w:hAnsi="Arial"/>
          <w:sz w:val="18"/>
          <w:szCs w:val="18"/>
          <w:color w:val="auto"/>
        </w:rPr>
      </w:pPr>
    </w:p>
    <w:p>
      <w:pPr>
        <w:ind w:left="1300" w:hanging="44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time and budget constraints of the company; and</w:t>
      </w:r>
    </w:p>
    <w:p>
      <w:pPr>
        <w:spacing w:after="0" w:line="373"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additional legal complexities of a proposed business combination that would be time-consuming and burdensome to present to shareholders.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Permitted Purchases and Other Transactions with Respect to Our Securities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at any time at or prior to our initial business combination, subject to applicable securities laws (including with respect to material nonpublic information), our Sponsor, directors, executive officers, advisors or their affiliates may enter into transactions with investors and others to provide them with incentives to acquire public shares, vote their public shares in favor of our initial business combination or not redeem their public shares. However, they have no current commitments, plans or intentions to engage in such transactions and have not formulated any terms or conditions for any such transactions. None of the funds in the Trust Account will be used to purchase public shares or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w:t>
      </w:r>
    </w:p>
    <w:p>
      <w:pPr>
        <w:spacing w:after="0" w:line="1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event that our Sponsor, directors, officers, advisors or their affiliates purchase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purpose of any such transaction could be to (i) vote in favor of the business combination and thereby increase the likelihood of obtaining shareholder approval of the business combination, (ii) reduce the number of public warrants outstanding or vote such warrants on any matters submitted to the warrant holders for approval in connection with our initial business combination or (iii) satisfy a closing condition in an agreement with a target that requires us to have a minimum net worth or a certain amount of cash at the closing of our initial business combination, where it appears that such requirement would otherwise not be met. Any such purchases of our securities may result in the completion of our initial business combination that may not otherwise have been possible.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both"/>
        <w:spacing w:after="0" w:line="263" w:lineRule="auto"/>
        <w:rPr>
          <w:sz w:val="20"/>
          <w:szCs w:val="20"/>
          <w:color w:val="auto"/>
        </w:rPr>
      </w:pPr>
      <w:r>
        <w:rPr>
          <w:rFonts w:ascii="Arial" w:cs="Arial" w:eastAsia="Arial" w:hAnsi="Arial"/>
          <w:sz w:val="18"/>
          <w:szCs w:val="18"/>
          <w:color w:val="auto"/>
        </w:rPr>
        <w:t>In addition, if such purchases are made, the public “float” of our Class A ordinary shares or public warrants may be reduced and the number of beneficial holders of our securities may also be reduced, which may make it difficult to maintain or obtain the quotation, listing or trading of our securities on a national securities exchange.</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Sponsor, officers, directors and/or their affiliates anticipate that they may identify the shareholders with whom our Sponsor, officers, directors or their affiliates may pursue privately negotiated transactions by either the shareholders contacting us directly or by our receipt of redemption requests submitted by shareholders (in the case of Class A ordinary shares) following our mailing of tender offer or proxy materials in connection with our initial business combination. To the extent that our Sponsor, officers, directors, advisors or their affiliates enter into a private transaction, they would identify and contact only potential selling or redeeming shareholders who have expressed their election to redeem their shares for a pro rata share of the Trust Account or vote against our initial business combination, whether or not such shareholder has already submitted a proxy with respect to our initial business combination but only if such shares have not already been voted at the general meeting related to our initial business combination. Our Sponsor, executive officers, directors, advisors or their affiliates will select which shareholders to purchase shares from based on the negotiated price and number of shares and any other factors that they may deem relevant and will be restricted from purchasing shares if such purchases do not comply with Regulation M under the Exchange Act and the other federal securities laws.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Sponsor, officers, directors and/or their affiliates are restricted from making purchases of shares if the purchases would violate Section 9(a)(2) or Rule 10b-5 of the Exchange Act. We expect any such purchases would be reported by such person pursuant to Section 13 and Section 16 of the Exchange Act to the extent such purchasers are subject to such reporting requirements.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Redemption Rights for Public Shareholders upon Completion of Our Initial Business Combination</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taxes, if any, divided by the number of then-outstanding public shares, subject to the limitations described herein. The amount in the Trust Account was initially $10.00 per public share. The per-share amount we will distribute to investors who properly redeem their shares will not be reduced by the deferred underwriting commissions we will pay to the underwriters. The redemption rights will include the requirement that a beneficial holder must identify itself in order to validly redeem its shares. There will be no redemption rights upon the completion of our initial business combination with respect to our warrants. Further, we will not proceed with redeeming our public shares, even if a public shareholder has properly elected to redeem its shares, if a business combination does not close. Our Sponsor and each member of our management team have entered into an agreement with us, pursuant to which they have agreed to waive their redemption rights with respect to any Class B ordinary shares they hold if we fail to consummate an initial business combination by March 4, 2023 (although they will be entitled to liquidating distributions from the Trust Account with respect to any public shares they hold if we fail to complete our initial business combination by March 4, 2023).</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Manner of Conducting Redemptions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will provide our public shareholders with the opportunity to redeem all or a portion of their public shares upon the completion of our initial business combination either (i) in connection with a general meeting called to approve the business combination or (ii) by means of a tender offer. The decision as to whether we will seek shareholder approval of a business combination or conduct a tender offer will be made by us, solely in our discretion. Asset acquisitions and share purchases would not typically require shareholder approval while direct mergers with our company where we do not survive and any transactions where we issue more than 20% of our issued and outstanding ordinary shares or seek to amend our amended and restated memorandum and articles of association would typically require shareholder approval. We currently intend to conduct redemptions in connection with a shareholder vote unless shareholder approval is not required by applicable law or stock exchange listing requirement or we choose to conduct redemptions pursuant to the tender offer rules of the SEC for business or other reasons. So long as we obtain and maintain a listing for our securities on the NYSE, we are required to comply with the NYSE rules.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If we hold a shareholder vote to approve our initial business combination, we will, pursuant to our amended and restated memorandum and articles of association:</w:t>
      </w:r>
    </w:p>
    <w:p>
      <w:pPr>
        <w:spacing w:after="0" w:line="319" w:lineRule="exact"/>
        <w:rPr>
          <w:sz w:val="20"/>
          <w:szCs w:val="20"/>
          <w:color w:val="auto"/>
        </w:rPr>
      </w:pPr>
    </w:p>
    <w:p>
      <w:pPr>
        <w:ind w:left="1300" w:right="20" w:hanging="442"/>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318" w:lineRule="exact"/>
        <w:rPr>
          <w:rFonts w:ascii="Arial" w:cs="Arial" w:eastAsia="Arial" w:hAnsi="Arial"/>
          <w:sz w:val="18"/>
          <w:szCs w:val="18"/>
          <w:color w:val="auto"/>
        </w:rPr>
      </w:pPr>
    </w:p>
    <w:p>
      <w:pPr>
        <w:ind w:left="1300" w:hanging="44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that a final proxy statement would be mailed to public shareholders at least 10 days prior to the shareholder vote. However, we expect that a draft proxy statement would be made available to such shareholders well in advance of such time, providing additional notice of redemption if we conduct redemptions in conjunction with a proxy solicitation. Although we are not required to do so, we currently intend to comply with the substantive and procedural requirements of Regulation 14A in connection with any shareholder vote even if we are not able to maintain our NYSE listing or Exchange Act registration.</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we seek shareholder approval, we will complete our initial business combination only if we obtain the approval of an ordinary resolution under Cayman Islands law, which requires the affirmative vote of a majority of the ordinary shares represented in person or by proxy and entitled to vote thereon and who vote at a general meeting of the company. In such case, our Sponsor and each member of our management team have agreed to vote their Founder Shares and public shares in favor of our initial business combination. We expect that our initial shareholders and their permitted transferees will own at least 20% of our outstanding ordinary shares at the time of any such shareholder vote. As a result, in addition to our initial purchaser’s Founder Shares, we would need 12,937,500, or 37.5% (assuming all issued and outstanding shares are voted and the over-allotment option is not exercised), or 2,156,250, or 6.25% (assuming only the minimum number of shares representing a quorum are voted and the over-allotment option is not exercised), of the 34,500,000 public shares sold in the IPO to be voted in favor of an initial business combination in order to have our initial business combination approved. Each public shareholder may elect to redeem their public shares irrespective of whether they vote for or against the proposed transaction or vote at all. In addition, our Sponsor and each member of our management team have entered into an agreement with us, pursuant to which they have agreed to waive their redemption rights with respect to any Founder Shares and public shares held by them in connection with (i) the completion of a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the Completion Window or (B) with respect to any other provision relating to the rights of holders of our Class A ordinary shares.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conduct redemptions pursuant to the tender offer rules of the SEC, we will, pursuant to our amended and restated memorandum and articles of association:</w:t>
      </w:r>
    </w:p>
    <w:p>
      <w:pPr>
        <w:spacing w:after="0" w:line="319" w:lineRule="exact"/>
        <w:rPr>
          <w:sz w:val="20"/>
          <w:szCs w:val="20"/>
          <w:color w:val="auto"/>
        </w:rPr>
      </w:pPr>
    </w:p>
    <w:p>
      <w:pPr>
        <w:ind w:left="1300" w:hanging="442"/>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conduct the redemptions pursuant to Rule 13e-4 and Regulation 14e of the Exchange Act, which regulate issuer tender offers; and</w:t>
      </w:r>
    </w:p>
    <w:p>
      <w:pPr>
        <w:spacing w:after="0" w:line="385" w:lineRule="exact"/>
        <w:rPr>
          <w:rFonts w:ascii="Arial" w:cs="Arial" w:eastAsia="Arial" w:hAnsi="Arial"/>
          <w:sz w:val="17"/>
          <w:szCs w:val="17"/>
          <w:color w:val="auto"/>
        </w:rPr>
      </w:pPr>
    </w:p>
    <w:p>
      <w:pPr>
        <w:jc w:val="both"/>
        <w:ind w:left="1300" w:hanging="442"/>
        <w:spacing w:after="0" w:line="263"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the public announcement of our initial business combination, if we elect to conduct redemptions pursuant to the tender offer rules, we and our Sponsor will terminate any plan established in accordance with Rule 10b5-1 to purchase Class A ordinary shares in the open market, in order to comply with Rule 14e-5 under the Exchange Act.</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both"/>
        <w:spacing w:after="0" w:line="263" w:lineRule="auto"/>
        <w:rPr>
          <w:sz w:val="20"/>
          <w:szCs w:val="20"/>
          <w:color w:val="auto"/>
        </w:rPr>
      </w:pPr>
      <w:r>
        <w:rPr>
          <w:rFonts w:ascii="Arial" w:cs="Arial" w:eastAsia="Arial" w:hAnsi="Arial"/>
          <w:sz w:val="18"/>
          <w:szCs w:val="18"/>
          <w:color w:val="auto"/>
        </w:rPr>
        <w:t>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such initial business combination.</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Limitation on Redemption upon Completion of Our Initial Business Combination If We Seek Shareholder Approval</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the IPO, which we refer to as “Excess Shares,” without our prior consent. We believe this restriction will discourage shareholders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shareholder holding more than an aggregate of 15% of the shares sold in the IPO could threaten to exercise its redemption rights if such holder’s shares are not purchased by us, our Sponsor or our management at a premium to the then-current market price or on other undesirable terms. By limiting our shareholders’ ability to redeem no more than 15% of the shares sold in the IPO without our prior consent,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However, we would not be restricting our shareholders’ ability to vote all of their shares (including Excess Shares) for or against our initial business combination.</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Tendering Share Certificates in Connection with a Tender Offer or Redemption Rights</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Public shareholders seeking to exercise their redemption rights, whether they are record holders or hold their shares in “street name,” will be required to either tender their certificates (if any) to our transfer agent prior to the date set forth in the proxy solicitation or tender offer materials, as applicable, mailed to such holders, or to deliver their shares to the transfer agent electronically using The Depository Trust Company’s DWAC (Deposit/Withdrawal At Custodian) System, at the holder’s option, in each case up to two business days prior to the initially scheduled vote to approve the business combination. The proxy solicitation or tender offer materials, as applicable, that we will furnish to holders of our public shares in connection with our initial business combination will indicate the applicable delivery requirements, which will include the requirement that a beneficial holder must identify itself in order to validly redeem its shares. Accordingly, a public shareholder would have from the time we send out our tender offer materials until the close of the tender offer period, or up to two business days prior to the initially scheduled vote on the proposal to approve the business combination if we distribute proxy materials, as applicable, to tender its shares if it wishes to seek to exercise its redemption rights. Given the relatively short period in which to exercise redemption rights, it is advisable for shareholders to use electronic delivery of their public shares.</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is a nominal cost associated with the above-referenced tendering process and the act of certificating the shares or delivering them through the DWAC System. The transfer agent will typically charge the tendering broker a fee of approximately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foregoing is different from the procedures used by many blank check companies. In order to perfect redemption rights in connection with their business combinations, many blank check companies would distribute proxy 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 then had 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jc w:val="both"/>
        <w:spacing w:after="0" w:line="255" w:lineRule="auto"/>
        <w:rPr>
          <w:sz w:val="20"/>
          <w:szCs w:val="20"/>
          <w:color w:val="auto"/>
        </w:rPr>
      </w:pPr>
      <w:r>
        <w:rPr>
          <w:rFonts w:ascii="Arial" w:cs="Arial" w:eastAsia="Arial" w:hAnsi="Arial"/>
          <w:sz w:val="18"/>
          <w:szCs w:val="18"/>
          <w:color w:val="auto"/>
        </w:rPr>
        <w:t>“option window” after the completion of the business combination during which he or she could monitor the price of the company’s shares in the market. If the price rose above the redemption price, he or she could sell his or her shares in the open market before actually delivering his or her shares to the company for cancellation. As a result, the redemption rights, to which shareholders were aware they needed to commit before the general meeting, would become “option” rights surviving past the completion of the business combination until the redeeming holder delivered its certificate. The requirement for physical or electronic delivery prior to the meeting ensures that a redeeming shareholder’s election to redeem is irrevocable once the business combination is approved.</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Any request to redeem such shares, once made, may be withdrawn at any time up to two business days prior to the initially scheduled vote on the proposal to approve the business combination, unless otherwise agreed to by us.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our initial proposed business combination is not completed, we may continue to try to complete a business combination with a different target until 24 months from the closing of the IPO.</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Redemption of Public Shares and Liquidation If No Initial Business Combination</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Our amended and restated memorandum and articles of association provide that we will have only 24 months from the closing of the IPO, to consummate an initial business combination. If we have not completed our initial business combination within 24 months from the closing of the IPO,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w:t>
      </w:r>
      <w:r>
        <w:rPr>
          <w:rFonts w:ascii="Arial" w:cs="Arial" w:eastAsia="Arial" w:hAnsi="Arial"/>
          <w:sz w:val="16"/>
          <w:szCs w:val="16"/>
          <w:i w:val="1"/>
          <w:iCs w:val="1"/>
          <w:color w:val="auto"/>
        </w:rPr>
        <w:t xml:space="preserve">divided by </w:t>
      </w:r>
      <w:r>
        <w:rPr>
          <w:rFonts w:ascii="Arial" w:cs="Arial" w:eastAsia="Arial" w:hAnsi="Arial"/>
          <w:sz w:val="16"/>
          <w:szCs w:val="16"/>
          <w:color w:val="auto"/>
        </w:rPr>
        <w:t>the number of the then-outstanding public shares, which redemption will completely extinguish public shareholders’ rights as shareholders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right to receive further liquidation distributions, if any); and (iii) as promptly as reasonably possible following such redemption, subject to the approval of our remaining shareholders and our board of directors, liquidate and dissolve, subject in each case to our obligations under Cayman Islands law to provide for claims of creditors and the requirements of other applicable law. There will be no redemption rights or liquidating distributions with respect to our warrants, which will expire worthless if we fail to consummate an initial business combination within 24 months from the closing of the IPO. Our amended and restated memorandum and articles of association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sponsor and each member of our management team have entered into an agreement with us, pursuant to which they have agreed to waive their rights to liquidating distributions from the trust account with respect to any Founder Shares they hold if we fail to consummate an initial business combination within 24 months from the closing of the IPO or during any extension period (although they will be entitled to liquidating distributions from the trust account with respect to any public shares they hold if we fail to complete our initial business combination within the prescribed time frame).</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sponsor, executive officers, directors and director nominees have agreed, pursuant to a written agreement with us, that they will not propose any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the IPO or (b) with respect to any other provision relating to the rights of holders of our Class A ordinary shares, unless we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jc w:val="both"/>
        <w:spacing w:after="0" w:line="290" w:lineRule="auto"/>
        <w:rPr>
          <w:sz w:val="20"/>
          <w:szCs w:val="20"/>
          <w:color w:val="auto"/>
        </w:rPr>
      </w:pPr>
      <w:r>
        <w:rPr>
          <w:rFonts w:ascii="Arial" w:cs="Arial" w:eastAsia="Arial" w:hAnsi="Arial"/>
          <w:sz w:val="16"/>
          <w:szCs w:val="16"/>
          <w:color w:val="auto"/>
        </w:rPr>
        <w:t xml:space="preserve">provide our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income taxes, if any,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the number of the then-outstanding public shares. However, we may not redeem our public shares in an amount that would cause our net tangible assets, after payment of the deferred underwriting commissions, to be less than $5,000,001 either prior to or upon consummation of an initial business combination (so that we do not then become subject to the SEC’s “penny stock” rules). If this optional redemption right is exercised with respect to an excessive number of public shares such that we cannot satisfy the net tangible asset requirement, we would not proceed with the amendment or the related redemption of our public shares at such time. This redemption right shall apply in the event of the approval of any such amendment, whether proposed by our sponsor, any executive officer, director or director nominee, or any other person.</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expect that all costs and expenses associated with implementing our plan of dissolution, as well as payments to any creditors, will be funded from amounts remaining out of the $1,200,000 held outside the trust account </w:t>
      </w:r>
      <w:r>
        <w:rPr>
          <w:rFonts w:ascii="Arial" w:cs="Arial" w:eastAsia="Arial" w:hAnsi="Arial"/>
          <w:sz w:val="18"/>
          <w:szCs w:val="18"/>
          <w:i w:val="1"/>
          <w:iCs w:val="1"/>
          <w:color w:val="auto"/>
        </w:rPr>
        <w:t>plus</w:t>
      </w:r>
      <w:r>
        <w:rPr>
          <w:rFonts w:ascii="Arial" w:cs="Arial" w:eastAsia="Arial" w:hAnsi="Arial"/>
          <w:sz w:val="18"/>
          <w:szCs w:val="18"/>
          <w:color w:val="auto"/>
        </w:rPr>
        <w:t xml:space="preserve"> up to $100,000 of funds from the trust account available to us to pay dissolution expenses, although we cannot assure you that there will be sufficient funds for such purpose.</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were to expend all of the net proceeds of the IPO and the sale of the private placement warrants, other than the proceeds deposited in the trust account, and without taking into account interest, if any, earned on the trust account, the per-share redemption amount received by shareholders upon our dissolution would be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less than $10.00. While we intend to pay such amounts, if any, we cannot assure you that we will have funds sufficient to pay or provide for all creditors’ claims.</w:t>
      </w:r>
    </w:p>
    <w:p>
      <w:pPr>
        <w:spacing w:after="0" w:line="15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The underwriters of the IPO will not execute an agreement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third party for services rendered or products sold to us (other than our independent registered public accounting firm), or a prospective target business with which we have discussed entering into a transaction agreement, reduce the amounts in the trust account to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liability will not apply to any claims by a third party or prospective target business that executed a waiver of any and all rights to seek access to the trust account nor will it apply to any claims under our indemnity of the underwriters of the IPO against certain liabilities, including liabilities under the Securities Act. In the event that an executed waiver is deemed to be unenforceable against a third party, our sponsor will not be responsible to the extent of any liability for such third-party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None of our officers or directors will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indemnify us for claims by third parties including, without limitation, claims by vendors and prospective target businesses.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event that the proceeds in the trust account are reduced below the lesser of (i) $10.00 per public share and (ii) the actual amount per public share held in the trust account as of the date of the liquidation of the trust account if less than $10.00 per public share due to reductions in the value of the trust assets, in each case net of the amount of interest which may be withdrawn to pay our income tax obligations,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less than $10.00 per public share.</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the IPO against certain liabilities, including liabilities under the Securities Act. We will have access to up to $1,200,000 following the IPO and the sale of the private placement warrants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however such liability will not be greater than the amount of funds from our trust account received by any such shareholder. In the event that our offering expenses exceed our estimate of $1,200,000,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$1,200,000, the amount of funds we intend to be held outside the trust account would increase by a corresponding amount.</w:t>
      </w:r>
    </w:p>
    <w:p>
      <w:pPr>
        <w:spacing w:after="0" w:line="15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we file a bankruptcy or winding-up petition or an involuntary bankruptcy or winding-up petition is filed against us that is not dismissed, the proceeds held in the trust account could be subject to applicable bankruptcy or insolvency law and may be included in our bankruptcy or insolvency estate and subject to the claims of third parties with priority over the claims of our shareholders. To the extent any bankruptcy or insolvency claims deplete the trust account, we cannot assure you we will be able to return $10.00 per public share to our public shareholders. Additionally, if we file a bankruptcy or winding-up petition or an involuntary bankruptcy or winding-up petition is filed against us that is not dismissed, any distributions received by shareholders could be viewed under applicable debtor/creditor and/or bankruptcy or insolvency laws as either a “preferential transfer” or a “fraudulent conveyance.” As a result, a bankruptcy or insolvency court could seek to recover some or all amounts received by our shareholders. Furthermore, our board of directors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public shareholders will be entitled to receive funds from the trust account only (i) in the event of the redemption of our public shares if we do not complete our initial business combination within 24 months from the closing of the IPO, (ii)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the IPO or (B) with respect to any other provision relating to the rights of holders of our Class A ordinary shares, or (iii) if they redeem their respective shares for cash upon the completion of the initial business combination. Public shareholders who redeem their Class A ordinary shares in connection with a shareholder vote described in clause (ii) in the preceding sentence shall not be entitled to funds from the trust account upon the subsequent completion of an initial business combination or liquidation if we have not completed our initial business combination within 24 months from the closing of the IPO, with respect to such Class A ordinary shares so redeemed. In no other circumstances will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jc w:val="both"/>
        <w:spacing w:after="0" w:line="257" w:lineRule="auto"/>
        <w:rPr>
          <w:sz w:val="20"/>
          <w:szCs w:val="20"/>
          <w:color w:val="auto"/>
        </w:rPr>
      </w:pPr>
      <w:r>
        <w:rPr>
          <w:rFonts w:ascii="Arial" w:cs="Arial" w:eastAsia="Arial" w:hAnsi="Arial"/>
          <w:sz w:val="18"/>
          <w:szCs w:val="18"/>
          <w:color w:val="auto"/>
        </w:rPr>
        <w:t>shareholder have any right or interest of any kind to or in the trust account. In the event we seek shareholder approval in connection with our initial business combination, a shareholder’s voting in connection with the business combination alone will not result in a shareholder’s redeeming its shares to us for an applicable pro rata share of the trust account. Such shareholder must have also exercised its redemption rights described above. These provisions of our amended and restated memorandum and articles of association, like all provisions of our amended and restated memorandum and articles of association, may be amended with a shareholder vote.</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Competition</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we succeed in effecting the business combination with Rigetti, there will be, in all likelihood, significant competition from Rigetti’s competitors. We cannot assure you that, subsequent to the business combination, New Rigetti will have the resources or ability to compete effectively. In the event the Rigetti business combination is not consummated, in identifying, evaluating and selecting other target businesses for our initial business combination, we may encounter intense competition from other entities having a business objective similar to ours, including other blank check companies,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have four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the stage of the business combination process we are in. We do not intend to have any full-time employees prior to the completion of our initial business combination.</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registered our units, Class A ordinary shares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will provide shareholders with audited financial statements of the prospective target business as part of the proxy solicitation or tender offer materials, as applicable, sent to shareholders. These financial statements may be required to be prepared in accordance with, or reconciled to, accounting principles generally accepted in the United States of America (“GAAP”), or IFRS, depending on the circumstances, and the historical financial statements may be required to be audited in accordance with the standards of the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acquisition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acquisition candidates, we do not believe that this limitation will be material.</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be required to evaluate our internal control procedures for the fiscal year ending December 31, 2022 as required by the Sarbanes-Oxley Act. Only in the event we are deemed to be a large accelerated filer or an accelerated filer and no longer qualify as an emerging growth company, will we not be required to comply with the independent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jc w:val="both"/>
        <w:spacing w:after="0" w:line="286" w:lineRule="auto"/>
        <w:rPr>
          <w:sz w:val="20"/>
          <w:szCs w:val="20"/>
          <w:color w:val="auto"/>
        </w:rPr>
      </w:pPr>
      <w:r>
        <w:rPr>
          <w:rFonts w:ascii="Arial" w:cs="Arial" w:eastAsia="Arial" w:hAnsi="Arial"/>
          <w:sz w:val="17"/>
          <w:szCs w:val="17"/>
          <w:color w:val="auto"/>
        </w:rPr>
        <w:t>registered public accounting firm attestation requirement on our internal control over financial reporting.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securities are registered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5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a Cayman Islands exempted company. Exempted companies are Cayman Islands companies conducting business mainly outside the Cayman Islands and, as such, are exempted from complying with certain provisions of the Companies Act. As an exempted company, we have applied for and received a tax exemption undertaking from the Cayman Islands government that, in accordance with Section 6 of the Tax Concessions Act (2018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w:t>
      </w:r>
    </w:p>
    <w:p>
      <w:pPr>
        <w:spacing w:after="0" w:line="4" w:lineRule="exact"/>
        <w:rPr>
          <w:sz w:val="20"/>
          <w:szCs w:val="20"/>
          <w:color w:val="auto"/>
        </w:rPr>
      </w:pPr>
    </w:p>
    <w:p>
      <w:pPr>
        <w:ind w:firstLine="8"/>
        <w:spacing w:after="0" w:line="260" w:lineRule="auto"/>
        <w:tabs>
          <w:tab w:leader="none" w:pos="26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way of the withholding in whole or in part of a payment of dividend or other distribution of income or capital by us to our shareholders or a payment of principal or interest or other sums due under a debenture or other obligation of us.</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the IPO, (b) in which we have total annual gross revenue of at least $1.07 billion or (c) in which we are deemed to be a large accelerated filer, which means the market value of our Class A ordinary shares that are held by non-affiliates exceeds $700 million as of the prior June 30th, and (2) the date on which we have issued more than $1.0 billion in non-convertible debt securities during the prior three-year period.</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consolidated audited financial statements. We will remain a smaller reporting company until the last day of the fiscal year in which (1) the market value of our ordinary shares held by non-affiliates exceeds $250 million as of the prior June 30, and (2) our annual revenues exceeded $100 million during such completed fiscal year or the market value of our ordinary shares held by non-affiliates exceeds $700 million as of the prior June 30.</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smaller reporting company, we are not required to include risk factors in this Report. For the complete set of risks relating to our operations, see the section titled “Risk Factors” contained in our prospectus dated March 1, 2021. For risks relating to the business combination and Rigetti, see section titled “Risk Factors” contained in the Registration Statement on Amendment No.3 to Form S-4 filed on January 28, 2022, as amended.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ind w:left="880"/>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own any real estate or other physical properties materially important to our operation. Our executive offices are located at 4301 50th Street NW, Suite 300 PMB 1044, Washington, D.C. 20016, and our telephone number is (202) 918-7050. We consider our current office space adequate for our current operations.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Item 3. Legal Proceedings</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the knowledge of our management, there is no litigation currently pending or contemplated against us, any of our officers or directors in their capacity as such or against any of our property.</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left="880" w:right="1040"/>
        <w:spacing w:after="0" w:line="464" w:lineRule="auto"/>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 Market Information</w:t>
      </w:r>
    </w:p>
    <w:p>
      <w:pPr>
        <w:jc w:val="both"/>
        <w:spacing w:after="0" w:line="342" w:lineRule="auto"/>
        <w:rPr>
          <w:sz w:val="20"/>
          <w:szCs w:val="20"/>
          <w:color w:val="auto"/>
        </w:rPr>
      </w:pPr>
      <w:r>
        <w:rPr>
          <w:rFonts w:ascii="Arial" w:cs="Arial" w:eastAsia="Arial" w:hAnsi="Arial"/>
          <w:sz w:val="16"/>
          <w:szCs w:val="16"/>
          <w:color w:val="auto"/>
        </w:rPr>
        <w:t>Our Units, Class A ordinary shares and warrants are each traded on the NYSE under the symbols “SNII.U,” “SNII” and “SNII WS,” respectively. Our Units commenced public trading on March 1, 2021, and our Class A ordinary shares and warrants commenced public trading separately on April 22, 2021.</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Holders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 2022, there were 1 holder of record of our units, 1 holder of record of our Class A ordinary shares, 7 holders of record of our Class B ordinary shares and 1 holders of record of our warrants.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stock dividends in the foreseeable future. Further, if we incur any indebtedness in connection with our initial business combination, our ability to declare dividends may be limited by restrictive covenants we may agree to in connection therewith.</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Item 5(g).</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880"/>
        <w:spacing w:after="0"/>
        <w:rPr>
          <w:sz w:val="20"/>
          <w:szCs w:val="20"/>
          <w:color w:val="auto"/>
        </w:rPr>
      </w:pPr>
      <w:r>
        <w:rPr>
          <w:rFonts w:ascii="Arial" w:cs="Arial" w:eastAsia="Arial" w:hAnsi="Arial"/>
          <w:sz w:val="18"/>
          <w:szCs w:val="18"/>
          <w:b w:val="1"/>
          <w:bCs w:val="1"/>
          <w:color w:val="auto"/>
        </w:rPr>
        <w:t>Use of Proceeds from the Initial Public Offering</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4, 2021, Supernova consummated its initial public offering of 34,500,000 units. Each Unit consists of one Class A ordinary share, par value $0.0001 per share of the Company and one-fourth of one redeemable warrant of the Company, with each whole Warrant entitling the holder thereof to purchase one whole Class A ordinary share for $11.50 per share. The Units were sold at a price of $10.00 per Unit, generating gross proceeds to the Company of $345,000,000.</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Simultaneously with the consummation of the IPO on March 4, 2021, the Company completed the private sale of 4,450,000 warrants at a purchase price of $2.00 per private placement warrant, to the Company’s sponsor generating gross proceeds to the Company of $8,900,000.</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Approximately $345 million of the net proceeds from the IPO and the sale of the per private placement warrants to the Sponsor have been deposited in a trust account maintained by American Stock Transfer &amp; Trust Company, acting as trustee, established for the benefit of the Company’s public shareholders. An audited balance sheet as of March 4, 2021 reflecting receipt of the net proceeds from the IPO and the net proceeds from the IPO and the private placement was filed on a Current Report on Form 8-K on March 10, 2021.</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Item 6. Selected Financial Data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smaller reporting companies.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The following discussion and analysis of the Company’s financial condition and results of operations should be read in conjunction with our audited consolidated financial statements and the notes related thereto which are included in “Item 8. Financial Statements and Supplementary Data” of this Annual Report on Form 10-K. Certain information contained in the discussion and analysis set forth below includes forward-looking statements. Our actual results may differ materially from those anticipated in these forward-looking statements as a result of many factors, including those set forth under “Cautionary Note Regarding Forward-Looking Statements,” “Item 1A. Risk Factors” and elsewhere in this Annual Report on Form 10- K.</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are a blank check company incorporated as a Cayman Islands exempted company on December 22, 2020. We were formed for the purpose of effecting a merger, share exchange, asset acquisition, share purchase, reorganization or similar business combination with one or more businesses. We are an emerging growth company and, as such, we are subject to all of the risks associated with emerging growth companies.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sponsor is Supernova Partners II LLC, a Cayman Islands exempted company. The registration statement for our Initial Public Offering was declared effective on March 1, 2021. On March 4, 2021, we consummated our Initial Public Offering of 34,500,000 units, which includes 4,500,000 additional Units to cover over-allotments, at $10.00 per Unit, generating gross proceeds of $345.0 million, and incurring offering costs of approximately $19.5 million, of which approximately $12.1 million was for deferred underwriting commissions.</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Simultaneously with the closing of the Initial Public Offering, we consummated the private placement of 4,450,000 warrants, at a price of $2.00 per private placement warrant with the Sponsor, generating gross proceeds of $8.9 million.</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Upon the closing of the Initial Public Offering and the private placement, $345.0 million ($10.00 per Unit) of the net proceeds of the Initial Public Offering and certain of the proceeds of the private placement were placed in a trust account, located in the United States at J.P. Morgan Chase Bank, N.A., with American Stock Transfer &amp; Trust Company acting as trustee, and invested only in U.S. government securities, within the meaning set forth in Section 2(a)</w:t>
      </w:r>
    </w:p>
    <w:p>
      <w:pPr>
        <w:spacing w:after="0" w:line="2" w:lineRule="exact"/>
        <w:rPr>
          <w:sz w:val="20"/>
          <w:szCs w:val="20"/>
          <w:color w:val="auto"/>
        </w:rPr>
      </w:pPr>
    </w:p>
    <w:p>
      <w:pPr>
        <w:jc w:val="both"/>
        <w:ind w:firstLine="8"/>
        <w:spacing w:after="0" w:line="253" w:lineRule="auto"/>
        <w:tabs>
          <w:tab w:leader="none" w:pos="363"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 the Investment Company Act of 1940, as amended (the “Investment Company Act”), with a maturity of 185 days or less or in any open-ended investment company that holds itself out as a money market fund selected by the Company meeting the conditions of paragraphs (d)(2), (d)(3) and (d)(4) of Rule 2a-7 of the Investment Company Act, as determined by us, until the earlier of: (i) the completion of a business combination or (ii) the distribution of the Trust Account as described below.</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both"/>
        <w:spacing w:after="0" w:line="291" w:lineRule="auto"/>
        <w:rPr>
          <w:sz w:val="20"/>
          <w:szCs w:val="20"/>
          <w:color w:val="auto"/>
        </w:rPr>
      </w:pPr>
      <w:r>
        <w:rPr>
          <w:rFonts w:ascii="Arial" w:cs="Arial" w:eastAsia="Arial" w:hAnsi="Arial"/>
          <w:sz w:val="16"/>
          <w:szCs w:val="16"/>
          <w:color w:val="auto"/>
        </w:rPr>
        <w:t>Our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We must complete one or more initial business combination having an aggregate fair market value of at least 80% of the assets held in the Trust Account (excluding the amount of any deferred underwriting discount held in trust) at the time of the signing of the agreement to enter into the initial business combination. However, we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we are unable to complete a business combination within 24 months from the closing of the Initial Public Offering, or March 4, 2023, we will (i) cease all operations except for the purpose of winding up, (ii) as promptly as reasonably possible but not more than 10 business days thereafter, redeem the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our obligations under Cayman Islands law to provide for claims of creditors and in all cases subject to the other requirements of applicable law. There will be no redemption rights or liquidating distributions with respect to the warrants, which will expire worthless if we fail to complete its initial business combination within the Completion Window.</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Recent Developments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more fully described in “Item 1. Business,” on October 6, 2021, the Company entered into a Merger Agreement with First Merger Sub, Second Merger Sub and Rigetti, as amended by Amendment No. 1 to Agreement and Plan of Merger dated as of December 23, 2021 and Amendment No. 2 to the Agreement and Plan of Merger dated as of January 10, 2022 (and as may be amended, supplemented or otherwise modified from time to time, the “Merger Agreement”), relating to a proposed business combination transaction between the Company and Rigetti.</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Merger Agreement, we entered into subscription agreements with the PIPE Investors pursuant to which the PIPE Investors have committed to purchase in a private placement 10,251,000 shares of Supernova common stock (the “PIPE Shares”) at a purchase price of $10.00 per share and an aggregate purchase price of $102.51 million. The purchase of the PIPE Shares is conditioned upon, among other things, the consummation of the transactions and will be consummated concurrently with the closing. On December 23, 2021, Supernova entered into Subscription Agreements with two “accredited investors” (as such term is defined in Rule 501 of Regulation D) pursuant to which the Subsequent PIPE Investors have agreed to subscribe for and purchase, and Supernova has agreed to issue and sell to the Subsequent PIPE Investors, an aggregate of 4,390,244 shares of Stock at a price of $10.25 per share, for aggregate gross proceeds of $45,000,000 (the “Subsequent PIPE Financing,” and together with the Initial PIPE Financing, the “PIPE Financing”). The shares of Class A common stock to be issued pursuant to the PIPE Subscription Agreements have not been registered under the Securities Act and will be issued in reliance on the availability of an exemption from such registration. The Sponsor has purchased PIPE Shares in the PIPE Financing on the same terms as the initial PIPE Investors.</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in connection with the execution of the Merger Agreement, Supernova entered into a sponsor support agreement with the Sponsor, Rigetti, and Supernova’s directors and officers.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consummation of the Transactions is subject to customary closing conditions, including, among others: (i) approval by Supernova’s and Rigetti’s respective stockholders, (ii) the expiration or termination of the waiting period under the Hart-Scott-Rodino Antitrust Improvements Act of 1976, as amended, and the obtaining of any consents required under antitrust laws in the jurisdictions specified on a schedule, (iii) no law or order enjoining or prohibiting the consummation of the Transactions being in force, (iv) Supernova having at least $5,000,001 of net tangible assets as of the Closing, (v) receipt of approval for listing on the Nasdaq of the shares of Supernova common stock to be issued in connection with the Transactions, (vi) completion of the Domestication, (vii) the effectiveness of the registration statement on Form S-4, (viii) the accuracy of the parties’ respective representations and warranties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jc w:val="both"/>
        <w:spacing w:after="0" w:line="255" w:lineRule="auto"/>
        <w:rPr>
          <w:sz w:val="20"/>
          <w:szCs w:val="20"/>
          <w:color w:val="auto"/>
        </w:rPr>
      </w:pPr>
      <w:r>
        <w:rPr>
          <w:rFonts w:ascii="Arial" w:cs="Arial" w:eastAsia="Arial" w:hAnsi="Arial"/>
          <w:sz w:val="18"/>
          <w:szCs w:val="18"/>
          <w:color w:val="auto"/>
        </w:rPr>
        <w:t>(subject to specified materiality thresholds) and the material performance of the parties’ respective covenants and other obligations, (ix) no material adverse effect on Rigetti having occurred since signing that is continuing at Closing and (x) solely as relates to Rigetti’s obligation to consummate the Transaction, Supernova having at least $165,000,000 of available cash at the Closing. For full details and the filed agreements, refer to the Current Report on Form 8-K announcing the Merger Agreement filed with the SEC on October 6, 2021, the Current Report on Form 8-K announcing the first amendment to the Merger Agreement filed with the SEC on December 23, 2021 and the Current Report on Form 8-K announcing the second amendment to the Merger Agreement filed with the SEC on January 10, 2022.</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has evaluated subsequent events and transactions that occurred through the date the consolidated financial statements were issued. Other than disclosed above, the Company did not identify any subsequent events that would have required adjustment or disclosure in the consolidated financial statements.</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entire activity since inception up to December 31, 2021, was in preparation for our formation and the Initial Public Offering, identifying a target company for a Business Combination and activities in connection with the proposed acquisition of Rigetti. We will not be generating any operating revenues until the closing and completion of our initial business combination.</w:t>
      </w:r>
    </w:p>
    <w:p>
      <w:pPr>
        <w:spacing w:after="0" w:line="1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year ended December 31, 2021, we had a net loss of approximately $23.2 million, which consisted of approximately $4.9 million in general and administrative expenses, approximately $502,000 of offering costs associated with derivative warrant liabilities and an approximate $17.8 million loss from change in fair value of derivative warrant liabilities, partially offset by approximately $19,000 of income from investments held in the Trust Account.</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 from December 22, 2020 (inception) through December 31, 2020, we had a net loss of approximately $15,000, which consisted of solely of general and administrative expenses.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Liquidity and Going Concern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we had approximately $0.5 million in our operating bank account and a working capital deficit of approximately $3.4 million.</w:t>
      </w:r>
    </w:p>
    <w:p>
      <w:pPr>
        <w:spacing w:after="0" w:line="2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incurred and expects to incur significant costs in pursuit of its financing and acquisition plans. In connection with the Company’s assessment of going concern considerations in accordance with Financial Accounting Standards Board Accounting Standards Update 2014-15, “Disclosure of Uncertainties about an Entity’s Ability to Continue as a Going Concern,” management has determined that the Company’s cash flow deficit raises substantial doubt about the Company’s ability to continue as a going concern within one year after the date that the consolidated financial statements are issued. There is no assurance that the Company’s plans to consummate a business combination or raise additional funds will be successful within the Completion Window. The consolidated financial statements do not include any adjustments that might result from the outcome of the uncertainty.</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Registration Rights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holders of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were entitled to registration rights pursuant to a registration rights agreement signed upon consummation of the Initial Public Offering. These holders were entitled to certain demand and “piggyback” registration rights. However, the registration rights agreement provided that we would not permit any registration statement filed under the Securities Act to become effective until the termination of the applicable lock-up period for the securities to be registered. We will bear the expenses incurred in connection with the filing of any such registration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ind w:left="880"/>
        <w:spacing w:after="0"/>
        <w:rPr>
          <w:sz w:val="20"/>
          <w:szCs w:val="20"/>
          <w:color w:val="auto"/>
        </w:rPr>
      </w:pPr>
      <w:r>
        <w:rPr>
          <w:rFonts w:ascii="Arial" w:cs="Arial" w:eastAsia="Arial" w:hAnsi="Arial"/>
          <w:sz w:val="18"/>
          <w:szCs w:val="18"/>
          <w:i w:val="1"/>
          <w:iCs w:val="1"/>
          <w:color w:val="auto"/>
        </w:rPr>
        <w:t>Underwriting Agreement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granted the underwriters a 45-day option from the final prospectus relating to the Initial Public Offering to purchase up to 4,500,000 additional Units to cover over-allotments, if any, at the Initial Public Offering price less the underwriting discounts and commissions. On March 4, 2021, the underwriter fully exercised its over-allotment option.</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underwriters were entitled to an underwriting discount of $0.20 per unit, or $6.9 million in the aggregate, paid upon the closing of the Initial Public Offering. In addition, $0.35 per unit, or approximately $12.1 million in the aggregate will be payable to the underwriters for deferred underwriting commissions. The deferred fee will become payable to the underwriters from the amounts held in the Trust Account solely in the event that we complete a business combination, subject to the terms of the underwriting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Fees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entered into certain consulting arrangements for due diligence in connection with our search for a prospective initial Business Combination. A portion of the fees in connection with the services rendered as of December 31, 2021 have been deferred and is contingent upon the closing of a Business Combination and therefore not included as liabilities on the accompanying consolidated balance sheets. As of December 31, 2021, these fees were approximately $0.5 million.</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Derivative Warrant Liabilities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use derivative instruments to hedge exposures to cash flow, market or foreign currency risks. We evaluate all of its financial instruments, including issued stock purchase warrants, to determine if such instruments are derivatives or contain features that qualify as embedded derivatives, pursuant to ASC Topic 480 “Distinguishing Liabilities from Equity” (“ASC 480”) and ASC Topic 815, “Derivatives and Hedging” (“ASC 815”). The classification of derivative instruments, including whether such instruments should be recorded as liabilities or as equity, is re-assessed at the end of each reporting period.</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public warrants and the private placement warrants are recognized as derivative liabilities in accordance with ASC 815. Accordingly, Supernova recognizes the warrant instruments as liabilities at fair value and adjust the instruments to fair value at each reporting period until exercised. The fair value of the public warrants issued in connection with the initial public offering and private placement warrants were initially measured at fair value using a Monte Carlo simulation model. Subsequent to the separate listing and trading of the public warrants the fair value of the public warrants has been measured based on the observable listed prices for such warrants and the fair value of the private warrants are measured using a Black-Scholes Option Pricing Model. Derivative warrant liabilities are classified as non-current as their liquidation is not reasonably expected to require the use of current assets or require the creation of current liabilities.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account for its Class A ordinary shares subject to possible redemption in accordance with the guidance in ASC Topic 480 “Distinguishing Liabilities from Equity.” 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our control) are classified as temporary equity. At all other times, Class A ordinary shares are classified as shareholders’ equity. Our Class A ordinary shares feature certain redemption rights that are considered to be outside of our control and subject to the occurrence of uncertain future events. Accordingly, as of December 31, 2021, 345,000,000 Class A ordinary shares subject to possible redemption are presented as temporary equity outside of the shareholders’ equity section of our consolidated balance sheets. There were no Class A ordinary shares issued or outstanding as of December 31, 2020.</w:t>
      </w:r>
    </w:p>
    <w:p>
      <w:pPr>
        <w:spacing w:after="0" w:line="15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Immediately upon the closing of the Supernova IPO, we recognized the accretion from initial book value to redemption amount value. The change in the carrying value of redeemable Class A ordinary shares resulted in charges against additional paid-in capital and accumulated deficit.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ind w:left="880"/>
        <w:spacing w:after="0"/>
        <w:rPr>
          <w:sz w:val="20"/>
          <w:szCs w:val="20"/>
          <w:color w:val="auto"/>
        </w:rPr>
      </w:pPr>
      <w:r>
        <w:rPr>
          <w:rFonts w:ascii="Arial" w:cs="Arial" w:eastAsia="Arial" w:hAnsi="Arial"/>
          <w:sz w:val="18"/>
          <w:szCs w:val="18"/>
          <w:i w:val="1"/>
          <w:iCs w:val="1"/>
          <w:color w:val="auto"/>
        </w:rPr>
        <w:t>Net Income (Loss) Per Ordinary Share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comply with accounting and disclosure requirements of FASB ASC Topic 260, “Earnings Per Share.” We have two classes of shares, which are referred to as Class A ordinary shares and Class B ordinary shares. Income and losses are shared pro rata between the two classes of shares. Net income (loss) per ordinary share is calculated by dividing the net income (loss) by the weighted average ordinary shares outstanding for the respective period.</w:t>
      </w:r>
    </w:p>
    <w:p>
      <w:pPr>
        <w:spacing w:after="0" w:line="16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calculation of diluted net income (loss) does not consider the effect of the warrants underlying the Units sold in the Initial Public Offering and the private placement warrants to purchase an aggregate of 13,075,000 shares of Class A ordinary shares in the calculation of diluted income (loss) per share, because their inclusion would be anti-dilutive under the treasury stock method. The number of weighted average Class B ordinary shares for calculating basic net income (loss) per ordinary share was reduced for the effect of an aggregate of 1,125,000 Class B ordinary shares that were subject to forfeiture if the over-allotment option was not exercised in full or part by the underwriters. Since the contingency was satisfied as of December 31, 2021, we included these shares in the weighted average number as of the beginning of the period to determine the dilutive impact of these shares. Accretion associated with the redeemable Class A ordinary shares is excluded from earnings per share as the redemption value approximates fair value.</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Recent Accounting Pronouncements</w:t>
      </w:r>
    </w:p>
    <w:p>
      <w:pPr>
        <w:spacing w:after="0" w:line="185"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In August 2020, the FASB issued Accounting Standards Update (“ASU”) No. 2020-06, Debt-Debt with Conversion and Other Options (Subtopic 470-20) and Derivatives and Hedging-Contracts in Entity’s Own Equity (Subtopic 815</w:t>
      </w:r>
      <w:r>
        <w:rPr>
          <w:rFonts w:ascii="MS PGothic" w:cs="MS PGothic" w:eastAsia="MS PGothic" w:hAnsi="MS PGothic"/>
          <w:sz w:val="17"/>
          <w:szCs w:val="17"/>
          <w:color w:val="auto"/>
        </w:rPr>
        <w:t>‑</w:t>
      </w:r>
      <w:r>
        <w:rPr>
          <w:rFonts w:ascii="Arial" w:cs="Arial" w:eastAsia="Arial" w:hAnsi="Arial"/>
          <w:sz w:val="17"/>
          <w:szCs w:val="17"/>
          <w:color w:val="auto"/>
        </w:rPr>
        <w:t>40): Accounting for Convertible Instruments and Contracts in an Entity’s Own Equity (“ASU 2020</w:t>
      </w:r>
      <w:r>
        <w:rPr>
          <w:rFonts w:ascii="MS PGothic" w:cs="MS PGothic" w:eastAsia="MS PGothic" w:hAnsi="MS PGothic"/>
          <w:sz w:val="17"/>
          <w:szCs w:val="17"/>
          <w:color w:val="auto"/>
        </w:rPr>
        <w:t>‑</w:t>
      </w:r>
      <w:r>
        <w:rPr>
          <w:rFonts w:ascii="Arial" w:cs="Arial" w:eastAsia="Arial" w:hAnsi="Arial"/>
          <w:sz w:val="17"/>
          <w:szCs w:val="17"/>
          <w:color w:val="auto"/>
        </w:rPr>
        <w:t>06”), which simplifies accounting for convertible instruments by removing major separation models required under current GAAP. The ASU also removes certain settlement conditions that are required for equity-linked contracts to qualify for the derivative scope exception, and it simplifies the diluted earnings per share calculation in certain areas. The Company adopted ASU 2020-06 on January 1, 2021. Adoption of the ASU did not impact our financial position, results of operations or cash flows.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management does not believe that any other recently issued, but not yet effective, accounting standards updates, if currently adopted, would have a material effect on the accompanying consolidated financial statements.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we did not have any off-balance sheet arrangements as defined in Item 303(a)(4)(ii) of Regulation S-K.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consolidated financial statements may not be comparable to companies that comply with new or revised accounting pronouncements as of public company effective dates.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consolidated financial statements (auditor discussion and analysis) and (iv) disclose certain executive compensation related items such as the correlation between executive compensation and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4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Pages F-1 through F-24 comprising a portion of this Annual Report on Form 10-K.</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effectiveness of our disclosure controls and procedures as of the end of the fiscal year ended December 31, 2021, as such term is defined in Rules 13a-15(e) and 15d-15(e) under the Exchange Act. Based on this evaluation, our Chief Executive Officer and Chief Financial Officer has concluded that during the period covered by this report, our disclosure controls and procedures were not effective as of December 31, 2021, because of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Specifically, our management has concluded that our control around the interpretation and accounting for certain complex financial instruments that we issued was not effectively designed or maintained. This material weakness resulted in the restatement of our balance sheet as of March 4, 2021 and our interim financial statements for the quarters ended March 31, 2021 and June 30, 2021.</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Chief Executive Officer and Chief Financial Officer or persons performing similar functions, as appropriate to allow timely decisions regarding required disclosure.</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under Rule 13a-15(f) and 15d-15(f) of the Exchange Act. Our internal control over financial reporting is designed to provide reasonable assurance regarding the reliability of financial reporting and the preparation of our consolidated financial statements for external reporting purposes in accordance with GAAP. Our internal control over financial reporting includes those policies and procedures that:</w:t>
      </w:r>
    </w:p>
    <w:p>
      <w:pPr>
        <w:spacing w:after="0" w:line="146" w:lineRule="exact"/>
        <w:rPr>
          <w:sz w:val="20"/>
          <w:szCs w:val="20"/>
          <w:color w:val="auto"/>
        </w:rPr>
      </w:pPr>
    </w:p>
    <w:p>
      <w:pPr>
        <w:ind w:left="880" w:hanging="440"/>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our company,</w:t>
      </w:r>
    </w:p>
    <w:p>
      <w:pPr>
        <w:spacing w:after="0" w:line="129"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consolidated financial statements in accordance with GAAP, and that our receipts and expenditures are being made only in accordance with authorizations of our management and directors, and</w:t>
      </w:r>
    </w:p>
    <w:p>
      <w:pPr>
        <w:spacing w:after="0" w:line="143"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jc w:val="both"/>
        <w:spacing w:after="0" w:line="25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errors or misstatements in our consolidated financial statements. Also, projections of any evaluation of effectiveness to future periods are subject to the risk that controls may become inadequate because of changes in conditions, or that the degree or compliance with the policies or procedures may deteriorate. Management assessed the effectiveness of our internal control over financial reporting as of December 31, 2021. In making these assessments, management used the criteria set forth by the Committee of Sponsoring Organizations of the Treadway Commission (COSO) in Internal Control — Integrated Framework (2013). In connection with this Amendment and based on our assessments and those criteria, management determined that we did not maintain effective internal controls over financial reporting as of December 31, 2021.</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internal controls from our independent registered public accounting firm due to our status as an emerging growth company under the JOBS Act.</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than as set forth above, there were no changes in our internal control over financial reporting that occurred during the fiscal year ended December 31, 2021, covered by this Report on Form 10-K that has materially affected, or is reasonably likely to materially affect, our internal control over financial reporting.</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Chief Executive Officer and Chief Financial Officer performed additional accounting and financial analyses and other post-closing procedures including consulting with subject matter experts related to the accounting for certain complex financial instruments. Our management has expended, and will continue to expend, a substantial amount of effort and resources for the remediation and improvement of our internal control over financial reporting. While we have processes to properly identify and evaluate the appropriate accounting technical pronouncements and other literature for all significant or unusual transactions, we have expanded and will continue to improve these processes to ensure that the nuances of such transactions are effectively evaluated in the context of the increasingly complex accounting standards.</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Directors and Executive Officers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Report, our directors and officers are as follows:</w:t>
      </w: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7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Age</w:t>
            </w:r>
          </w:p>
        </w:tc>
        <w:tc>
          <w:tcPr>
            <w:tcW w:w="7020" w:type="dxa"/>
            <w:vAlign w:val="bottom"/>
            <w:gridSpan w:val="2"/>
          </w:tcPr>
          <w:p>
            <w:pPr>
              <w:ind w:left="6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Spencer M. Rascoff</w:t>
            </w:r>
          </w:p>
        </w:tc>
        <w:tc>
          <w:tcPr>
            <w:tcW w:w="80" w:type="dxa"/>
            <w:vAlign w:val="bottom"/>
          </w:tcPr>
          <w:p>
            <w:pPr>
              <w:spacing w:after="0"/>
              <w:rPr>
                <w:sz w:val="17"/>
                <w:szCs w:val="17"/>
                <w:color w:val="auto"/>
              </w:rPr>
            </w:pPr>
          </w:p>
        </w:tc>
        <w:tc>
          <w:tcPr>
            <w:tcW w:w="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46</w:t>
            </w:r>
          </w:p>
        </w:tc>
        <w:tc>
          <w:tcPr>
            <w:tcW w:w="60" w:type="dxa"/>
            <w:vAlign w:val="bottom"/>
          </w:tcPr>
          <w:p>
            <w:pPr>
              <w:spacing w:after="0"/>
              <w:rPr>
                <w:sz w:val="17"/>
                <w:szCs w:val="17"/>
                <w:color w:val="auto"/>
              </w:rPr>
            </w:pPr>
          </w:p>
        </w:tc>
        <w:tc>
          <w:tcPr>
            <w:tcW w:w="6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Co-Chair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Alexander M. Klabin</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45</w:t>
            </w:r>
          </w:p>
        </w:tc>
        <w:tc>
          <w:tcPr>
            <w:tcW w:w="7020" w:type="dxa"/>
            <w:vAlign w:val="bottom"/>
            <w:gridSpan w:val="2"/>
          </w:tcPr>
          <w:p>
            <w:pPr>
              <w:ind w:left="60"/>
              <w:spacing w:after="0"/>
              <w:rPr>
                <w:sz w:val="20"/>
                <w:szCs w:val="20"/>
                <w:color w:val="auto"/>
              </w:rPr>
            </w:pPr>
            <w:r>
              <w:rPr>
                <w:rFonts w:ascii="Arial" w:cs="Arial" w:eastAsia="Arial" w:hAnsi="Arial"/>
                <w:sz w:val="18"/>
                <w:szCs w:val="18"/>
                <w:color w:val="auto"/>
              </w:rPr>
              <w:t>Co-Chair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Robert D. Reid</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48</w:t>
            </w:r>
          </w:p>
        </w:tc>
        <w:tc>
          <w:tcPr>
            <w:tcW w:w="7020" w:type="dxa"/>
            <w:vAlign w:val="bottom"/>
            <w:gridSpan w:val="2"/>
          </w:tcPr>
          <w:p>
            <w:pPr>
              <w:ind w:left="6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Michael S. Clifton</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41</w:t>
            </w:r>
          </w:p>
        </w:tc>
        <w:tc>
          <w:tcPr>
            <w:tcW w:w="7020" w:type="dxa"/>
            <w:vAlign w:val="bottom"/>
            <w:gridSpan w:val="2"/>
          </w:tcPr>
          <w:p>
            <w:pPr>
              <w:ind w:left="60"/>
              <w:spacing w:after="0"/>
              <w:rPr>
                <w:sz w:val="20"/>
                <w:szCs w:val="20"/>
                <w:color w:val="auto"/>
              </w:rPr>
            </w:pPr>
            <w:r>
              <w:rPr>
                <w:rFonts w:ascii="Arial" w:cs="Arial" w:eastAsia="Arial" w:hAnsi="Arial"/>
                <w:sz w:val="18"/>
                <w:szCs w:val="18"/>
                <w:color w:val="auto"/>
              </w:rPr>
              <w:t>Chief Financial Officer and 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Katie Curnutte</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42</w:t>
            </w:r>
          </w:p>
        </w:tc>
        <w:tc>
          <w:tcPr>
            <w:tcW w:w="7020" w:type="dxa"/>
            <w:vAlign w:val="bottom"/>
            <w:gridSpan w:val="2"/>
          </w:tcPr>
          <w:p>
            <w:pPr>
              <w:ind w:left="60"/>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Ken Fox</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51</w:t>
            </w:r>
          </w:p>
        </w:tc>
        <w:tc>
          <w:tcPr>
            <w:tcW w:w="7020" w:type="dxa"/>
            <w:vAlign w:val="bottom"/>
            <w:gridSpan w:val="2"/>
          </w:tcPr>
          <w:p>
            <w:pPr>
              <w:ind w:left="60"/>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Damien Hooper-Campbell</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43</w:t>
            </w:r>
          </w:p>
        </w:tc>
        <w:tc>
          <w:tcPr>
            <w:tcW w:w="7020" w:type="dxa"/>
            <w:vAlign w:val="bottom"/>
            <w:gridSpan w:val="2"/>
          </w:tcPr>
          <w:p>
            <w:pPr>
              <w:ind w:left="60"/>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Jim Lanzone</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50</w:t>
            </w:r>
          </w:p>
        </w:tc>
        <w:tc>
          <w:tcPr>
            <w:tcW w:w="7020" w:type="dxa"/>
            <w:vAlign w:val="bottom"/>
            <w:gridSpan w:val="2"/>
          </w:tcPr>
          <w:p>
            <w:pPr>
              <w:ind w:left="60"/>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Gregg Renfrew</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53</w:t>
            </w:r>
          </w:p>
        </w:tc>
        <w:tc>
          <w:tcPr>
            <w:tcW w:w="7020" w:type="dxa"/>
            <w:vAlign w:val="bottom"/>
            <w:gridSpan w:val="2"/>
          </w:tcPr>
          <w:p>
            <w:pPr>
              <w:ind w:left="60"/>
              <w:spacing w:after="0"/>
              <w:rPr>
                <w:sz w:val="20"/>
                <w:szCs w:val="20"/>
                <w:color w:val="auto"/>
              </w:rPr>
            </w:pPr>
            <w:r>
              <w:rPr>
                <w:rFonts w:ascii="Arial" w:cs="Arial" w:eastAsia="Arial" w:hAnsi="Arial"/>
                <w:sz w:val="18"/>
                <w:szCs w:val="18"/>
                <w:color w:val="auto"/>
              </w:rPr>
              <w:t>Director</w:t>
            </w: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Rajeev Singh</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53</w:t>
            </w:r>
          </w:p>
        </w:tc>
        <w:tc>
          <w:tcPr>
            <w:tcW w:w="7020" w:type="dxa"/>
            <w:vAlign w:val="bottom"/>
            <w:gridSpan w:val="2"/>
          </w:tcPr>
          <w:p>
            <w:pPr>
              <w:ind w:left="60"/>
              <w:spacing w:after="0"/>
              <w:rPr>
                <w:sz w:val="20"/>
                <w:szCs w:val="20"/>
                <w:color w:val="auto"/>
              </w:rPr>
            </w:pPr>
            <w:r>
              <w:rPr>
                <w:rFonts w:ascii="Arial" w:cs="Arial" w:eastAsia="Arial" w:hAnsi="Arial"/>
                <w:sz w:val="18"/>
                <w:szCs w:val="18"/>
                <w:color w:val="auto"/>
              </w:rPr>
              <w:t>Director</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experience of our directors and executive officers is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Spencer M. Rascoff </w:t>
      </w:r>
      <w:r>
        <w:rPr>
          <w:rFonts w:ascii="Arial" w:cs="Arial" w:eastAsia="Arial" w:hAnsi="Arial"/>
          <w:sz w:val="16"/>
          <w:szCs w:val="16"/>
          <w:color w:val="auto"/>
        </w:rPr>
        <w:t>has been Co-Chair of our Board since our inception. Mr. Rascoff currently serves as Co-Chair of the board of directors of Supernova</w:t>
      </w:r>
    </w:p>
    <w:p>
      <w:pPr>
        <w:spacing w:after="0" w:line="46" w:lineRule="exact"/>
        <w:rPr>
          <w:sz w:val="20"/>
          <w:szCs w:val="20"/>
          <w:color w:val="auto"/>
        </w:rPr>
      </w:pPr>
    </w:p>
    <w:p>
      <w:pPr>
        <w:jc w:val="both"/>
        <w:ind w:firstLine="8"/>
        <w:spacing w:after="0" w:line="255" w:lineRule="auto"/>
        <w:tabs>
          <w:tab w:leader="none" w:pos="3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Rascoff served as CEO of Zillow from 2008 to 2018 and currently serves as chairman of dot.LA and chairman of Pacaso. Prior to Zillow, Mr. Rascoff co-founded Hotwire, where he ran corporate development through the company’s launch, the aftermath of 9/11 and ultimately the sale of the business to Expedia for $685 million.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5" w:name="page36"/>
    <w:bookmarkEnd w:id="35"/>
    <w:p>
      <w:pPr>
        <w:jc w:val="both"/>
        <w:spacing w:after="0" w:line="296" w:lineRule="auto"/>
        <w:rPr>
          <w:sz w:val="20"/>
          <w:szCs w:val="20"/>
          <w:color w:val="auto"/>
        </w:rPr>
      </w:pPr>
      <w:r>
        <w:rPr>
          <w:rFonts w:ascii="Arial" w:cs="Arial" w:eastAsia="Arial" w:hAnsi="Arial"/>
          <w:sz w:val="16"/>
          <w:szCs w:val="16"/>
          <w:color w:val="auto"/>
        </w:rPr>
        <w:t>Mr. Rascoff is currently on the board of directors of Palantir. He formerly served on the board of directors of several other public and private technology companies, including Zillow Group, TripAdvisor, Zulily and Julep. Before his consumer Internet career, Mr. Rascoff worked in the Investment Banking division at Goldman Sachs and in private equity at TPG Capital. He is also a member of the Young Presidents’ Organization and has served as a Visiting Executive Professor at Harvard Business School. Mr. Rascoff graduated cum laude from Harvard University. We believe Mr. Rascoff is well qualified to serve on our Board due to his knowledge of the technology industry and extensive leadership experience in operating and advising technology companies.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Alexander M. Klabin </w:t>
      </w:r>
      <w:r>
        <w:rPr>
          <w:rFonts w:ascii="Arial" w:cs="Arial" w:eastAsia="Arial" w:hAnsi="Arial"/>
          <w:sz w:val="16"/>
          <w:szCs w:val="16"/>
          <w:color w:val="auto"/>
        </w:rPr>
        <w:t>has been Co-Chair of our Board since our inception. Mr. Klabin currently serves as Co-Chair of the board of directors of Supernova</w:t>
      </w:r>
    </w:p>
    <w:p>
      <w:pPr>
        <w:spacing w:after="0" w:line="46" w:lineRule="exact"/>
        <w:rPr>
          <w:sz w:val="20"/>
          <w:szCs w:val="20"/>
          <w:color w:val="auto"/>
        </w:rPr>
      </w:pPr>
    </w:p>
    <w:p>
      <w:pPr>
        <w:jc w:val="both"/>
        <w:ind w:firstLine="8"/>
        <w:spacing w:after="0" w:line="255" w:lineRule="auto"/>
        <w:tabs>
          <w:tab w:leader="none" w:pos="2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Klabin co-founded Senator Investment Group in early 2008 where he served as Managing Partner and Co-Chief Investment Officer until 2020 and has served as Executive Chairman of Sotheby’s Financial Services since October 2020. In addition, Mr. Klabin currently serves as Chairman and CEO of Ancient Management LP and is currently on the board of directors of Offerpad.</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Mr. Klabin built and scaled Senator to be a widely respected investment management firm that managed up to $10 billion in assets. During his tenure, Senator managed capital on behalf of many of the largest pensions, endowments, sovereign wealth funds and family offices globally. Under Mr. Klabin’s leadership, Senator became known for pursuing differentiated thematic and event-driven investments in public and private securities across both credit and equity. Prior to co-founding Senator, Mr. Klabin worked at York Capital Management and Quadrangle Group. Mr. Klabin began his career in the M&amp;A department at Goldman Sachs. He is a member of the board of directors of Enstructure, Faherty Brand and The Nantucket Project. Additionally, he serves as a Trustee of the New York Philharmonic, The Allen-Stevenson School and is a member of the Leadership Council of The Robin Hood Foundation. Mr. Klabin received a Bachelor of Arts degree in English Literature from Princeton University. We believe Mr. Klabin is well qualified to serve on our Board due to his vast investment and corporate finance experience.</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Robert D. Reid </w:t>
      </w:r>
      <w:r>
        <w:rPr>
          <w:rFonts w:ascii="Arial" w:cs="Arial" w:eastAsia="Arial" w:hAnsi="Arial"/>
          <w:sz w:val="18"/>
          <w:szCs w:val="18"/>
          <w:color w:val="auto"/>
        </w:rPr>
        <w:t>has served as our Chief Executive Officer and a director since our inception. Mr. Reid currently serves as Chief Executive Officer and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of the board of directors of Supernova III. Prior to that he was a Partner at BDT Capital Partners and was a Senior Managing Director at Blackstone prior to July 2019, where he helped lead over 15 private equity investments representing over $40 billion in transaction value across a range of industries and geographies. In his 21 years at Blackstone, Mr. Reid sourced, evaluated and executed a range of transaction types including growth capital, buyouts and distressed opportunities. He was a member of Blackstone’s Private Equity Investment Committee and was one of the senior partners helping to lead the firm’s private equity efforts in Europe from 2012 to 2016.</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Reid has served on several public and private boards, including Scout24, one of the largest online classified businesses in Germany; SESAC, a large music performance rights organization; Intelenet, a business process solutions company; and Nielsen, a leading consumer and media measurement business. Prior to joining Blackstone, Mr. Reid worked in the Investment Banking division at Morgan Stanley. He earned a degree in economics and graduated magna cum laude from Princeton University. We believe Mr. Reid is well qualified to serve on our Board due to his corporate finance and prior public company experience.</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Michael S. Clifton </w:t>
      </w:r>
      <w:r>
        <w:rPr>
          <w:rFonts w:ascii="Arial" w:cs="Arial" w:eastAsia="Arial" w:hAnsi="Arial"/>
          <w:sz w:val="18"/>
          <w:szCs w:val="18"/>
          <w:color w:val="auto"/>
        </w:rPr>
        <w:t>has served as our Chief Financial officer and a director since our inception. Mr. Clifton currently serves as Chief Financial Officer and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of Supernova III. Prior to that he was a senior investment professional at The Carlyle Group from 2010 to 2020 as a member of its flagship U.S. Buyout team where he helped lead Carlyle’s investing activities in the technology and business services sectors. During his tenure he worked on transactions involving companies in multiple sectors, including enterprise software, FinTech and IT services. He has served on four private boards and has been a board observer of a public company.</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Over his career, Mr. Clifton has been involved in transactions with a total value in excess of $30 billion, including multiple leveraged buyouts, growth investments, carve-outs and turnarounds. Mr. Clifton has substantial public market experience and has helped lead the public exits of three portfolio companies, representing the sale of over $5 billion in equity. Prior to joining Carlyle, Mr. Clifton worked at two mid-market private equity firms, as well as in the M&amp;A group of Bank of America Securities. He earned a Bachelor of Arts, cum laude, in classics from Davidson College, and an MBA with High Distinction from the Harvard Business School where he was a Baker Scholar. We believe Mr. Clifton is well qualified to serve on our Board due to his corporate finance experience and previous SPAC experience.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Ken Fox </w:t>
      </w:r>
      <w:r>
        <w:rPr>
          <w:rFonts w:ascii="Arial" w:cs="Arial" w:eastAsia="Arial" w:hAnsi="Arial"/>
          <w:sz w:val="17"/>
          <w:szCs w:val="17"/>
          <w:color w:val="auto"/>
        </w:rPr>
        <w:t>is currently a director of Supernova III and the founder of Stripes, LLC, a growth equity firm that primarily invests in internet, SaaS and branded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consumer product companies, which he founded in 2008. Mr. Fox is actively involved with current Stripes’ portfolio companies, including Erewhon, Monday.com, Pleo, Reformation, On Running, Snooze, Blue Apron, Udemy, GoFundMe, Stella &amp; Chewy’s, Levain Bakery, and Kareo. He was also involved with former Stripes’ portfolio companies Flatiron Health (acquired by Roche), eMarketer (acquired by Axel Springer SE), Ketra (acquired by Lutron), Seamless/Grubhub (completed initial public offering), Sandata, and TurtleBeach. Previously, Mr. Fox was the Chairman of SmartWool (acquired by VF Corp.), served on the board of NetQuote (acquired by Bankrate) and SilverSky (acquired by BAE Systems).</w:t>
      </w:r>
    </w:p>
    <w:p>
      <w:pPr>
        <w:spacing w:after="0" w:line="1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to forming Stripes, Mr. Fox was a Co-Founder and Managing Director with Internet Capital Group, a venture capital firm. Prior to forming Internet Capital Group, Mr. Fox was the director of West Coast operations for Safeguard Scientifics, Inc. and TL Ventures. Mr. Fox is also a co-founder of A10 Capital, a commercial mortgage lender. Mr. Fox graduated from Pennsylvania State University, with a BS in economics. We believe Mr. Fox is well qualified to serve on our Board due to his experience as an investor in the consumer and software sectors.</w:t>
      </w:r>
    </w:p>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Damien Hooper-Campbell </w:t>
      </w:r>
      <w:r>
        <w:rPr>
          <w:rFonts w:ascii="Arial" w:cs="Arial" w:eastAsia="Arial" w:hAnsi="Arial"/>
          <w:sz w:val="16"/>
          <w:szCs w:val="16"/>
          <w:color w:val="auto"/>
        </w:rPr>
        <w:t>is the first Chief Diversity Officer at Zoom. Mr. Hooper-Campbell has served in this capacity since June 2020. Mr. Hooper-Campbell leads the design and implementation of Zoom’s global diversity and inclusion strategy with a focus on its current and future employees and customers, its products and its communities. He is also responsible for establishing Zoom’s University Recruiting program and initiatives.</w:t>
      </w:r>
    </w:p>
    <w:p>
      <w:pPr>
        <w:spacing w:after="0" w:line="10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Prior to joining Zoom, Mr. Hooper-Campbell was a Vice President at eBay where he served as the company’s first Chief Diversity Officer for four years. While at eBay, he led the design and implementation of eBay’s global strategy for embedding diversity and inclusion across its workforce, workplace and marketplace. He also led eBay’s University Recruiting &amp; Programs team and was a member of the eBay Foundation’s Board of Directors. Before eBay, Mr. Hooper-Campbell served as Uber’s first Global Head of Diversity &amp; Inclusion and as a Diversity Strategist at Google. Prior to Google, Mr. Hooper-Campbell was a Vice President in Goldman Sachs’ Pine Street Leadership Development Group.</w:t>
      </w:r>
    </w:p>
    <w:p>
      <w:pPr>
        <w:spacing w:after="0" w:line="136"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Mr. Hooper-Campbell has served on the Board of New Jersey Needs You and as a mentor in Morehouse College’s Executive Mentorship Program. He was selected for the California Diversity Council’s 2017 Leadership Excellence Award, the Network Journal’s 2017 40 Under Forty Achievers Award and EBONY Magazine’s 2016 Power 100 List, and has been featured in the Wall Street Journal, New York Times, Fortune, Forbes, Fast Company, TechCrunch and The Globe and Mail. Mr. Hooper-Campbell graduated with a BA in Economics from Morehouse College and an MBA from Harvard Business School, where he was both a Bert King and Morgan Stanley Fellow. We believe Mr. Hooper</w:t>
      </w:r>
      <w:r>
        <w:rPr>
          <w:rFonts w:ascii="MS PGothic" w:cs="MS PGothic" w:eastAsia="MS PGothic" w:hAnsi="MS PGothic"/>
          <w:sz w:val="18"/>
          <w:szCs w:val="18"/>
          <w:color w:val="auto"/>
        </w:rPr>
        <w:t>‑</w:t>
      </w:r>
      <w:r>
        <w:rPr>
          <w:rFonts w:ascii="Arial" w:cs="Arial" w:eastAsia="Arial" w:hAnsi="Arial"/>
          <w:sz w:val="18"/>
          <w:szCs w:val="18"/>
          <w:color w:val="auto"/>
        </w:rPr>
        <w:t>Campbell is well qualified to serve on our Board due to his leadership experience in the technology sector.</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Jim Lanzone </w:t>
      </w:r>
      <w:r>
        <w:rPr>
          <w:rFonts w:ascii="Arial" w:cs="Arial" w:eastAsia="Arial" w:hAnsi="Arial"/>
          <w:sz w:val="17"/>
          <w:szCs w:val="17"/>
          <w:color w:val="auto"/>
        </w:rPr>
        <w:t>is currently a director of Supernova III and the Chief Executive Officer of Yahoo. Mr. Lazone served in this capacity since September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that, Mr. Lazone served as the Chief Executive Officer of Tinder. Previously, Mr. Lanzone served as an Executive-in-Residence at Benchmark Capital. From May 2016 to December 2019, Mr. Lanzone served as Chief Digital Officer of CBS Corporation, a leading mass media company. In addition, from January 2014 to December 2019, Mr. Lanzone was Chief Executive Officer of CBS Interactive, a top consumer Internet property and a division of CBS Corporation. Previously, Mr. Lanzone served as President of CBS Interactive from March 2011 to December 2013. At CBS Interactive, Mr. Lanzone oversaw the creation, launch and growth of streaming subscription services like CBS All Access and free, ad-supported services including CBSN, CBS Sports HQ and ET Live. From January 2009 to February 2011, Mr. Lanzone was Founder and Chief Executive Officer of Clickr Media, Inc., an Internet video search engine and navigation guide, which was acquired by CBS Corporation in 2011.</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Lanzone has also served as Chief Executive Officer of Ask.com (formerly Ask Jeeves), which he joined in 2001 after its acquisition of eTour.com, where he was Co-Founder and President. Mr. Lanzone is currently a board member of GoPro, Inc. and Newport Festivals Foundation. Mr. Lanzone graduated with a bachelor’s degree in political science from the University of California, Los Angeles in 1993. He also holds a dual JD/MBA degree from Emory University School of Law and Emory University Business School. We believe Mr. Lanzone is well qualified to serve on our Board due to his extensive experience in digital and social media and prior public company experience.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Gregg Renfrew </w:t>
      </w:r>
      <w:r>
        <w:rPr>
          <w:rFonts w:ascii="Arial" w:cs="Arial" w:eastAsia="Arial" w:hAnsi="Arial"/>
          <w:sz w:val="18"/>
          <w:szCs w:val="18"/>
          <w:color w:val="auto"/>
        </w:rPr>
        <w:t>is currently a director of Supernova III and the founder and Chief Executive Officer of Beautycounter, a leading clean beauty and skincare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which she founded in 2011. The multi-channel, direct-to-consumer brand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color w:val="auto"/>
        </w:rPr>
        <w:t>has been recognized as a pioneer of the clean beauty movement advocating for stricter regulations for the entire beauty industry. Beautycounter has received numerous awards including being named to CNBC 2020 Disruptor 50 list, Fast Company’s Most Innovative Companies, Allure Best of Beauty, Glamour Beauty Awards, Refinery29 Innovators List, NewBeauty Awards, WWD’s 2019 Best-Performing Beauty Company (small cap) and the CEW’s 2019 Indie Brand of the Year.</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Before launching Beautycounter, Ms. Renfrew sold her bridal registry company, The Wedding List, to Martha Stewart Living Omnimedia in 2001. She then led new-concept, brand, marketing, merchandising and operational consulting engagements with Bergdorf Goodman, Goldie Hawn and Kate Hudson, Intermix, Sugar Paper, and Lela Rose, among other high-profile corporate and entertainment clients.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Ms. Renfrew has spoken at Vanity Fair’s Founders Fair and Fortune’s Most Powerful Women and NextGen Summit, as well as top business schools, including Wharton (University of Pennsylvania), Tuck (Dartmouth), Stanford and Columbia. Ms. Renfrew currently serves on the board of directors for The Nantucket Project and previously served on the boards of organizations including GOOD+ Foundation, Healthy Child Healthy World and her alma mater, Miss Porter’s School, where she was the commencement speaker in 2014. We believe Ms. Renfrew is well qualified to serve on our Board due to her extensive experience in building and scaling businesses.</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Rajeev Singh </w:t>
      </w:r>
      <w:r>
        <w:rPr>
          <w:rFonts w:ascii="Arial" w:cs="Arial" w:eastAsia="Arial" w:hAnsi="Arial"/>
          <w:sz w:val="17"/>
          <w:szCs w:val="17"/>
          <w:color w:val="auto"/>
        </w:rPr>
        <w:t>is a currently director of Supernova III and the Chief Executive Officer of Accolade, a personalized advocacy company for employers, health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plans and health systems, which he joined in November 2015. Prior to that, Mr. Singh co-founded Concur Technologies, Inc., a business travel and expense management company, in 1993, and was most recently its president and chief operating officer until it was acquired by SAP AG in 2014. At Concur, he was responsible for all operational functions of the business ranging from sales and marketing to customer services to R&amp;D and human resources. Prior to Concur, Mr. Singh held positions at Ford Motor Company and General Motors Corporation.</w:t>
      </w:r>
    </w:p>
    <w:p>
      <w:pPr>
        <w:spacing w:after="0" w:line="13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Mr. Singh serves on the board of Avalara, a top provider of cloud-based tax compliance automation for businesses, Amperity, the world’s only Intelligent Customer Data Platform, and Seattle Children’s Hospital Foundation, a not</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profit corporation that raises funds to help every child live the healthiest and most fulfilling life possible. Mr. Singh holds a BS from Western Michigan University. We believe Mr. Singh is qualified to serve on our board of directors due to his significant operational and strategic expertise.</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Katie Curnutte </w:t>
      </w:r>
      <w:r>
        <w:rPr>
          <w:rFonts w:ascii="Arial" w:cs="Arial" w:eastAsia="Arial" w:hAnsi="Arial"/>
          <w:sz w:val="18"/>
          <w:szCs w:val="18"/>
          <w:color w:val="auto"/>
        </w:rPr>
        <w:t>is a founding partner at Kingston Marketing Group, a start-up-focused global marketing and communications firm founded in September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At KMG, she runs communications strategy for notable companies from Series A to exit, and beyond.</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Before KMG, Ms. Curnutte was senior vice president of communications and public affairs at Zillow. She spent 11 years at Zillow, initially joining to create Zillow’s “data PR” program, which used data to create a communications program that helped attract Zillow’s first 20 million unique users. She oversaw communications through pivotal moments like the company’s IPO, multiple M&amp;A transactions and various crises. Ms. Curnutte is currently on the board of directors of Offerpad.</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She started her career as a journalist and graduated from the University of Illinois Urbana-Champaign with a B.S. in Journalism. We believe Ms. Curnutte is qualified to serve on our board of directors due to her experience in scaling companies and communications.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board of directors consists of 10 members and is divided into three classes, with only one class of directors being appointed in each year, and with each class (except for those directors appointed prior to our first annual general meeting) serving a three-year term. In accordance with the NYSE corporate governance requirements, we are not required to hold an annual general meeting until one year after our first fiscal year end following our listing on the NYSE. The term of office of the first class of directors, consisting of Damien Hooper-Campbell, Katie Curnutte and Ken Fox, will expire at our first annual general meeting. The term of office of the second class of directors, consisting of Jim Lanzone, Gregg Renfrew and Rajeev Singh, will expire at our second annual general meeting. The term of office of the third class of directors, consisting of Spencer Rascoff, Alexander Klabin, Michael Clifton and Robert Reid, will expire at our third annual general meeting.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jc w:val="both"/>
        <w:spacing w:after="0" w:line="263" w:lineRule="auto"/>
        <w:rPr>
          <w:sz w:val="20"/>
          <w:szCs w:val="20"/>
          <w:color w:val="auto"/>
        </w:rPr>
      </w:pPr>
      <w:r>
        <w:rPr>
          <w:rFonts w:ascii="Arial" w:cs="Arial" w:eastAsia="Arial" w:hAnsi="Arial"/>
          <w:sz w:val="18"/>
          <w:szCs w:val="18"/>
          <w:color w:val="auto"/>
        </w:rPr>
        <w:t>Prior to the completion of an initial business combination, any vacancy on the board of directors may be filled by a nominee chosen by holders of a majority of our Class B ordinary shares. In addition, prior to the completion of an initial business combination, holders of a majority of our Class B ordinary shares may remove a member of the board of directors for any reason.</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amended and restated memorandum and articles of association as it deems appropriate. Our amended and restated memorandum and articles of association provides that our officers may consist of one or more chair or co-chair of the board, chief executive officer, president, chief financial officer, vice presidents, secretary, treasurer and such other offices as may be determined by the board of directors.</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Members of our management team and Board are not required to commit any specific amount of time to our affairs, but they intend to devote as much of their time as they deem necessary to our affairs until we have completed our initial business combination. The amount of time that any member of our management team will devote in any time period will vary based on whether a target business has been selected for our initial business combination and the current stage of the business combination process. Accordingly, our officers and directors may have conflicts of interest in allocating management time among various business activities, including identifying potential business combinations and monitoring the related due diligence.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has three standing committees: an audit committee, a nominating committee and a compensation committee. Subject to phase-in rules and a limited exception, the rules of the NYSE and Rule 10A-3 of the Exchange Act require that the audit committee of a listed company be comprised solely of independent directors. Subject to phase-in rules and a limited exception, the rules of the NYSE require that the compensation committee and the nominating committee of a listed company be comprised solely of independent directors.</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established an audit committee of the board of directors. Alexander Klabin, Rajeev Singh and Jim Lanzone serve as members of our audit committee. Our board of directors has determined that each of them are independent under the NYSE listing standards and applicable SEC rules. Alexander Klabin serves as the Chairman of the audit committee. Under NYSE listing standards and applicable SEC rules, we are required to have at least three members of the audit committee, all of whom must be independent. We intend to appoint one additional independent director to our audit committee within one year from the date of the listing to replace the non-independent member pursuant to the NYSE phase-in provisions for initial public offerings. Each member of the audit committee is financially literate, and our board of directors has determined that Alexander Klabin qualifies as an “audit committee financial expert” as defined in applicable SEC rules.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is responsible for:</w:t>
      </w:r>
    </w:p>
    <w:p>
      <w:pPr>
        <w:spacing w:after="0" w:line="374" w:lineRule="exact"/>
        <w:rPr>
          <w:sz w:val="20"/>
          <w:szCs w:val="20"/>
          <w:color w:val="auto"/>
        </w:rPr>
      </w:pPr>
    </w:p>
    <w:p>
      <w:pPr>
        <w:ind w:left="1300" w:hanging="44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meeting with our independent registered public accounting firm regarding, among other issues, audits, and adequacy of our accounting and control systems;</w:t>
      </w:r>
    </w:p>
    <w:p>
      <w:pPr>
        <w:spacing w:after="0" w:line="318" w:lineRule="exact"/>
        <w:rPr>
          <w:rFonts w:ascii="Arial" w:cs="Arial" w:eastAsia="Arial" w:hAnsi="Arial"/>
          <w:sz w:val="18"/>
          <w:szCs w:val="18"/>
          <w:color w:val="auto"/>
        </w:rPr>
      </w:pPr>
    </w:p>
    <w:p>
      <w:pPr>
        <w:ind w:left="13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monitoring the independence of the independent registered public accounting firm;</w:t>
      </w:r>
    </w:p>
    <w:p>
      <w:pPr>
        <w:spacing w:after="0" w:line="373"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318" w:lineRule="exact"/>
        <w:rPr>
          <w:rFonts w:ascii="Arial" w:cs="Arial" w:eastAsia="Arial" w:hAnsi="Arial"/>
          <w:sz w:val="18"/>
          <w:szCs w:val="18"/>
          <w:color w:val="auto"/>
        </w:rPr>
      </w:pPr>
    </w:p>
    <w:p>
      <w:pPr>
        <w:ind w:left="13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inquiring about and discussing with management our compliance with applicable laws and regulations;</w:t>
      </w:r>
    </w:p>
    <w:p>
      <w:pPr>
        <w:spacing w:after="0" w:line="373"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318" w:lineRule="exact"/>
        <w:rPr>
          <w:rFonts w:ascii="Arial" w:cs="Arial" w:eastAsia="Arial" w:hAnsi="Arial"/>
          <w:sz w:val="18"/>
          <w:szCs w:val="18"/>
          <w:color w:val="auto"/>
        </w:rPr>
      </w:pPr>
    </w:p>
    <w:p>
      <w:pPr>
        <w:ind w:left="13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appointing or replacing the independent registered public accounting firm;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jc w:val="both"/>
        <w:ind w:left="1300" w:hanging="442"/>
        <w:spacing w:after="0" w:line="263"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determining the compensation and oversight of the work of the independent registered public accounting firm (including resolution of disagreements between management and the independent auditor regarding financial reporting) for the purpose of preparing or issuing an audit report or related work;</w:t>
      </w:r>
    </w:p>
    <w:p>
      <w:pPr>
        <w:spacing w:after="0" w:line="332" w:lineRule="exact"/>
        <w:rPr>
          <w:rFonts w:ascii="Arial" w:cs="Arial" w:eastAsia="Arial" w:hAnsi="Arial"/>
          <w:sz w:val="18"/>
          <w:szCs w:val="18"/>
          <w:color w:val="auto"/>
        </w:rPr>
      </w:pPr>
    </w:p>
    <w:p>
      <w:pPr>
        <w:ind w:left="1300" w:hanging="442"/>
        <w:spacing w:after="0" w:line="308"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establishing procedures for the receipt, retention and treatment of complaints received by us regarding accounting, internal accounting controls or reports which raise material issues regarding our consolidated financial statements or accounting policies;</w:t>
      </w:r>
    </w:p>
    <w:p>
      <w:pPr>
        <w:spacing w:after="0" w:line="294" w:lineRule="exact"/>
        <w:rPr>
          <w:rFonts w:ascii="Arial" w:cs="Arial" w:eastAsia="Arial" w:hAnsi="Arial"/>
          <w:sz w:val="17"/>
          <w:szCs w:val="17"/>
          <w:color w:val="auto"/>
        </w:rPr>
      </w:pPr>
    </w:p>
    <w:p>
      <w:pPr>
        <w:jc w:val="both"/>
        <w:ind w:left="1300" w:hanging="442"/>
        <w:spacing w:after="0" w:line="263"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monitoring compliance on a quarterly basis with the terms of our Initial Public Offering and, if any noncompliance is identified, immediately taking all action necessary to rectify such noncompliance or otherwise causing compliance with the terms of our Initial Public Offering; and</w:t>
      </w:r>
    </w:p>
    <w:p>
      <w:pPr>
        <w:spacing w:after="0" w:line="332" w:lineRule="exact"/>
        <w:rPr>
          <w:rFonts w:ascii="Arial" w:cs="Arial" w:eastAsia="Arial" w:hAnsi="Arial"/>
          <w:sz w:val="18"/>
          <w:szCs w:val="18"/>
          <w:color w:val="auto"/>
        </w:rPr>
      </w:pPr>
    </w:p>
    <w:p>
      <w:pPr>
        <w:jc w:val="both"/>
        <w:ind w:left="1300" w:right="20" w:hanging="442"/>
        <w:spacing w:after="0" w:line="263"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approving all payments made to our existing shareholders, executive officers or directors and their respective affiliates. Any payments made to members of our audit committee will be reviewed and approved by our board of directors, with the interested director or directors abstaining from such review and approval.</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 nominating committee of our board of directors. The members of our nominating committee are Spencer Rascoff, Gregg Renfrew and Ken Fox. Spencer Rascoff serves as chairman of the nominating committee. Under the NYSE listing standards, a nominating committee must be composed entirely of independent directors. We intend to appoint one additional independent director to our nominating committee within one year from the date of the listing to replace the non-independent member pursuant to the NYSE phase-in provisions for initial public offerings. Our board of directors has determined that each of Gregg Renfrew and Ken Fox is independent.</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nominating committee is responsible for overseeing the selection of persons to be nominated to serve on our board of directors. The nominating committee considers persons identified by its members, management, shareholders, investment bankers and others.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guidelines for selecting nominees, which are specified in a charter adopted by us, generally provide that persons to be nominated:</w:t>
      </w:r>
    </w:p>
    <w:p>
      <w:pPr>
        <w:spacing w:after="0" w:line="374" w:lineRule="exact"/>
        <w:rPr>
          <w:sz w:val="20"/>
          <w:szCs w:val="20"/>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373" w:lineRule="exact"/>
        <w:rPr>
          <w:rFonts w:ascii="Arial" w:cs="Arial" w:eastAsia="Arial" w:hAnsi="Arial"/>
          <w:sz w:val="18"/>
          <w:szCs w:val="18"/>
          <w:color w:val="auto"/>
        </w:rPr>
      </w:pPr>
    </w:p>
    <w:p>
      <w:pPr>
        <w:ind w:left="1300" w:right="20" w:hanging="442"/>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318"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should have the highest ethical standards, a strong sense of professionalism and intense dedication to serving the interests of the shareholders.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established a compensation committee of our board of directors. The members of our compensation committee are Spencer Rascoff, Gregg Renfrew, Ken Fox and Damien Hooper-Campbell. Spencer Rascoff serves as chairman of the compensation committee.</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the NYSE listing standards, we are required to have a compensation committee composed entirely of independent directors. Our board of directors has determined that each of Gregg Renfrew and Ken Fox is independent.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0" w:name="page41"/>
    <w:bookmarkEnd w:id="40"/>
    <w:p>
      <w:pPr>
        <w:jc w:val="both"/>
        <w:spacing w:after="0" w:line="263" w:lineRule="auto"/>
        <w:rPr>
          <w:sz w:val="20"/>
          <w:szCs w:val="20"/>
          <w:color w:val="auto"/>
        </w:rPr>
      </w:pPr>
      <w:r>
        <w:rPr>
          <w:rFonts w:ascii="Arial" w:cs="Arial" w:eastAsia="Arial" w:hAnsi="Arial"/>
          <w:sz w:val="18"/>
          <w:szCs w:val="18"/>
          <w:color w:val="auto"/>
        </w:rPr>
        <w:t>We intend to appoint one additional independent director to our compensation committee within one year from the date of the listing to replace the non-independent member pursuant to the NYSE phase-in provisions for initial public offerings. We have adopted a compensation committee charter, which details the principal functions of the compensation committee, including:</w:t>
      </w:r>
    </w:p>
    <w:p>
      <w:pPr>
        <w:spacing w:after="0" w:line="332" w:lineRule="exact"/>
        <w:rPr>
          <w:sz w:val="20"/>
          <w:szCs w:val="20"/>
          <w:color w:val="auto"/>
        </w:rPr>
      </w:pPr>
    </w:p>
    <w:p>
      <w:pPr>
        <w:jc w:val="both"/>
        <w:ind w:left="1300" w:hanging="442"/>
        <w:spacing w:after="0" w:line="263"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332"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Section 16 executive officers;</w:t>
      </w:r>
    </w:p>
    <w:p>
      <w:pPr>
        <w:spacing w:after="0" w:line="373"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373"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373"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373"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318"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373"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However, before engaging or receiving advice from a compensation consultant, external legal counsel or any other adviser, the compensation committee will consider the independence of each such adviser, including the factors required by the NYSE and the SEC.</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None of our officers currently serves, and in the past year none of them has served, as a member of the compensation committee of any entity that has one or more officers serving on our Board.</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Code of Ethics</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adopted a Code of Ethics applicable to our directors, officers and employees. A copy of the Code of Ethics is available on our website at https://www.supernovaspac.com/. We intend to disclose any amendments to or waivers of certain provisions of our Code of Ethics on our website.</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Corporate Governance Guidelines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Board has adopted corporate governance guidelines in accordance with the corporate governance rules of the NYSE that serve as a flexible framework within which our Board and its committees operate. These guidelines cover a number of areas including board membership criteria and director qualifications, director responsibilities, board agenda, roles of the Chairman of the Board, Chief Executive Officer and presiding director, meetings of independent directors, committee responsibilities and assignments, board member access to management and independent advisors, director communications with third parties, director compensation, director orientation and continuing education, evaluation of senior management and management succession planning. A copy of our corporate governance guidelines is posted on our website.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ind w:left="880"/>
        <w:spacing w:after="0"/>
        <w:rPr>
          <w:sz w:val="20"/>
          <w:szCs w:val="20"/>
          <w:color w:val="auto"/>
        </w:rPr>
      </w:pPr>
      <w:r>
        <w:rPr>
          <w:rFonts w:ascii="Arial" w:cs="Arial" w:eastAsia="Arial" w:hAnsi="Arial"/>
          <w:sz w:val="18"/>
          <w:szCs w:val="18"/>
          <w:b w:val="1"/>
          <w:bCs w:val="1"/>
          <w:color w:val="auto"/>
        </w:rPr>
        <w:t>Item 11. Executive Compensation</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Executive Officers and Directors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None of our executive officers or directors has received any cash (or non-cash) compensation for services rendered to us. Our Sponsor, executive officers and directors, or their respective affiliates will be reimbursed for any out-of-pocket expenses incurred in connection with activities on our behalf such as identifying potential target businesses and performing due diligence on suitable business combination. Our audit committee will review on a quarterly basis all payments that were made to our Sponsor, officers, directors or their affiliates.</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After the completion of our initial business combination, directors or members of our management team who remain with us may be paid consulting, management or other fees from the combined company. All of these fees will be fully disclosed to shareholders, to the extent then known, in the proxy solicitation materials or tender offer materials furnished to our shareholders in connection with a proposed business combination. It is unlikely the amount of such compensation will be known at the time, because the directors of the post-combination business will be responsible for determining executive and director compensation. 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the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our ordinary shares as of February 22, 2022 based on information obtained from the persons named below, with respect to the beneficial ownership of ordinary shares, by:</w:t>
      </w:r>
    </w:p>
    <w:p>
      <w:pPr>
        <w:spacing w:after="0" w:line="319" w:lineRule="exact"/>
        <w:rPr>
          <w:sz w:val="20"/>
          <w:szCs w:val="20"/>
          <w:color w:val="auto"/>
        </w:rPr>
      </w:pPr>
    </w:p>
    <w:p>
      <w:pPr>
        <w:ind w:left="130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ordinary shares;</w:t>
      </w:r>
    </w:p>
    <w:p>
      <w:pPr>
        <w:spacing w:after="0" w:line="373" w:lineRule="exact"/>
        <w:rPr>
          <w:rFonts w:ascii="Arial" w:cs="Arial" w:eastAsia="Arial" w:hAnsi="Arial"/>
          <w:sz w:val="18"/>
          <w:szCs w:val="18"/>
          <w:color w:val="auto"/>
        </w:rPr>
      </w:pPr>
    </w:p>
    <w:p>
      <w:pPr>
        <w:ind w:left="130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our executive officers and directors that beneficially owns ordinary shares; and</w:t>
      </w:r>
    </w:p>
    <w:p>
      <w:pPr>
        <w:spacing w:after="0" w:line="373" w:lineRule="exact"/>
        <w:rPr>
          <w:rFonts w:ascii="Arial" w:cs="Arial" w:eastAsia="Arial" w:hAnsi="Arial"/>
          <w:sz w:val="18"/>
          <w:szCs w:val="18"/>
          <w:color w:val="auto"/>
        </w:rPr>
      </w:pPr>
    </w:p>
    <w:p>
      <w:pPr>
        <w:ind w:left="130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table below, percentage ownership is based on 43,125,000 shares of our ordinary shares, consisting of (i) 34,500,000 Class A ordinary shares and (ii) 8,625,000 Class B ordinary shares, issued and outstanding as of December 31, 2021. Percentage ownership with respect to the Sponsor is based on 47,575,000 ordinary shares and includes the shares underlying the 4,450,000 private placement warrants. Voting power represents the combined voting power of Class A ordinary shares and Class B ordinary shares owned beneficially by such person. On all matters to be voted upon, the holders of the Class A ordinary shares and Class B ordinary shares vote together as a single class. Currently, all of the Class B ordinary shares are convertible into Class A ordinary shares on a one-for-one basis. The table below includes the Class A ordinary shares underlying the private placement warrants held by the Sponsor because these securities are exercisable within 60 days of this Report.</w:t>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ordinary shares beneficially owned by them.</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 Beneficially</w:t>
            </w:r>
          </w:p>
        </w:tc>
        <w:tc>
          <w:tcPr>
            <w:tcW w:w="18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3"/>
              </w:rPr>
              <w:t>Percentage of Ordinary Share</w:t>
            </w:r>
          </w:p>
        </w:tc>
        <w:tc>
          <w:tcPr>
            <w:tcW w:w="0" w:type="dxa"/>
            <w:vAlign w:val="bottom"/>
          </w:tcPr>
          <w:p>
            <w:pPr>
              <w:spacing w:after="0"/>
              <w:rPr>
                <w:sz w:val="1"/>
                <w:szCs w:val="1"/>
                <w:color w:val="auto"/>
              </w:rPr>
            </w:pPr>
          </w:p>
        </w:tc>
      </w:tr>
      <w:tr>
        <w:trPr>
          <w:trHeight w:val="185"/>
        </w:trPr>
        <w:tc>
          <w:tcPr>
            <w:tcW w:w="4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15"/>
                <w:szCs w:val="15"/>
                <w:b w:val="1"/>
                <w:bCs w:val="1"/>
                <w:color w:val="auto"/>
              </w:rPr>
              <w:t>(1)</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(2)</w:t>
            </w:r>
          </w:p>
        </w:tc>
        <w:tc>
          <w:tcPr>
            <w:tcW w:w="1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60" w:type="dxa"/>
            <w:vAlign w:val="bottom"/>
            <w:gridSpan w:val="2"/>
            <w:vMerge w:val="continue"/>
          </w:tcPr>
          <w:p>
            <w:pPr>
              <w:spacing w:after="0"/>
              <w:rPr>
                <w:sz w:val="16"/>
                <w:szCs w:val="16"/>
                <w:color w:val="auto"/>
              </w:rPr>
            </w:pPr>
          </w:p>
        </w:tc>
        <w:tc>
          <w:tcPr>
            <w:tcW w:w="19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Supernova Partners II LLC (our Sponsor)</w:t>
            </w:r>
            <w:r>
              <w:rPr>
                <w:rFonts w:ascii="Arial" w:cs="Arial" w:eastAsia="Arial" w:hAnsi="Arial"/>
                <w:sz w:val="15"/>
                <w:szCs w:val="15"/>
                <w:color w:val="auto"/>
              </w:rPr>
              <w:t>(3)</w:t>
            </w:r>
          </w:p>
        </w:tc>
        <w:tc>
          <w:tcPr>
            <w:tcW w:w="1900" w:type="dxa"/>
            <w:vAlign w:val="bottom"/>
          </w:tcPr>
          <w:p>
            <w:pPr>
              <w:jc w:val="center"/>
              <w:spacing w:after="0" w:line="216" w:lineRule="exact"/>
              <w:rPr>
                <w:sz w:val="20"/>
                <w:szCs w:val="20"/>
                <w:color w:val="auto"/>
              </w:rPr>
            </w:pPr>
            <w:r>
              <w:rPr>
                <w:rFonts w:ascii="Arial" w:cs="Arial" w:eastAsia="Arial" w:hAnsi="Arial"/>
                <w:sz w:val="15"/>
                <w:szCs w:val="15"/>
                <w:color w:val="auto"/>
                <w:w w:val="94"/>
              </w:rPr>
              <w:t>12,868,000</w:t>
            </w:r>
            <w:r>
              <w:rPr>
                <w:rFonts w:ascii="Arial" w:cs="Arial" w:eastAsia="Arial" w:hAnsi="Arial"/>
                <w:sz w:val="25"/>
                <w:szCs w:val="25"/>
                <w:color w:val="auto"/>
                <w:w w:val="94"/>
                <w:vertAlign w:val="superscript"/>
              </w:rPr>
              <w:t>(3)</w:t>
            </w:r>
          </w:p>
        </w:tc>
        <w:tc>
          <w:tcPr>
            <w:tcW w:w="1880" w:type="dxa"/>
            <w:vAlign w:val="bottom"/>
          </w:tcPr>
          <w:p>
            <w:pPr>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Spencer M. Rascoff</w:t>
            </w:r>
            <w:r>
              <w:rPr>
                <w:rFonts w:ascii="Arial" w:cs="Arial" w:eastAsia="Arial" w:hAnsi="Arial"/>
                <w:sz w:val="15"/>
                <w:szCs w:val="15"/>
                <w:color w:val="auto"/>
              </w:rPr>
              <w:t>(3)</w:t>
            </w:r>
          </w:p>
        </w:tc>
        <w:tc>
          <w:tcPr>
            <w:tcW w:w="1900" w:type="dxa"/>
            <w:vAlign w:val="bottom"/>
          </w:tcPr>
          <w:p>
            <w:pPr>
              <w:jc w:val="center"/>
              <w:spacing w:after="0"/>
              <w:rPr>
                <w:sz w:val="20"/>
                <w:szCs w:val="20"/>
                <w:color w:val="auto"/>
              </w:rPr>
            </w:pPr>
            <w:r>
              <w:rPr>
                <w:rFonts w:ascii="Arial" w:cs="Arial" w:eastAsia="Arial" w:hAnsi="Arial"/>
                <w:sz w:val="16"/>
                <w:szCs w:val="16"/>
                <w:color w:val="auto"/>
              </w:rPr>
              <w:t>—</w:t>
            </w:r>
          </w:p>
        </w:tc>
        <w:tc>
          <w:tcPr>
            <w:tcW w:w="188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Alexander M. Klabin</w:t>
            </w:r>
            <w:r>
              <w:rPr>
                <w:rFonts w:ascii="Arial" w:cs="Arial" w:eastAsia="Arial" w:hAnsi="Arial"/>
                <w:sz w:val="15"/>
                <w:szCs w:val="15"/>
                <w:color w:val="auto"/>
              </w:rPr>
              <w:t>(3)</w:t>
            </w:r>
          </w:p>
        </w:tc>
        <w:tc>
          <w:tcPr>
            <w:tcW w:w="1900" w:type="dxa"/>
            <w:vAlign w:val="bottom"/>
          </w:tcPr>
          <w:p>
            <w:pPr>
              <w:jc w:val="center"/>
              <w:spacing w:after="0"/>
              <w:rPr>
                <w:sz w:val="20"/>
                <w:szCs w:val="20"/>
                <w:color w:val="auto"/>
              </w:rPr>
            </w:pPr>
            <w:r>
              <w:rPr>
                <w:rFonts w:ascii="Arial" w:cs="Arial" w:eastAsia="Arial" w:hAnsi="Arial"/>
                <w:sz w:val="16"/>
                <w:szCs w:val="16"/>
                <w:color w:val="auto"/>
              </w:rPr>
              <w:t>—</w:t>
            </w:r>
          </w:p>
        </w:tc>
        <w:tc>
          <w:tcPr>
            <w:tcW w:w="188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Robert D. Reid</w:t>
            </w:r>
            <w:r>
              <w:rPr>
                <w:rFonts w:ascii="Arial" w:cs="Arial" w:eastAsia="Arial" w:hAnsi="Arial"/>
                <w:sz w:val="15"/>
                <w:szCs w:val="15"/>
                <w:color w:val="auto"/>
              </w:rPr>
              <w:t>(3)</w:t>
            </w:r>
          </w:p>
        </w:tc>
        <w:tc>
          <w:tcPr>
            <w:tcW w:w="1900" w:type="dxa"/>
            <w:vAlign w:val="bottom"/>
          </w:tcPr>
          <w:p>
            <w:pPr>
              <w:jc w:val="center"/>
              <w:spacing w:after="0"/>
              <w:rPr>
                <w:sz w:val="20"/>
                <w:szCs w:val="20"/>
                <w:color w:val="auto"/>
              </w:rPr>
            </w:pPr>
            <w:r>
              <w:rPr>
                <w:rFonts w:ascii="Arial" w:cs="Arial" w:eastAsia="Arial" w:hAnsi="Arial"/>
                <w:sz w:val="16"/>
                <w:szCs w:val="16"/>
                <w:color w:val="auto"/>
              </w:rPr>
              <w:t>—</w:t>
            </w:r>
          </w:p>
        </w:tc>
        <w:tc>
          <w:tcPr>
            <w:tcW w:w="188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231F20"/>
              </w:rPr>
              <w:t>Michael S. Clifton</w:t>
            </w:r>
            <w:r>
              <w:rPr>
                <w:rFonts w:ascii="Arial" w:cs="Arial" w:eastAsia="Arial" w:hAnsi="Arial"/>
                <w:sz w:val="15"/>
                <w:szCs w:val="15"/>
                <w:color w:val="231F20"/>
              </w:rPr>
              <w:t>(3)</w:t>
            </w:r>
          </w:p>
        </w:tc>
        <w:tc>
          <w:tcPr>
            <w:tcW w:w="1900" w:type="dxa"/>
            <w:vAlign w:val="bottom"/>
          </w:tcPr>
          <w:p>
            <w:pPr>
              <w:jc w:val="center"/>
              <w:spacing w:after="0"/>
              <w:rPr>
                <w:sz w:val="20"/>
                <w:szCs w:val="20"/>
                <w:color w:val="auto"/>
              </w:rPr>
            </w:pPr>
            <w:r>
              <w:rPr>
                <w:rFonts w:ascii="Arial" w:cs="Arial" w:eastAsia="Arial" w:hAnsi="Arial"/>
                <w:sz w:val="16"/>
                <w:szCs w:val="16"/>
                <w:color w:val="auto"/>
              </w:rPr>
              <w:t>—</w:t>
            </w:r>
          </w:p>
        </w:tc>
        <w:tc>
          <w:tcPr>
            <w:tcW w:w="188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231F20"/>
              </w:rPr>
              <w:t>Katie Curnutte</w:t>
            </w:r>
            <w:r>
              <w:rPr>
                <w:rFonts w:ascii="Arial" w:cs="Arial" w:eastAsia="Arial" w:hAnsi="Arial"/>
                <w:sz w:val="15"/>
                <w:szCs w:val="15"/>
                <w:color w:val="231F20"/>
              </w:rPr>
              <w:t>(2)</w:t>
            </w:r>
          </w:p>
        </w:tc>
        <w:tc>
          <w:tcPr>
            <w:tcW w:w="1900" w:type="dxa"/>
            <w:vAlign w:val="bottom"/>
          </w:tcPr>
          <w:p>
            <w:pPr>
              <w:jc w:val="center"/>
              <w:spacing w:after="0"/>
              <w:rPr>
                <w:sz w:val="20"/>
                <w:szCs w:val="20"/>
                <w:color w:val="auto"/>
              </w:rPr>
            </w:pPr>
            <w:r>
              <w:rPr>
                <w:rFonts w:ascii="Arial" w:cs="Arial" w:eastAsia="Arial" w:hAnsi="Arial"/>
                <w:sz w:val="16"/>
                <w:szCs w:val="16"/>
                <w:color w:val="auto"/>
                <w:w w:val="93"/>
              </w:rPr>
              <w:t>34,500</w:t>
            </w:r>
          </w:p>
        </w:tc>
        <w:tc>
          <w:tcPr>
            <w:tcW w:w="188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231F20"/>
              </w:rPr>
              <w:t>Ken Fox</w:t>
            </w:r>
            <w:r>
              <w:rPr>
                <w:rFonts w:ascii="Arial" w:cs="Arial" w:eastAsia="Arial" w:hAnsi="Arial"/>
                <w:sz w:val="15"/>
                <w:szCs w:val="15"/>
                <w:color w:val="231F20"/>
              </w:rPr>
              <w:t>(2)</w:t>
            </w:r>
          </w:p>
        </w:tc>
        <w:tc>
          <w:tcPr>
            <w:tcW w:w="1900" w:type="dxa"/>
            <w:vAlign w:val="bottom"/>
          </w:tcPr>
          <w:p>
            <w:pPr>
              <w:jc w:val="center"/>
              <w:spacing w:after="0"/>
              <w:rPr>
                <w:sz w:val="20"/>
                <w:szCs w:val="20"/>
                <w:color w:val="auto"/>
              </w:rPr>
            </w:pPr>
            <w:r>
              <w:rPr>
                <w:rFonts w:ascii="Arial" w:cs="Arial" w:eastAsia="Arial" w:hAnsi="Arial"/>
                <w:sz w:val="16"/>
                <w:szCs w:val="16"/>
                <w:color w:val="auto"/>
                <w:w w:val="93"/>
              </w:rPr>
              <w:t>34,500</w:t>
            </w:r>
          </w:p>
        </w:tc>
        <w:tc>
          <w:tcPr>
            <w:tcW w:w="188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231F20"/>
              </w:rPr>
              <w:t>Damien Hooper-Campbell</w:t>
            </w:r>
            <w:r>
              <w:rPr>
                <w:rFonts w:ascii="Arial" w:cs="Arial" w:eastAsia="Arial" w:hAnsi="Arial"/>
                <w:sz w:val="15"/>
                <w:szCs w:val="15"/>
                <w:color w:val="231F20"/>
              </w:rPr>
              <w:t>(2)</w:t>
            </w:r>
          </w:p>
        </w:tc>
        <w:tc>
          <w:tcPr>
            <w:tcW w:w="1900" w:type="dxa"/>
            <w:vAlign w:val="bottom"/>
          </w:tcPr>
          <w:p>
            <w:pPr>
              <w:jc w:val="center"/>
              <w:spacing w:after="0"/>
              <w:rPr>
                <w:sz w:val="20"/>
                <w:szCs w:val="20"/>
                <w:color w:val="auto"/>
              </w:rPr>
            </w:pPr>
            <w:r>
              <w:rPr>
                <w:rFonts w:ascii="Arial" w:cs="Arial" w:eastAsia="Arial" w:hAnsi="Arial"/>
                <w:sz w:val="16"/>
                <w:szCs w:val="16"/>
                <w:color w:val="auto"/>
                <w:w w:val="93"/>
              </w:rPr>
              <w:t>34,500</w:t>
            </w:r>
          </w:p>
        </w:tc>
        <w:tc>
          <w:tcPr>
            <w:tcW w:w="188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231F20"/>
              </w:rPr>
              <w:t>Jim Lanzone</w:t>
            </w:r>
            <w:r>
              <w:rPr>
                <w:rFonts w:ascii="Arial" w:cs="Arial" w:eastAsia="Arial" w:hAnsi="Arial"/>
                <w:sz w:val="15"/>
                <w:szCs w:val="15"/>
                <w:color w:val="231F20"/>
              </w:rPr>
              <w:t>(2)</w:t>
            </w:r>
          </w:p>
        </w:tc>
        <w:tc>
          <w:tcPr>
            <w:tcW w:w="1900" w:type="dxa"/>
            <w:vAlign w:val="bottom"/>
          </w:tcPr>
          <w:p>
            <w:pPr>
              <w:jc w:val="center"/>
              <w:spacing w:after="0"/>
              <w:rPr>
                <w:sz w:val="20"/>
                <w:szCs w:val="20"/>
                <w:color w:val="auto"/>
              </w:rPr>
            </w:pPr>
            <w:r>
              <w:rPr>
                <w:rFonts w:ascii="Arial" w:cs="Arial" w:eastAsia="Arial" w:hAnsi="Arial"/>
                <w:sz w:val="16"/>
                <w:szCs w:val="16"/>
                <w:color w:val="auto"/>
                <w:w w:val="93"/>
              </w:rPr>
              <w:t>34,500</w:t>
            </w:r>
          </w:p>
        </w:tc>
        <w:tc>
          <w:tcPr>
            <w:tcW w:w="188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231F20"/>
              </w:rPr>
              <w:t>Gregg Renfrew</w:t>
            </w:r>
            <w:r>
              <w:rPr>
                <w:rFonts w:ascii="Arial" w:cs="Arial" w:eastAsia="Arial" w:hAnsi="Arial"/>
                <w:sz w:val="15"/>
                <w:szCs w:val="15"/>
                <w:color w:val="231F20"/>
              </w:rPr>
              <w:t>(2)</w:t>
            </w:r>
          </w:p>
        </w:tc>
        <w:tc>
          <w:tcPr>
            <w:tcW w:w="1900" w:type="dxa"/>
            <w:vAlign w:val="bottom"/>
          </w:tcPr>
          <w:p>
            <w:pPr>
              <w:jc w:val="center"/>
              <w:spacing w:after="0"/>
              <w:rPr>
                <w:sz w:val="20"/>
                <w:szCs w:val="20"/>
                <w:color w:val="auto"/>
              </w:rPr>
            </w:pPr>
            <w:r>
              <w:rPr>
                <w:rFonts w:ascii="Arial" w:cs="Arial" w:eastAsia="Arial" w:hAnsi="Arial"/>
                <w:sz w:val="16"/>
                <w:szCs w:val="16"/>
                <w:color w:val="auto"/>
                <w:w w:val="93"/>
              </w:rPr>
              <w:t>34,500</w:t>
            </w:r>
          </w:p>
        </w:tc>
        <w:tc>
          <w:tcPr>
            <w:tcW w:w="188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231F20"/>
              </w:rPr>
              <w:t>Rajeev Singh</w:t>
            </w:r>
            <w:r>
              <w:rPr>
                <w:rFonts w:ascii="Arial" w:cs="Arial" w:eastAsia="Arial" w:hAnsi="Arial"/>
                <w:sz w:val="15"/>
                <w:szCs w:val="15"/>
                <w:color w:val="231F20"/>
              </w:rPr>
              <w:t>(2)</w:t>
            </w:r>
          </w:p>
        </w:tc>
        <w:tc>
          <w:tcPr>
            <w:tcW w:w="1900" w:type="dxa"/>
            <w:vAlign w:val="bottom"/>
          </w:tcPr>
          <w:p>
            <w:pPr>
              <w:jc w:val="center"/>
              <w:spacing w:after="0"/>
              <w:rPr>
                <w:sz w:val="20"/>
                <w:szCs w:val="20"/>
                <w:color w:val="auto"/>
              </w:rPr>
            </w:pPr>
            <w:r>
              <w:rPr>
                <w:rFonts w:ascii="Arial" w:cs="Arial" w:eastAsia="Arial" w:hAnsi="Arial"/>
                <w:sz w:val="16"/>
                <w:szCs w:val="16"/>
                <w:color w:val="auto"/>
                <w:w w:val="93"/>
              </w:rPr>
              <w:t>34,500</w:t>
            </w:r>
          </w:p>
        </w:tc>
        <w:tc>
          <w:tcPr>
            <w:tcW w:w="188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231F20"/>
              </w:rPr>
              <w:t>638 Capital Partners, LP</w:t>
            </w:r>
          </w:p>
        </w:tc>
        <w:tc>
          <w:tcPr>
            <w:tcW w:w="1900" w:type="dxa"/>
            <w:vAlign w:val="bottom"/>
          </w:tcPr>
          <w:p>
            <w:pPr>
              <w:jc w:val="center"/>
              <w:spacing w:after="0"/>
              <w:rPr>
                <w:sz w:val="20"/>
                <w:szCs w:val="20"/>
                <w:color w:val="auto"/>
              </w:rPr>
            </w:pPr>
            <w:r>
              <w:rPr>
                <w:rFonts w:ascii="Arial" w:cs="Arial" w:eastAsia="Arial" w:hAnsi="Arial"/>
                <w:sz w:val="16"/>
                <w:szCs w:val="16"/>
                <w:color w:val="auto"/>
                <w:w w:val="92"/>
              </w:rPr>
              <w:t>2,200,000</w:t>
            </w:r>
          </w:p>
        </w:tc>
        <w:tc>
          <w:tcPr>
            <w:tcW w:w="1880" w:type="dxa"/>
            <w:vAlign w:val="bottom"/>
          </w:tcPr>
          <w:p>
            <w:pPr>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231F20"/>
              </w:rPr>
              <w:t>Empyrean Capital Overseas Master Fund, Ltd.</w:t>
            </w:r>
          </w:p>
        </w:tc>
        <w:tc>
          <w:tcPr>
            <w:tcW w:w="1900" w:type="dxa"/>
            <w:vAlign w:val="bottom"/>
          </w:tcPr>
          <w:p>
            <w:pPr>
              <w:jc w:val="center"/>
              <w:spacing w:after="0"/>
              <w:rPr>
                <w:sz w:val="20"/>
                <w:szCs w:val="20"/>
                <w:color w:val="auto"/>
              </w:rPr>
            </w:pPr>
            <w:r>
              <w:rPr>
                <w:rFonts w:ascii="Arial" w:cs="Arial" w:eastAsia="Arial" w:hAnsi="Arial"/>
                <w:sz w:val="16"/>
                <w:szCs w:val="16"/>
                <w:color w:val="auto"/>
                <w:w w:val="92"/>
              </w:rPr>
              <w:t>1,800,000</w:t>
            </w:r>
          </w:p>
        </w:tc>
        <w:tc>
          <w:tcPr>
            <w:tcW w:w="1880" w:type="dxa"/>
            <w:vAlign w:val="bottom"/>
          </w:tcPr>
          <w:p>
            <w:pPr>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231F20"/>
              </w:rPr>
              <w:t>All officers, directors and director nominees</w:t>
            </w:r>
          </w:p>
        </w:tc>
        <w:tc>
          <w:tcPr>
            <w:tcW w:w="19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Pr>
          <w:p>
            <w:pPr>
              <w:spacing w:after="0"/>
              <w:rPr>
                <w:sz w:val="18"/>
                <w:szCs w:val="18"/>
                <w:color w:val="auto"/>
              </w:rPr>
            </w:pPr>
          </w:p>
        </w:tc>
        <w:tc>
          <w:tcPr>
            <w:tcW w:w="4540" w:type="dxa"/>
            <w:vAlign w:val="bottom"/>
          </w:tcPr>
          <w:p>
            <w:pPr>
              <w:ind w:left="40"/>
              <w:spacing w:after="0"/>
              <w:rPr>
                <w:sz w:val="20"/>
                <w:szCs w:val="20"/>
                <w:color w:val="auto"/>
              </w:rPr>
            </w:pPr>
            <w:r>
              <w:rPr>
                <w:rFonts w:ascii="Arial" w:cs="Arial" w:eastAsia="Arial" w:hAnsi="Arial"/>
                <w:sz w:val="18"/>
                <w:szCs w:val="18"/>
                <w:color w:val="231F20"/>
              </w:rPr>
              <w:t>as a group (ten individuals)</w:t>
            </w:r>
          </w:p>
        </w:tc>
        <w:tc>
          <w:tcPr>
            <w:tcW w:w="1900" w:type="dxa"/>
            <w:vAlign w:val="bottom"/>
          </w:tcPr>
          <w:p>
            <w:pPr>
              <w:jc w:val="center"/>
              <w:spacing w:after="0"/>
              <w:rPr>
                <w:sz w:val="20"/>
                <w:szCs w:val="20"/>
                <w:color w:val="auto"/>
              </w:rPr>
            </w:pPr>
            <w:r>
              <w:rPr>
                <w:rFonts w:ascii="Arial" w:cs="Arial" w:eastAsia="Arial" w:hAnsi="Arial"/>
                <w:sz w:val="16"/>
                <w:szCs w:val="16"/>
                <w:color w:val="auto"/>
                <w:w w:val="93"/>
              </w:rPr>
              <w:t>207,000</w:t>
            </w:r>
          </w:p>
        </w:tc>
        <w:tc>
          <w:tcPr>
            <w:tcW w:w="188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_____________________</w:t>
            </w:r>
          </w:p>
        </w:tc>
        <w:tc>
          <w:tcPr>
            <w:tcW w:w="1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4540" w:type="dxa"/>
            <w:vAlign w:val="bottom"/>
          </w:tcPr>
          <w:p>
            <w:pPr>
              <w:ind w:left="320"/>
              <w:spacing w:after="0"/>
              <w:rPr>
                <w:sz w:val="20"/>
                <w:szCs w:val="20"/>
                <w:color w:val="auto"/>
              </w:rPr>
            </w:pPr>
            <w:r>
              <w:rPr>
                <w:rFonts w:ascii="Arial" w:cs="Arial" w:eastAsia="Arial" w:hAnsi="Arial"/>
                <w:sz w:val="14"/>
                <w:szCs w:val="14"/>
                <w:color w:val="auto"/>
              </w:rPr>
              <w:t>Less than one percent.</w:t>
            </w:r>
          </w:p>
        </w:tc>
        <w:tc>
          <w:tcPr>
            <w:tcW w:w="19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440" w:hanging="432"/>
        <w:spacing w:after="0"/>
        <w:tabs>
          <w:tab w:leader="none" w:pos="4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of our shareholders is 4301 50th Street NW, Suite 300 PMB 1044, Washington, D.C. 20016.</w:t>
      </w:r>
    </w:p>
    <w:p>
      <w:pPr>
        <w:spacing w:after="0" w:line="95" w:lineRule="exact"/>
        <w:rPr>
          <w:rFonts w:ascii="Arial" w:cs="Arial" w:eastAsia="Arial" w:hAnsi="Arial"/>
          <w:sz w:val="14"/>
          <w:szCs w:val="14"/>
          <w:color w:val="auto"/>
        </w:rPr>
      </w:pPr>
    </w:p>
    <w:p>
      <w:pPr>
        <w:ind w:left="440" w:hanging="432"/>
        <w:spacing w:after="0" w:line="253" w:lineRule="auto"/>
        <w:tabs>
          <w:tab w:leader="none" w:pos="4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Interests shown consist solely of Founder Shares, classified as Class B ordinary shares. Such shares will automatically convert into Class A ordinary shares at the time of our initial business combination.</w:t>
      </w:r>
    </w:p>
    <w:p>
      <w:pPr>
        <w:spacing w:after="0" w:line="65" w:lineRule="exact"/>
        <w:rPr>
          <w:rFonts w:ascii="Arial" w:cs="Arial" w:eastAsia="Arial" w:hAnsi="Arial"/>
          <w:sz w:val="14"/>
          <w:szCs w:val="14"/>
          <w:color w:val="auto"/>
        </w:rPr>
      </w:pPr>
    </w:p>
    <w:p>
      <w:pPr>
        <w:jc w:val="both"/>
        <w:ind w:left="440" w:hanging="432"/>
        <w:spacing w:after="0" w:line="229" w:lineRule="auto"/>
        <w:tabs>
          <w:tab w:leader="none" w:pos="4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shares reported above are held in the name of our sponsor. Our sponsor is governed by a board of managers consisting of four managers: Spencer M. Rascoff, Alexander M. Klabin, Robert D. Reid and Michael S. Clifton. Each director has one vote, and the approval of a majority of the directors is required to approve any action of our sponsor. Under the so-called “rule of three,” if voting and dispositive decisions regarding an entity’s securities are made by three or more individuals, and a voting or dispositive decision requires the approval of at least a majority of those individuals, then none of the individuals is deemed a beneficial owner of the entity’s securities. Based upon the foregoing analysis, no director of our sponsor exercises voting or dispositive control over any of the securities held by our sponsor, even those in which he or she directly holds a pecuniary interest. Accordingly, none of them will be deemed to have or share beneficial ownership of such shares.</w:t>
      </w:r>
    </w:p>
    <w:p>
      <w:pPr>
        <w:spacing w:after="0" w:line="7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Changes in Control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 the consummation of the business combination with Rigetti, there will be a change of control. See “Item 1. Business” above.</w:t>
      </w:r>
    </w:p>
    <w:p>
      <w:pPr>
        <w:spacing w:after="0" w:line="194" w:lineRule="exact"/>
        <w:rPr>
          <w:sz w:val="20"/>
          <w:szCs w:val="20"/>
          <w:color w:val="auto"/>
        </w:rPr>
      </w:pPr>
    </w:p>
    <w:p>
      <w:pPr>
        <w:ind w:left="880" w:right="3840"/>
        <w:spacing w:after="0" w:line="513" w:lineRule="auto"/>
        <w:rPr>
          <w:sz w:val="20"/>
          <w:szCs w:val="20"/>
          <w:color w:val="auto"/>
        </w:rPr>
      </w:pPr>
      <w:r>
        <w:rPr>
          <w:rFonts w:ascii="Arial" w:cs="Arial" w:eastAsia="Arial" w:hAnsi="Arial"/>
          <w:sz w:val="16"/>
          <w:szCs w:val="16"/>
          <w:b w:val="1"/>
          <w:bCs w:val="1"/>
          <w:color w:val="auto"/>
        </w:rPr>
        <w:t>Item 13. Certain Relationships and Related Transactions, and Director Independence Certain Relationships and Related Transactions, and Director Independence</w:t>
      </w:r>
    </w:p>
    <w:p>
      <w:pPr>
        <w:jc w:val="both"/>
        <w:spacing w:after="0" w:line="254" w:lineRule="auto"/>
        <w:rPr>
          <w:sz w:val="20"/>
          <w:szCs w:val="20"/>
          <w:color w:val="auto"/>
        </w:rPr>
      </w:pPr>
      <w:r>
        <w:rPr>
          <w:rFonts w:ascii="Arial" w:cs="Arial" w:eastAsia="Arial" w:hAnsi="Arial"/>
          <w:sz w:val="18"/>
          <w:szCs w:val="18"/>
          <w:color w:val="auto"/>
        </w:rPr>
        <w:t>On December 22, 2020, the Sponsor paid $25,000, or approximately $0.004 per share, to cover certain of our offering and formation costs in consideration of 5,750,000 Class B ordinary shares, par value $0.0001. On January 14, 2021, the Company effected a share dividend, resulting in 7,187,500 Class B ordinary shares outstanding. On February 22, 2021, our Sponsor transferred 28,750 Founder Shares to each of our six independent director nominees. On March 1, 2021, the Company effected a share dividend, resulting in 8,625,000 Class B ordinary shares outstanding. The number of Founder Shares issued was determined based on the expectation that such Founder Shares would represent 20% of the issued and outstanding shares upon completion of the IPO. The Founder Shares (including the Class A ordinary shares issuable upon exercise thereof) may not, subject to certain limited exceptions, be transferred, assigned or sold by the holder.</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Sponsor purchased an aggregate of 4,450,000 private placement warrants for a purchase price of $2.00 per whole warrant, or $8,900,000 in the aggregate, in a private placement that occurred simultaneously with the closing of our initial public offering. Each private placement warrant entitles the holder to purchase one Class A ordinary share at $11.50 per share, subject to adjustment. The private placement warrants (including the Class A ordinary shares issuable upon exercise thereof) may not, subject to certain limited exceptions, be transferred, assigned or sold by the holder until 30 days after the completion of our initial Business combination.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3" w:name="page44"/>
    <w:bookmarkEnd w:id="43"/>
    <w:p>
      <w:pPr>
        <w:jc w:val="both"/>
        <w:spacing w:after="0" w:line="259" w:lineRule="auto"/>
        <w:rPr>
          <w:sz w:val="20"/>
          <w:szCs w:val="20"/>
          <w:color w:val="auto"/>
        </w:rPr>
      </w:pPr>
      <w:r>
        <w:rPr>
          <w:rFonts w:ascii="Arial" w:cs="Arial" w:eastAsia="Arial" w:hAnsi="Arial"/>
          <w:sz w:val="18"/>
          <w:szCs w:val="18"/>
          <w:color w:val="auto"/>
        </w:rPr>
        <w:t>If any of our officers or directors becomes aware of a Business combination opportunity that falls within the line of business of any entity to which he or she has then-current fiduciary or contractual obligations, he or she may be required to present such Business combination opportunity to such entity prior to presenting such Business combination opportunity to us. Our officers and directors currently have certain relevant fiduciary duties or contractual obligations that may take priority over their duties to us.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We currently maintain our executive offices at 4301 50th Street NW, Suite 300 PMB 1044, Washington, D.C. 20016.</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than the foregoing, no compensation of any kind, including any finder’s fee, reimbursement, consulting fee or monies in respect of any payment of a loan, will be paid by us to our Sponsor, officers and directors, or any affiliate of our Sponsor or officers, prior to, or in connection with any services rendered in order to effectuate, the consummation of an initial Business combination (regardless of the type of transaction that it is). However, these individuals will be reimbursed for any out-of-pocket expenses incurred in connection with activities on our behalf such as identifying potential target businesses and performing due diligence on suitable Business combinations. We do not have a policy that prohibits our Sponsor, executive officers or directors, or any of their respective affiliates, from negotiating for the reimbursement of out-of-pocket expenses by a target business. Our audit committee will review on a quarterly basis all payments that were made to our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December 22, 2020, the Sponsor agreed to loan the Company an aggregate of up to $300,000 to cover expenses related to the initial public offering pursuant to a promissory note (the “Note”). This Note was non-interest bearing and payable upon the completion of the Initial Public Offering. The Company borrowed $275,000 under the Note. The Company repaid the Note in full on March 4, 2021.</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on a non-interest bearing basis as may be required.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2.00 per warrant at the option of the lender. The warrants would be identical to the private placement warrants, including as to exercise price, exercisability and exercise period.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our initial Business combination, members of our management team who remain with us may be paid consulting, management or other fees from the combined company with any and all amounts being fully disclosed to our shareholders, to the extent then known, in the tender offer or proxy solicitation materials, as applicable, furnished to our shareholders. It is unlikely the amount of such compensation will be known at the time of distribution of such tender offer materials or at the time of a shareholder meeting held to consider our initial Business combination, as applicable, as it will be up to the directors of the post-combination business to determine executive and director compensation. We will bear the expenses incurred in connection with the filing of any such registration statements.</w:t>
      </w:r>
    </w:p>
    <w:p>
      <w:pPr>
        <w:spacing w:after="0" w:line="1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entered into a registration rights agreement with respect to the private placement warrants, the warrants issuable upon conversion of working capital loans (if any) and the Class A ordinary shares issuable upon exercise of the foregoing and upon conversion of the Founder Shares.</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transactions described above, we and our sponsor, among others, entered into certain agreements in connection with the signing of the Business Combination Agreement, pursuant to which, among other things, our sponsor and our directors and officers have certain interests. For more information, please see Item 1. Business – “Recent Developments.”</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Director Independence</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NYSE listing standards require that a majority of our board of directors be independent. Our board of directors has determined that each of Katie Curnutte, Ken Fox, Damien Hooper-Campbell, Jim Lanzone, Gregg Renfrew,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t>Rajeev Singh is an “independent director.” Our independent directors will have regularly scheduled meetings at which only independent directors are present.</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Item 14</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Principal Accountant Fees and Services.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fees paid or to be paid to Marcum LLP, (or “Marcum”), for services rendered.</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Audit Fees</w:t>
      </w:r>
      <w:r>
        <w:rPr>
          <w:rFonts w:ascii="Arial" w:cs="Arial" w:eastAsia="Arial" w:hAnsi="Arial"/>
          <w:sz w:val="17"/>
          <w:szCs w:val="17"/>
          <w:color w:val="auto"/>
        </w:rPr>
        <w:t>. Audit fees consist of fees billed for professional services rendered for the audit of our year-end consolidated financial statements and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normally provided by Marcum in connection with regulatory filings. The aggregate fees of Marcum related to audit and review services in connection with our initial public offering and regulatory filings totaled approximately $120,000 for the year ended December 31, 2021.</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Audit-related services consist of fees billed for assurance and related services that are reasonably related to performance of the audit or</w:t>
      </w:r>
      <w:r>
        <w:rPr>
          <w:rFonts w:ascii="Arial" w:cs="Arial" w:eastAsia="Arial" w:hAnsi="Arial"/>
          <w:sz w:val="18"/>
          <w:szCs w:val="18"/>
          <w:i w:val="1"/>
          <w:iCs w:val="1"/>
          <w:color w:val="auto"/>
        </w:rPr>
        <w:t xml:space="preserve"> </w:t>
      </w:r>
      <w:r>
        <w:rPr>
          <w:rFonts w:ascii="Arial" w:cs="Arial" w:eastAsia="Arial" w:hAnsi="Arial"/>
          <w:sz w:val="18"/>
          <w:szCs w:val="18"/>
          <w:color w:val="auto"/>
        </w:rPr>
        <w:t>review of our consolidated financial statements and are not reported under “Audit Fees.” These services include attest services that are not required by statute or regulation and consultations concerning financial accounting and reporting standards. We did not pay Marcum for consultations concerning financial accounting and reporting standards during the year ended December 31,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We did not pay Marcum for tax return services, planning and tax advice for the year ended December 31,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We did not pay Marcum for any other services for the year ended December 31, 2021.</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Pre-Approval Policy</w:t>
      </w:r>
    </w:p>
    <w:p>
      <w:pPr>
        <w:spacing w:after="0" w:line="202"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Our audit committee was formed upon the consummation of our IPO. As a result, the audit committee did not pre</w:t>
      </w:r>
      <w:r>
        <w:rPr>
          <w:rFonts w:ascii="MS PGothic" w:cs="MS PGothic" w:eastAsia="MS PGothic" w:hAnsi="MS PGothic"/>
          <w:sz w:val="18"/>
          <w:szCs w:val="18"/>
          <w:color w:val="auto"/>
        </w:rPr>
        <w:t>‑</w:t>
      </w:r>
      <w:r>
        <w:rPr>
          <w:rFonts w:ascii="Arial" w:cs="Arial" w:eastAsia="Arial" w:hAnsi="Arial"/>
          <w:sz w:val="18"/>
          <w:szCs w:val="18"/>
          <w:color w:val="auto"/>
        </w:rPr>
        <w:t>approve all of the foregoing services, although any services rendered prior to the formation of our audit committee were approved by our Board.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161"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Item 15. Exhibits, Financial Statements and Financial Statement Schedules</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85" w:lineRule="exact"/>
        <w:rPr>
          <w:sz w:val="20"/>
          <w:szCs w:val="20"/>
          <w:color w:val="auto"/>
        </w:rPr>
      </w:pPr>
    </w:p>
    <w:p>
      <w:pPr>
        <w:ind w:left="1720" w:hanging="848"/>
        <w:spacing w:after="0"/>
        <w:tabs>
          <w:tab w:leader="none" w:pos="1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84" w:lineRule="exact"/>
        <w:rPr>
          <w:rFonts w:ascii="Arial" w:cs="Arial" w:eastAsia="Arial" w:hAnsi="Arial"/>
          <w:sz w:val="18"/>
          <w:szCs w:val="18"/>
          <w:color w:val="auto"/>
        </w:rPr>
      </w:pPr>
    </w:p>
    <w:p>
      <w:pPr>
        <w:ind w:left="1720" w:hanging="848"/>
        <w:spacing w:after="0"/>
        <w:tabs>
          <w:tab w:leader="none" w:pos="1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Statements Schedule</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financial statement schedules are omitted because they are not applicable or the amounts are immaterial and not required, or the required information is presented in the consolidated financial statements and notes thereto in is Item 15 of Part IV below.</w:t>
      </w:r>
    </w:p>
    <w:p>
      <w:pPr>
        <w:spacing w:after="0" w:line="130" w:lineRule="exact"/>
        <w:rPr>
          <w:sz w:val="20"/>
          <w:szCs w:val="20"/>
          <w:color w:val="auto"/>
        </w:rPr>
      </w:pPr>
    </w:p>
    <w:p>
      <w:pPr>
        <w:ind w:left="1720" w:hanging="848"/>
        <w:spacing w:after="0"/>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We hereby file as part of this report the exhibits listed in the attached Exhibit Index. Exhibits which are incorporated herein by reference can be obtained on the SEC website at </w:t>
      </w:r>
      <w:r>
        <w:rPr>
          <w:rFonts w:ascii="Arial" w:cs="Arial" w:eastAsia="Arial" w:hAnsi="Arial"/>
          <w:sz w:val="18"/>
          <w:szCs w:val="18"/>
          <w:b w:val="1"/>
          <w:bCs w:val="1"/>
          <w:u w:val="single" w:color="auto"/>
          <w:color w:val="auto"/>
        </w:rPr>
        <w:t>www.sec.gov</w:t>
      </w:r>
      <w:r>
        <w:rPr>
          <w:rFonts w:ascii="Arial" w:cs="Arial" w:eastAsia="Arial" w:hAnsi="Arial"/>
          <w:sz w:val="18"/>
          <w:szCs w:val="18"/>
          <w:color w:val="auto"/>
        </w:rPr>
        <w:t>.</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Item 16. Form 10-K Summary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SUPERNOVA PARTNERS ACQUISITION COMPANY II,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80" w:type="dxa"/>
            <w:vAlign w:val="bottom"/>
            <w:gridSpan w:val="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688)</w:t>
            </w:r>
          </w:p>
        </w:tc>
        <w:tc>
          <w:tcPr>
            <w:tcW w:w="560" w:type="dxa"/>
            <w:vAlign w:val="bottom"/>
          </w:tcPr>
          <w:p>
            <w:pPr>
              <w:ind w:left="320"/>
              <w:spacing w:after="0"/>
              <w:rPr>
                <w:sz w:val="20"/>
                <w:szCs w:val="20"/>
                <w:color w:val="auto"/>
              </w:rPr>
            </w:pPr>
            <w:r>
              <w:rPr>
                <w:rFonts w:ascii="Arial" w:cs="Arial" w:eastAsia="Arial" w:hAnsi="Arial"/>
                <w:sz w:val="18"/>
                <w:szCs w:val="18"/>
                <w:color w:val="auto"/>
                <w:w w:val="81"/>
              </w:rPr>
              <w:t>F-1</w:t>
            </w:r>
          </w:p>
        </w:tc>
      </w:tr>
      <w:tr>
        <w:trPr>
          <w:trHeight w:val="20"/>
        </w:trPr>
        <w:tc>
          <w:tcPr>
            <w:tcW w:w="142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39"/>
        </w:trPr>
        <w:tc>
          <w:tcPr>
            <w:tcW w:w="466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Consolidated Balance Sheets as of December 31, 2021 and 2020</w:t>
              </w:r>
            </w:hyperlink>
          </w:p>
        </w:tc>
        <w:tc>
          <w:tcPr>
            <w:tcW w:w="6020" w:type="dxa"/>
            <w:vAlign w:val="bottom"/>
            <w:gridSpan w:val="4"/>
          </w:tcPr>
          <w:p>
            <w:pPr>
              <w:spacing w:after="0"/>
              <w:rPr>
                <w:sz w:val="24"/>
                <w:szCs w:val="24"/>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w w:val="81"/>
              </w:rPr>
              <w:t>F-2</w:t>
            </w:r>
          </w:p>
        </w:tc>
      </w:tr>
      <w:tr>
        <w:trPr>
          <w:trHeight w:val="439"/>
        </w:trPr>
        <w:tc>
          <w:tcPr>
            <w:tcW w:w="102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Consolidated Statements of Operations for the year ended December 31, 2021 and for the period from December 22, 2020 (inception) through</w:t>
              </w:r>
            </w:hyperlink>
          </w:p>
        </w:tc>
        <w:tc>
          <w:tcPr>
            <w:tcW w:w="420" w:type="dxa"/>
            <w:vAlign w:val="bottom"/>
            <w:gridSpan w:val="3"/>
          </w:tcPr>
          <w:p>
            <w:pPr>
              <w:spacing w:after="0"/>
              <w:rPr>
                <w:sz w:val="24"/>
                <w:szCs w:val="24"/>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w w:val="81"/>
              </w:rPr>
              <w:t>F-3</w:t>
            </w:r>
          </w:p>
        </w:tc>
      </w:tr>
      <w:tr>
        <w:trPr>
          <w:trHeight w:val="196"/>
        </w:trPr>
        <w:tc>
          <w:tcPr>
            <w:tcW w:w="10680" w:type="dxa"/>
            <w:vAlign w:val="bottom"/>
            <w:gridSpan w:val="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December 31, 2020</w:t>
              </w:r>
            </w:hyperlink>
          </w:p>
        </w:tc>
        <w:tc>
          <w:tcPr>
            <w:tcW w:w="560" w:type="dxa"/>
            <w:vAlign w:val="bottom"/>
          </w:tcPr>
          <w:p>
            <w:pPr>
              <w:spacing w:after="0"/>
              <w:rPr>
                <w:sz w:val="17"/>
                <w:szCs w:val="17"/>
                <w:color w:val="auto"/>
              </w:rPr>
            </w:pPr>
          </w:p>
        </w:tc>
      </w:tr>
      <w:tr>
        <w:trPr>
          <w:trHeight w:val="20"/>
        </w:trPr>
        <w:tc>
          <w:tcPr>
            <w:tcW w:w="142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10680" w:type="dxa"/>
            <w:vAlign w:val="bottom"/>
            <w:gridSpan w:val="9"/>
          </w:tcPr>
          <w:p>
            <w:pPr>
              <w:spacing w:after="0"/>
              <w:rPr>
                <w:rFonts w:ascii="Arial" w:cs="Arial" w:eastAsia="Arial" w:hAnsi="Arial"/>
                <w:sz w:val="18"/>
                <w:szCs w:val="18"/>
                <w:color w:val="0000EE"/>
                <w:w w:val="93"/>
              </w:rPr>
            </w:pPr>
            <w:hyperlink w:anchor="page50">
              <w:r>
                <w:rPr>
                  <w:rFonts w:ascii="Arial" w:cs="Arial" w:eastAsia="Arial" w:hAnsi="Arial"/>
                  <w:sz w:val="18"/>
                  <w:szCs w:val="18"/>
                  <w:color w:val="0000EE"/>
                  <w:w w:val="93"/>
                </w:rPr>
                <w:t>Consolidated Statements of Changes in Shareholders’ Equity (Deficit) for the year ended December 31, 2021 and for the period from December</w:t>
              </w:r>
            </w:hyperlink>
          </w:p>
        </w:tc>
        <w:tc>
          <w:tcPr>
            <w:tcW w:w="560" w:type="dxa"/>
            <w:vAlign w:val="bottom"/>
          </w:tcPr>
          <w:p>
            <w:pPr>
              <w:ind w:left="320"/>
              <w:spacing w:after="0"/>
              <w:rPr>
                <w:sz w:val="20"/>
                <w:szCs w:val="20"/>
                <w:color w:val="auto"/>
              </w:rPr>
            </w:pPr>
            <w:r>
              <w:rPr>
                <w:rFonts w:ascii="Arial" w:cs="Arial" w:eastAsia="Arial" w:hAnsi="Arial"/>
                <w:sz w:val="18"/>
                <w:szCs w:val="18"/>
                <w:color w:val="auto"/>
                <w:w w:val="81"/>
              </w:rPr>
              <w:t>F-4</w:t>
            </w:r>
          </w:p>
        </w:tc>
      </w:tr>
      <w:tr>
        <w:trPr>
          <w:trHeight w:val="196"/>
        </w:trPr>
        <w:tc>
          <w:tcPr>
            <w:tcW w:w="3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22, 2020 (inception) through December 31, 2020</w:t>
              </w:r>
            </w:hyperlink>
          </w:p>
        </w:tc>
        <w:tc>
          <w:tcPr>
            <w:tcW w:w="6840" w:type="dxa"/>
            <w:vAlign w:val="bottom"/>
            <w:tcBorders>
              <w:top w:val="single" w:sz="8" w:color="0000EE"/>
            </w:tcBorders>
            <w:gridSpan w:val="5"/>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25"/>
        </w:trPr>
        <w:tc>
          <w:tcPr>
            <w:tcW w:w="103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Consolidated Statements of Cash Flows for the year ended December 31, 2021 and for the period from December 22, 2020 (inception) through</w:t>
              </w:r>
            </w:hyperlink>
          </w:p>
        </w:tc>
        <w:tc>
          <w:tcPr>
            <w:tcW w:w="320" w:type="dxa"/>
            <w:vAlign w:val="bottom"/>
            <w:gridSpan w:val="2"/>
          </w:tcPr>
          <w:p>
            <w:pPr>
              <w:spacing w:after="0"/>
              <w:rPr>
                <w:sz w:val="24"/>
                <w:szCs w:val="24"/>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w w:val="81"/>
              </w:rPr>
              <w:t>F-5</w:t>
            </w:r>
          </w:p>
        </w:tc>
      </w:tr>
      <w:tr>
        <w:trPr>
          <w:trHeight w:val="196"/>
        </w:trPr>
        <w:tc>
          <w:tcPr>
            <w:tcW w:w="10680" w:type="dxa"/>
            <w:vAlign w:val="bottom"/>
            <w:gridSpan w:val="9"/>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December 31, 2020</w:t>
              </w:r>
            </w:hyperlink>
          </w:p>
        </w:tc>
        <w:tc>
          <w:tcPr>
            <w:tcW w:w="560" w:type="dxa"/>
            <w:vAlign w:val="bottom"/>
          </w:tcPr>
          <w:p>
            <w:pPr>
              <w:spacing w:after="0"/>
              <w:rPr>
                <w:sz w:val="17"/>
                <w:szCs w:val="17"/>
                <w:color w:val="auto"/>
              </w:rPr>
            </w:pPr>
          </w:p>
        </w:tc>
      </w:tr>
      <w:tr>
        <w:trPr>
          <w:trHeight w:val="20"/>
        </w:trPr>
        <w:tc>
          <w:tcPr>
            <w:tcW w:w="142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52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31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Notes to Consolidated Financial Statements</w:t>
              </w:r>
            </w:hyperlink>
          </w:p>
        </w:tc>
        <w:tc>
          <w:tcPr>
            <w:tcW w:w="7520" w:type="dxa"/>
            <w:vAlign w:val="bottom"/>
            <w:gridSpan w:val="7"/>
          </w:tcPr>
          <w:p>
            <w:pPr>
              <w:spacing w:after="0"/>
              <w:rPr>
                <w:sz w:val="24"/>
                <w:szCs w:val="24"/>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w w:val="81"/>
              </w:rPr>
              <w:t>F-6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6" w:name="page47"/>
    <w:bookmarkEnd w:id="46"/>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Supernova Partners Acquisition Company II, Ltd.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audited the accompanying consolidated balance sheets of Supernova Partners Acquisition Company II, Ltd. (the “Company”) as of December 31, 2021 and 2020, the related consolidated statements of operations, changes in shareholders’ deficit and cash flows for the year ended December 31, 2021 and for the period from December 22, 2020 (inception) through December 31, 2020, and the related consolidated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 ended December 31, 2021 and for the period from December 22, 2020 (inception) through December 31, 2020, in conformity with accounting principles generally accepted in the United States of America.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more fully described in Note 1 to the financial statements, the Company’s business plan is dependent on the completion of a business combination. The Company had a working capital deficiency as of December 31, 2021 and lacks the financial resources it needs to sustain operations for a reasonable period of time, which is considered to be one year from the issuance date of the financial statements. These conditions raise substantial doubt about the Company's ability to continue as a going concern. The financial statements do not include any adjustments that might result from the outcome of this uncertainty.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SUPERNOVA PARTNERS ACQUISITION COMPANY II,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272"/>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8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223"/>
        </w:trPr>
        <w:tc>
          <w:tcPr>
            <w:tcW w:w="8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532,436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 current</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235,399</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10,309</w:t>
            </w:r>
          </w:p>
        </w:tc>
      </w:tr>
      <w:tr>
        <w:trPr>
          <w:trHeight w:val="223"/>
        </w:trPr>
        <w:tc>
          <w:tcPr>
            <w:tcW w:w="8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767,835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10,309</w:t>
            </w:r>
          </w:p>
        </w:tc>
      </w:tr>
      <w:tr>
        <w:trPr>
          <w:trHeight w:val="229"/>
        </w:trPr>
        <w:tc>
          <w:tcPr>
            <w:tcW w:w="826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16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33,000</w:t>
            </w:r>
          </w:p>
        </w:tc>
      </w:tr>
      <w:tr>
        <w:trPr>
          <w:trHeight w:val="237"/>
        </w:trPr>
        <w:tc>
          <w:tcPr>
            <w:tcW w:w="8260" w:type="dxa"/>
            <w:vAlign w:val="bottom"/>
          </w:tcPr>
          <w:p>
            <w:pPr>
              <w:spacing w:after="0"/>
              <w:rPr>
                <w:sz w:val="20"/>
                <w:szCs w:val="20"/>
                <w:color w:val="auto"/>
              </w:rPr>
            </w:pPr>
            <w:r>
              <w:rPr>
                <w:rFonts w:ascii="Arial" w:cs="Arial" w:eastAsia="Arial" w:hAnsi="Arial"/>
                <w:sz w:val="18"/>
                <w:szCs w:val="18"/>
                <w:color w:val="auto"/>
              </w:rPr>
              <w:t>Prepaid expenses – long term</w:t>
            </w:r>
          </w:p>
        </w:tc>
        <w:tc>
          <w:tcPr>
            <w:tcW w:w="160" w:type="dxa"/>
            <w:vAlign w:val="bottom"/>
          </w:tcPr>
          <w:p>
            <w:pPr>
              <w:spacing w:after="0"/>
              <w:rPr>
                <w:sz w:val="20"/>
                <w:szCs w:val="20"/>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35,683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36"/>
        </w:trPr>
        <w:tc>
          <w:tcPr>
            <w:tcW w:w="8260" w:type="dxa"/>
            <w:vAlign w:val="bottom"/>
            <w:shd w:val="clear" w:color="auto" w:fill="CFF0FC"/>
          </w:tcPr>
          <w:p>
            <w:pPr>
              <w:spacing w:after="0"/>
              <w:rPr>
                <w:sz w:val="20"/>
                <w:szCs w:val="20"/>
                <w:color w:val="auto"/>
              </w:rPr>
            </w:pPr>
            <w:r>
              <w:rPr>
                <w:rFonts w:ascii="Arial" w:cs="Arial" w:eastAsia="Arial" w:hAnsi="Arial"/>
                <w:sz w:val="18"/>
                <w:szCs w:val="18"/>
                <w:color w:val="auto"/>
              </w:rPr>
              <w:t>Investments held in Trust Account</w:t>
            </w:r>
          </w:p>
        </w:tc>
        <w:tc>
          <w:tcPr>
            <w:tcW w:w="16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345,019,271</w:t>
            </w:r>
          </w:p>
        </w:tc>
        <w:tc>
          <w:tcPr>
            <w:tcW w:w="14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63"/>
        </w:trPr>
        <w:tc>
          <w:tcPr>
            <w:tcW w:w="82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345,822,789</w:t>
            </w:r>
          </w:p>
        </w:tc>
        <w:tc>
          <w:tcPr>
            <w:tcW w:w="14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43,309</w:t>
            </w:r>
          </w:p>
        </w:tc>
      </w:tr>
      <w:tr>
        <w:trPr>
          <w:trHeight w:val="210"/>
        </w:trPr>
        <w:tc>
          <w:tcPr>
            <w:tcW w:w="8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1"/>
        </w:trPr>
        <w:tc>
          <w:tcPr>
            <w:tcW w:w="8260" w:type="dxa"/>
            <w:vAlign w:val="bottom"/>
          </w:tcPr>
          <w:p>
            <w:pPr>
              <w:spacing w:after="0"/>
              <w:rPr>
                <w:sz w:val="20"/>
                <w:szCs w:val="20"/>
                <w:color w:val="auto"/>
              </w:rPr>
            </w:pPr>
            <w:r>
              <w:rPr>
                <w:rFonts w:ascii="Arial" w:cs="Arial" w:eastAsia="Arial" w:hAnsi="Arial"/>
                <w:sz w:val="18"/>
                <w:szCs w:val="18"/>
                <w:b w:val="1"/>
                <w:bCs w:val="1"/>
                <w:color w:val="auto"/>
              </w:rPr>
              <w:t>Liabilities, Class A Ordinary Shares Subject to Possible Redemption and</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8260" w:type="dxa"/>
            <w:vAlign w:val="bottom"/>
          </w:tcPr>
          <w:p>
            <w:pPr>
              <w:ind w:left="140"/>
              <w:spacing w:after="0"/>
              <w:rPr>
                <w:sz w:val="20"/>
                <w:szCs w:val="20"/>
                <w:color w:val="auto"/>
              </w:rPr>
            </w:pPr>
            <w:r>
              <w:rPr>
                <w:rFonts w:ascii="Arial" w:cs="Arial" w:eastAsia="Arial" w:hAnsi="Arial"/>
                <w:sz w:val="18"/>
                <w:szCs w:val="18"/>
                <w:b w:val="1"/>
                <w:bCs w:val="1"/>
                <w:color w:val="auto"/>
              </w:rPr>
              <w:t>Shareholders' Equity (Deficit)</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9"/>
        </w:trPr>
        <w:tc>
          <w:tcPr>
            <w:tcW w:w="82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29"/>
        </w:trPr>
        <w:tc>
          <w:tcPr>
            <w:tcW w:w="82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314,094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3,922,625</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33,000</w:t>
            </w:r>
          </w:p>
        </w:tc>
      </w:tr>
      <w:tr>
        <w:trPr>
          <w:trHeight w:val="223"/>
        </w:trPr>
        <w:tc>
          <w:tcPr>
            <w:tcW w:w="82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4,236,719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33,000</w:t>
            </w:r>
          </w:p>
        </w:tc>
      </w:tr>
      <w:tr>
        <w:trPr>
          <w:trHeight w:val="230"/>
        </w:trPr>
        <w:tc>
          <w:tcPr>
            <w:tcW w:w="8260" w:type="dxa"/>
            <w:vAlign w:val="bottom"/>
            <w:shd w:val="clear" w:color="auto" w:fill="CFF0FC"/>
          </w:tcPr>
          <w:p>
            <w:pPr>
              <w:spacing w:after="0"/>
              <w:rPr>
                <w:sz w:val="20"/>
                <w:szCs w:val="20"/>
                <w:color w:val="auto"/>
              </w:rPr>
            </w:pPr>
            <w:r>
              <w:rPr>
                <w:rFonts w:ascii="Arial" w:cs="Arial" w:eastAsia="Arial" w:hAnsi="Arial"/>
                <w:sz w:val="18"/>
                <w:szCs w:val="18"/>
                <w:color w:val="auto"/>
              </w:rPr>
              <w:t>Deferred underwriting commissions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12,075,000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 warrant liabilities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30,987,750</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47,299,469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33,000</w:t>
            </w:r>
          </w:p>
        </w:tc>
      </w:tr>
      <w:tr>
        <w:trPr>
          <w:trHeight w:val="229"/>
        </w:trPr>
        <w:tc>
          <w:tcPr>
            <w:tcW w:w="8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 (Note 5)</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30"/>
        </w:trPr>
        <w:tc>
          <w:tcPr>
            <w:tcW w:w="8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5"/>
        </w:trPr>
        <w:tc>
          <w:tcPr>
            <w:tcW w:w="8260" w:type="dxa"/>
            <w:vAlign w:val="bottom"/>
            <w:shd w:val="clear" w:color="auto" w:fill="CFF0FC"/>
          </w:tcPr>
          <w:p>
            <w:pPr>
              <w:spacing w:after="0"/>
              <w:rPr>
                <w:sz w:val="20"/>
                <w:szCs w:val="20"/>
                <w:color w:val="auto"/>
              </w:rPr>
            </w:pPr>
            <w:r>
              <w:rPr>
                <w:rFonts w:ascii="Arial" w:cs="Arial" w:eastAsia="Arial" w:hAnsi="Arial"/>
                <w:sz w:val="18"/>
                <w:szCs w:val="18"/>
                <w:color w:val="auto"/>
              </w:rPr>
              <w:t>Class A ordinary shares subject to possible redemption, $0.0001 par value;</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8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34,500,000 and -0- shares at $10.00 per share as of December 31, 2021 and</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345,000,000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2020, respectively</w:t>
            </w: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40" w:right="1520" w:hanging="134"/>
        <w:spacing w:after="0" w:line="258" w:lineRule="auto"/>
        <w:rPr>
          <w:sz w:val="20"/>
          <w:szCs w:val="20"/>
          <w:color w:val="auto"/>
        </w:rPr>
      </w:pPr>
      <w:r>
        <w:rPr>
          <w:rFonts w:ascii="Arial" w:cs="Arial" w:eastAsia="Arial" w:hAnsi="Arial"/>
          <w:sz w:val="18"/>
          <w:szCs w:val="18"/>
          <w:color w:val="auto"/>
        </w:rPr>
        <w:t>Preference shares, $0.0001 par value; 5,000,000 shares authorized; no shares issued or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825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ind w:left="140" w:right="1880" w:hanging="134"/>
        <w:spacing w:after="0" w:line="258" w:lineRule="auto"/>
        <w:rPr>
          <w:sz w:val="20"/>
          <w:szCs w:val="20"/>
          <w:color w:val="auto"/>
        </w:rPr>
      </w:pPr>
      <w:r>
        <w:rPr>
          <w:rFonts w:ascii="Arial" w:cs="Arial" w:eastAsia="Arial" w:hAnsi="Arial"/>
          <w:sz w:val="18"/>
          <w:szCs w:val="18"/>
          <w:color w:val="auto"/>
        </w:rPr>
        <w:t>Class A ordinary shares, $0.0001 par value; 500,000,000 shares authorized; no non-redeemable shares issued or outstanding</w:t>
      </w:r>
    </w:p>
    <w:p>
      <w:pPr>
        <w:ind w:left="140" w:right="2220" w:hanging="134"/>
        <w:spacing w:after="0" w:line="255" w:lineRule="auto"/>
        <w:rPr>
          <w:sz w:val="20"/>
          <w:szCs w:val="20"/>
          <w:color w:val="auto"/>
        </w:rPr>
      </w:pPr>
      <w:r>
        <w:rPr>
          <w:rFonts w:ascii="Arial" w:cs="Arial" w:eastAsia="Arial" w:hAnsi="Arial"/>
          <w:sz w:val="18"/>
          <w:szCs w:val="18"/>
          <w:color w:val="auto"/>
        </w:rPr>
        <w:t>Class B ordinary shares, $0.0001 par value; 50,000,000 shares authorized; 8,625,000 shares issued and outstanding as of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Additional paid-in capital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Shareholders' Equity (Deficit)</w:t>
      </w:r>
    </w:p>
    <w:p>
      <w:pPr>
        <w:spacing w:after="0" w:line="36" w:lineRule="exact"/>
        <w:rPr>
          <w:sz w:val="20"/>
          <w:szCs w:val="20"/>
          <w:color w:val="auto"/>
        </w:rPr>
      </w:pPr>
    </w:p>
    <w:p>
      <w:pPr>
        <w:ind w:left="140" w:right="1520" w:hanging="134"/>
        <w:spacing w:after="0" w:line="282" w:lineRule="auto"/>
        <w:rPr>
          <w:sz w:val="20"/>
          <w:szCs w:val="20"/>
          <w:color w:val="auto"/>
        </w:rPr>
      </w:pPr>
      <w:r>
        <w:rPr>
          <w:rFonts w:ascii="Arial" w:cs="Arial" w:eastAsia="Arial" w:hAnsi="Arial"/>
          <w:sz w:val="18"/>
          <w:szCs w:val="18"/>
          <w:b w:val="1"/>
          <w:bCs w:val="1"/>
          <w:color w:val="auto"/>
        </w:rPr>
        <w:t>Total Liabilities, Class A Ordinary Shares Subject to Possible Redemption and Shareholders' Equity (Deficit)</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ind w:left="1220"/>
        <w:spacing w:after="0"/>
        <w:tabs>
          <w:tab w:leader="none" w:pos="2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9" w:lineRule="exact"/>
        <w:rPr>
          <w:sz w:val="20"/>
          <w:szCs w:val="20"/>
          <w:color w:val="auto"/>
        </w:rPr>
      </w:pPr>
    </w:p>
    <w:p>
      <w:pPr>
        <w:ind w:left="1220"/>
        <w:spacing w:after="0"/>
        <w:tabs>
          <w:tab w:leader="none" w:pos="2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47" w:lineRule="exact"/>
        <w:rPr>
          <w:sz w:val="20"/>
          <w:szCs w:val="20"/>
          <w:color w:val="auto"/>
        </w:rPr>
      </w:pPr>
    </w:p>
    <w:p>
      <w:pPr>
        <w:ind w:left="1000"/>
        <w:spacing w:after="0"/>
        <w:tabs>
          <w:tab w:leader="none" w:pos="2540" w:val="left"/>
        </w:tabs>
        <w:rPr>
          <w:sz w:val="20"/>
          <w:szCs w:val="20"/>
          <w:color w:val="auto"/>
        </w:rPr>
      </w:pPr>
      <w:r>
        <w:rPr>
          <w:rFonts w:ascii="Arial" w:cs="Arial" w:eastAsia="Arial" w:hAnsi="Arial"/>
          <w:sz w:val="18"/>
          <w:szCs w:val="18"/>
          <w:color w:val="auto"/>
        </w:rPr>
        <w:t>863</w:t>
      </w:r>
      <w:r>
        <w:rPr>
          <w:sz w:val="20"/>
          <w:szCs w:val="20"/>
          <w:color w:val="auto"/>
        </w:rPr>
        <w:tab/>
      </w:r>
      <w:r>
        <w:rPr>
          <w:rFonts w:ascii="Arial" w:cs="Arial" w:eastAsia="Arial" w:hAnsi="Arial"/>
          <w:sz w:val="18"/>
          <w:szCs w:val="18"/>
          <w:color w:val="auto"/>
        </w:rPr>
        <w:t>863</w:t>
      </w:r>
    </w:p>
    <w:p>
      <w:pPr>
        <w:spacing w:after="0" w:line="239" w:lineRule="exact"/>
        <w:rPr>
          <w:sz w:val="20"/>
          <w:szCs w:val="20"/>
          <w:color w:val="auto"/>
        </w:rPr>
      </w:pPr>
    </w:p>
    <w:p>
      <w:pPr>
        <w:ind w:left="2340" w:hanging="1127"/>
        <w:spacing w:after="0"/>
        <w:tabs>
          <w:tab w:leader="none" w:pos="2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24,137</w:t>
      </w:r>
    </w:p>
    <w:p>
      <w:pPr>
        <w:spacing w:after="0" w:line="23"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(46,477,543)</w:t>
      </w:r>
      <w:r>
        <w:rPr>
          <w:rFonts w:ascii="Arial" w:cs="Arial" w:eastAsia="Arial" w:hAnsi="Arial"/>
          <w:sz w:val="16"/>
          <w:szCs w:val="16"/>
          <w:color w:val="auto"/>
        </w:rPr>
        <w:t>(14,691)</w:t>
      </w:r>
    </w:p>
    <w:p>
      <w:pPr>
        <w:spacing w:after="0" w:line="35"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(46,476,680)</w:t>
      </w:r>
      <w:r>
        <w:rPr>
          <w:rFonts w:ascii="Arial" w:cs="Arial" w:eastAsia="Arial" w:hAnsi="Arial"/>
          <w:sz w:val="15"/>
          <w:szCs w:val="15"/>
          <w:color w:val="auto"/>
        </w:rPr>
        <w:t>10,309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8859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20" w:lineRule="exact"/>
        <w:rPr>
          <w:sz w:val="20"/>
          <w:szCs w:val="20"/>
          <w:color w:val="auto"/>
        </w:rPr>
      </w:pPr>
    </w:p>
    <w:p>
      <w:pPr>
        <w:spacing w:after="0"/>
        <w:tabs>
          <w:tab w:leader="none" w:pos="360" w:val="left"/>
          <w:tab w:leader="none" w:pos="1520" w:val="left"/>
          <w:tab w:leader="none" w:pos="23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345,822,789</w:t>
        <w:tab/>
        <w:t>$</w:t>
      </w:r>
      <w:r>
        <w:rPr>
          <w:sz w:val="20"/>
          <w:szCs w:val="20"/>
          <w:color w:val="auto"/>
        </w:rPr>
        <w:tab/>
      </w:r>
      <w:r>
        <w:rPr>
          <w:rFonts w:ascii="Arial" w:cs="Arial" w:eastAsia="Arial" w:hAnsi="Arial"/>
          <w:sz w:val="15"/>
          <w:szCs w:val="15"/>
          <w:b w:val="1"/>
          <w:bCs w:val="1"/>
          <w:color w:val="auto"/>
        </w:rPr>
        <w:t>43,309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85725</wp:posOffset>
            </wp:positionV>
            <wp:extent cx="18859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85950" cy="26035"/>
                    </a:xfrm>
                    <a:prstGeom prst="rect">
                      <a:avLst/>
                    </a:prstGeom>
                    <a:noFill/>
                  </pic:spPr>
                </pic:pic>
              </a:graphicData>
            </a:graphic>
          </wp:anchor>
        </w:drawing>
      </w:r>
    </w:p>
    <w:p>
      <w:pPr>
        <w:spacing w:after="0" w:line="337" w:lineRule="exact"/>
        <w:rPr>
          <w:sz w:val="20"/>
          <w:szCs w:val="20"/>
          <w:color w:val="auto"/>
        </w:rPr>
      </w:pPr>
    </w:p>
    <w:p>
      <w:pPr>
        <w:sectPr>
          <w:pgSz w:w="11900" w:h="16838" w:orient="portrait"/>
          <w:cols w:equalWidth="0" w:num="2">
            <w:col w:w="7560" w:space="720"/>
            <w:col w:w="2960"/>
          </w:cols>
          <w:pgMar w:left="320" w:top="121" w:right="3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SUPERNOVA PARTNERS ACQUISITION COMPANY II, LTD.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237"/>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2"/>
              </w:rPr>
              <w:t>December 22,</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For the</w:t>
            </w:r>
          </w:p>
        </w:tc>
        <w:tc>
          <w:tcPr>
            <w:tcW w:w="180" w:type="dxa"/>
            <w:vAlign w:val="bottom"/>
          </w:tcPr>
          <w:p>
            <w:pPr>
              <w:spacing w:after="0"/>
              <w:rPr>
                <w:sz w:val="12"/>
                <w:szCs w:val="12"/>
                <w:color w:val="auto"/>
              </w:rPr>
            </w:pPr>
          </w:p>
        </w:tc>
        <w:tc>
          <w:tcPr>
            <w:tcW w:w="150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1"/>
              </w:rPr>
              <w:t>2020 (inception)</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2"/>
                <w:szCs w:val="12"/>
                <w:color w:val="auto"/>
              </w:rPr>
            </w:pPr>
          </w:p>
        </w:tc>
        <w:tc>
          <w:tcPr>
            <w:tcW w:w="150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December 31,2021</w:t>
            </w:r>
          </w:p>
        </w:tc>
        <w:tc>
          <w:tcPr>
            <w:tcW w:w="180" w:type="dxa"/>
            <w:vAlign w:val="bottom"/>
          </w:tcPr>
          <w:p>
            <w:pPr>
              <w:spacing w:after="0"/>
              <w:rPr>
                <w:sz w:val="14"/>
                <w:szCs w:val="14"/>
                <w:color w:val="auto"/>
              </w:rPr>
            </w:pPr>
          </w:p>
        </w:tc>
        <w:tc>
          <w:tcPr>
            <w:tcW w:w="1500" w:type="dxa"/>
            <w:vAlign w:val="bottom"/>
          </w:tcPr>
          <w:p>
            <w:pPr>
              <w:jc w:val="center"/>
              <w:ind w:right="21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4,904,921</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14,691</w:t>
            </w:r>
          </w:p>
        </w:tc>
        <w:tc>
          <w:tcPr>
            <w:tcW w:w="0" w:type="dxa"/>
            <w:vAlign w:val="bottom"/>
          </w:tcPr>
          <w:p>
            <w:pPr>
              <w:spacing w:after="0"/>
              <w:rPr>
                <w:sz w:val="1"/>
                <w:szCs w:val="1"/>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(4,904,921)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(14,691)</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Change in fair value of derivative warrant liabilities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(17,782,000)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Offering costs associated with derivative warrant liabilities</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(502,450)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from investments held in Trust Account</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19,271</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(23,170,100)</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(14,691)</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Weighted average number of Class A ordinary shares, basic and diluted</w:t>
            </w: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28,639,726</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 Class A</w:t>
            </w: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Weighted average number of Class B ordinary shares, basic</w:t>
            </w:r>
          </w:p>
        </w:tc>
        <w:tc>
          <w:tcPr>
            <w:tcW w:w="1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8,433,904</w:t>
            </w:r>
          </w:p>
        </w:tc>
        <w:tc>
          <w:tcPr>
            <w:tcW w:w="16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Weighted average number of Class B ordinary shares, diluted</w:t>
            </w: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8,625,000</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Basic net loss per share, Class B</w:t>
            </w: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Diluted net loss per share, Class B</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(0.62)</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SUPERNOVA PARTNERS ACQUISITION COMPANY II, LTD.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 (DEFICIT)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2021</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color w:val="auto"/>
        </w:rPr>
        <w:t xml:space="preserve">Balance - December 31, 2020 </w:t>
      </w:r>
      <w:r>
        <w:rPr>
          <w:rFonts w:ascii="Arial" w:cs="Arial" w:eastAsia="Arial" w:hAnsi="Arial"/>
          <w:sz w:val="16"/>
          <w:szCs w:val="16"/>
          <w:color w:val="auto"/>
        </w:rPr>
        <w:t>Sale of private placement warrants</w:t>
      </w:r>
    </w:p>
    <w:p>
      <w:pPr>
        <w:spacing w:after="0" w:line="1" w:lineRule="exact"/>
        <w:rPr>
          <w:sz w:val="20"/>
          <w:szCs w:val="20"/>
          <w:color w:val="auto"/>
        </w:rPr>
      </w:pPr>
    </w:p>
    <w:p>
      <w:pPr>
        <w:ind w:left="140" w:right="20"/>
        <w:spacing w:after="0" w:line="250" w:lineRule="auto"/>
        <w:rPr>
          <w:sz w:val="20"/>
          <w:szCs w:val="20"/>
          <w:color w:val="auto"/>
        </w:rPr>
      </w:pPr>
      <w:r>
        <w:rPr>
          <w:rFonts w:ascii="Arial" w:cs="Arial" w:eastAsia="Arial" w:hAnsi="Arial"/>
          <w:sz w:val="18"/>
          <w:szCs w:val="18"/>
          <w:color w:val="auto"/>
        </w:rPr>
        <w:t>to Sponsor in private placement, less allocation to derivative warrant liabilities</w:t>
      </w:r>
    </w:p>
    <w:p>
      <w:pPr>
        <w:spacing w:after="0" w:line="1" w:lineRule="exact"/>
        <w:rPr>
          <w:sz w:val="20"/>
          <w:szCs w:val="20"/>
          <w:color w:val="auto"/>
        </w:rPr>
      </w:pPr>
    </w:p>
    <w:p>
      <w:pPr>
        <w:jc w:val="right"/>
        <w:ind w:right="280"/>
        <w:spacing w:after="0" w:line="273" w:lineRule="auto"/>
        <w:rPr>
          <w:sz w:val="20"/>
          <w:szCs w:val="20"/>
          <w:color w:val="auto"/>
        </w:rPr>
      </w:pPr>
      <w:r>
        <w:rPr>
          <w:rFonts w:ascii="Arial" w:cs="Arial" w:eastAsia="Arial" w:hAnsi="Arial"/>
          <w:sz w:val="17"/>
          <w:szCs w:val="17"/>
          <w:color w:val="auto"/>
        </w:rPr>
        <w:t>Accretion of Class A ordinary shares to redemption amount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 December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1560" w:type="dxa"/>
        <w:tblCellMar>
          <w:top w:w="0" w:type="dxa"/>
          <w:left w:w="0" w:type="dxa"/>
          <w:bottom w:w="0" w:type="dxa"/>
          <w:right w:w="0" w:type="dxa"/>
        </w:tblCellMar>
      </w:tblPr>
      <w:tr>
        <w:trPr>
          <w:trHeight w:val="186"/>
        </w:trPr>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4"/>
          </w:tcPr>
          <w:p>
            <w:pPr>
              <w:ind w:left="100"/>
              <w:spacing w:after="0"/>
              <w:rPr>
                <w:sz w:val="20"/>
                <w:szCs w:val="20"/>
                <w:color w:val="auto"/>
              </w:rPr>
            </w:pPr>
            <w:r>
              <w:rPr>
                <w:rFonts w:ascii="Arial" w:cs="Arial" w:eastAsia="Arial" w:hAnsi="Arial"/>
                <w:sz w:val="14"/>
                <w:szCs w:val="14"/>
                <w:b w:val="1"/>
                <w:bCs w:val="1"/>
                <w:color w:val="auto"/>
              </w:rPr>
              <w:t>Ordinary Shares</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17"/>
              <w:spacing w:after="0"/>
              <w:rPr>
                <w:sz w:val="20"/>
                <w:szCs w:val="20"/>
                <w:color w:val="auto"/>
              </w:rPr>
            </w:pPr>
            <w:r>
              <w:rPr>
                <w:rFonts w:ascii="Arial" w:cs="Arial" w:eastAsia="Arial" w:hAnsi="Arial"/>
                <w:sz w:val="14"/>
                <w:szCs w:val="14"/>
                <w:b w:val="1"/>
                <w:bCs w:val="1"/>
                <w:color w:val="auto"/>
                <w:w w:val="99"/>
              </w:rPr>
              <w:t>Additional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15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6"/>
        </w:trPr>
        <w:tc>
          <w:tcPr>
            <w:tcW w:w="98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140" w:type="dxa"/>
            <w:vAlign w:val="bottom"/>
            <w:gridSpan w:val="2"/>
            <w:vMerge w:val="restart"/>
          </w:tcPr>
          <w:p>
            <w:pPr>
              <w:jc w:val="center"/>
              <w:ind w:right="33"/>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56"/>
        </w:trPr>
        <w:tc>
          <w:tcPr>
            <w:tcW w:w="980" w:type="dxa"/>
            <w:vAlign w:val="bottom"/>
            <w:tcBorders>
              <w:bottom w:val="single" w:sz="8" w:color="auto"/>
            </w:tcBorders>
            <w:gridSpan w:val="3"/>
          </w:tcPr>
          <w:p>
            <w:pPr>
              <w:jc w:val="right"/>
              <w:ind w:right="30"/>
              <w:spacing w:after="0" w:line="155" w:lineRule="exact"/>
              <w:rPr>
                <w:sz w:val="20"/>
                <w:szCs w:val="20"/>
                <w:color w:val="auto"/>
              </w:rPr>
            </w:pPr>
            <w:r>
              <w:rPr>
                <w:rFonts w:ascii="Arial" w:cs="Arial" w:eastAsia="Arial" w:hAnsi="Arial"/>
                <w:sz w:val="14"/>
                <w:szCs w:val="14"/>
                <w:b w:val="1"/>
                <w:bCs w:val="1"/>
                <w:color w:val="auto"/>
              </w:rPr>
              <w:t>Class A</w:t>
            </w: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Borders>
              <w:bottom w:val="single" w:sz="8" w:color="auto"/>
            </w:tcBorders>
            <w:gridSpan w:val="3"/>
          </w:tcPr>
          <w:p>
            <w:pPr>
              <w:jc w:val="right"/>
              <w:ind w:right="136"/>
              <w:spacing w:after="0" w:line="155" w:lineRule="exact"/>
              <w:rPr>
                <w:sz w:val="20"/>
                <w:szCs w:val="20"/>
                <w:color w:val="auto"/>
              </w:rPr>
            </w:pPr>
            <w:r>
              <w:rPr>
                <w:rFonts w:ascii="Arial" w:cs="Arial" w:eastAsia="Arial" w:hAnsi="Arial"/>
                <w:sz w:val="14"/>
                <w:szCs w:val="14"/>
                <w:b w:val="1"/>
                <w:bCs w:val="1"/>
                <w:color w:val="auto"/>
              </w:rPr>
              <w:t>Class B</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jc w:val="right"/>
              <w:ind w:right="75"/>
              <w:spacing w:after="0" w:line="155" w:lineRule="exact"/>
              <w:rPr>
                <w:sz w:val="20"/>
                <w:szCs w:val="20"/>
                <w:color w:val="auto"/>
              </w:rPr>
            </w:pPr>
            <w:r>
              <w:rPr>
                <w:rFonts w:ascii="Arial" w:cs="Arial" w:eastAsia="Arial" w:hAnsi="Arial"/>
                <w:sz w:val="14"/>
                <w:szCs w:val="14"/>
                <w:b w:val="1"/>
                <w:bCs w:val="1"/>
                <w:color w:val="auto"/>
                <w:w w:val="94"/>
              </w:rPr>
              <w:t>Shares</w:t>
            </w:r>
          </w:p>
        </w:tc>
        <w:tc>
          <w:tcPr>
            <w:tcW w:w="740" w:type="dxa"/>
            <w:vAlign w:val="bottom"/>
            <w:gridSpan w:val="3"/>
          </w:tcPr>
          <w:p>
            <w:pPr>
              <w:jc w:val="right"/>
              <w:ind w:right="33"/>
              <w:spacing w:after="0" w:line="155"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108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Shares</w:t>
            </w:r>
          </w:p>
        </w:tc>
        <w:tc>
          <w:tcPr>
            <w:tcW w:w="780" w:type="dxa"/>
            <w:vAlign w:val="bottom"/>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317"/>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3"/>
              </w:rPr>
              <w:t>Deficit</w:t>
            </w:r>
          </w:p>
        </w:tc>
        <w:tc>
          <w:tcPr>
            <w:tcW w:w="1140" w:type="dxa"/>
            <w:vAlign w:val="bottom"/>
            <w:gridSpan w:val="2"/>
          </w:tcPr>
          <w:p>
            <w:pPr>
              <w:jc w:val="center"/>
              <w:ind w:right="33"/>
              <w:spacing w:after="0" w:line="155" w:lineRule="exact"/>
              <w:rPr>
                <w:sz w:val="20"/>
                <w:szCs w:val="20"/>
                <w:color w:val="auto"/>
              </w:rPr>
            </w:pPr>
            <w:r>
              <w:rPr>
                <w:rFonts w:ascii="Arial" w:cs="Arial" w:eastAsia="Arial" w:hAnsi="Arial"/>
                <w:sz w:val="14"/>
                <w:szCs w:val="14"/>
                <w:b w:val="1"/>
                <w:bCs w:val="1"/>
                <w:color w:val="auto"/>
                <w:w w:val="95"/>
              </w:rPr>
              <w:t>Equity (Deficit)</w:t>
            </w:r>
          </w:p>
        </w:tc>
        <w:tc>
          <w:tcPr>
            <w:tcW w:w="0" w:type="dxa"/>
            <w:vAlign w:val="bottom"/>
          </w:tcPr>
          <w:p>
            <w:pPr>
              <w:spacing w:after="0"/>
              <w:rPr>
                <w:sz w:val="1"/>
                <w:szCs w:val="1"/>
                <w:color w:val="auto"/>
              </w:rPr>
            </w:pPr>
          </w:p>
        </w:tc>
      </w:tr>
      <w:tr>
        <w:trPr>
          <w:trHeight w:val="228"/>
        </w:trPr>
        <w:tc>
          <w:tcPr>
            <w:tcW w:w="6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8,625,000</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863</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24,137</w:t>
            </w:r>
          </w:p>
        </w:tc>
        <w:tc>
          <w:tcPr>
            <w:tcW w:w="1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(14,691)</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10,309</w:t>
            </w:r>
          </w:p>
        </w:tc>
        <w:tc>
          <w:tcPr>
            <w:tcW w:w="0" w:type="dxa"/>
            <w:vAlign w:val="bottom"/>
          </w:tcPr>
          <w:p>
            <w:pPr>
              <w:spacing w:after="0"/>
              <w:rPr>
                <w:sz w:val="1"/>
                <w:szCs w:val="1"/>
                <w:color w:val="auto"/>
              </w:rPr>
            </w:pPr>
          </w:p>
        </w:tc>
      </w:tr>
      <w:tr>
        <w:trPr>
          <w:trHeight w:val="549"/>
        </w:trPr>
        <w:tc>
          <w:tcPr>
            <w:tcW w:w="6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4,405,500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4,405,500</w:t>
            </w:r>
          </w:p>
        </w:tc>
        <w:tc>
          <w:tcPr>
            <w:tcW w:w="0" w:type="dxa"/>
            <w:vAlign w:val="bottom"/>
          </w:tcPr>
          <w:p>
            <w:pPr>
              <w:spacing w:after="0"/>
              <w:rPr>
                <w:sz w:val="1"/>
                <w:szCs w:val="1"/>
                <w:color w:val="auto"/>
              </w:rPr>
            </w:pPr>
          </w:p>
        </w:tc>
      </w:tr>
      <w:tr>
        <w:trPr>
          <w:trHeight w:val="662"/>
        </w:trPr>
        <w:tc>
          <w:tcPr>
            <w:tcW w:w="6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(4,429,637)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(23,292,752)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4"/>
              </w:rPr>
              <w:t>(27,722,389)</w:t>
            </w:r>
          </w:p>
        </w:tc>
        <w:tc>
          <w:tcPr>
            <w:tcW w:w="0" w:type="dxa"/>
            <w:vAlign w:val="bottom"/>
          </w:tcPr>
          <w:p>
            <w:pPr>
              <w:spacing w:after="0"/>
              <w:rPr>
                <w:sz w:val="1"/>
                <w:szCs w:val="1"/>
                <w:color w:val="auto"/>
              </w:rPr>
            </w:pPr>
          </w:p>
        </w:tc>
      </w:tr>
      <w:tr>
        <w:trPr>
          <w:trHeight w:val="338"/>
        </w:trPr>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(23,170,100)</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(23,170,100)</w:t>
            </w:r>
          </w:p>
        </w:tc>
        <w:tc>
          <w:tcPr>
            <w:tcW w:w="0" w:type="dxa"/>
            <w:vAlign w:val="bottom"/>
          </w:tcPr>
          <w:p>
            <w:pPr>
              <w:spacing w:after="0"/>
              <w:rPr>
                <w:sz w:val="1"/>
                <w:szCs w:val="1"/>
                <w:color w:val="auto"/>
              </w:rPr>
            </w:pPr>
          </w:p>
        </w:tc>
      </w:tr>
      <w:tr>
        <w:trPr>
          <w:trHeight w:val="223"/>
        </w:trPr>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8,625,000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863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(46,477,543)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(46,476,680)</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-1319530</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-607695</wp:posOffset>
            </wp:positionV>
            <wp:extent cx="7132320" cy="2832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-179070</wp:posOffset>
            </wp:positionV>
            <wp:extent cx="713232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from December 22, 2020 (inception) through December 31, 2020</w:t>
      </w:r>
    </w:p>
    <w:p>
      <w:pPr>
        <w:spacing w:after="0" w:line="200" w:lineRule="exact"/>
        <w:rPr>
          <w:sz w:val="20"/>
          <w:szCs w:val="20"/>
          <w:color w:val="auto"/>
        </w:rPr>
      </w:pPr>
    </w:p>
    <w:p>
      <w:pPr>
        <w:sectPr>
          <w:pgSz w:w="11900" w:h="16838" w:orient="portrait"/>
          <w:cols w:equalWidth="0" w:num="2">
            <w:col w:w="2500" w:space="80"/>
            <w:col w:w="8660"/>
          </w:cols>
          <w:pgMar w:left="320" w:top="351" w:right="339" w:bottom="1440" w:gutter="0" w:footer="0" w:header="0"/>
          <w:type w:val="continuous"/>
        </w:sect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5"/>
          </w:tcPr>
          <w:p>
            <w:pPr>
              <w:ind w:left="100"/>
              <w:spacing w:after="0"/>
              <w:rPr>
                <w:sz w:val="20"/>
                <w:szCs w:val="20"/>
                <w:color w:val="auto"/>
              </w:rPr>
            </w:pPr>
            <w:r>
              <w:rPr>
                <w:rFonts w:ascii="Arial" w:cs="Arial" w:eastAsia="Arial" w:hAnsi="Arial"/>
                <w:sz w:val="14"/>
                <w:szCs w:val="14"/>
                <w:b w:val="1"/>
                <w:bCs w:val="1"/>
                <w:color w:val="auto"/>
              </w:rPr>
              <w:t>Ordinary Shares</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18"/>
              <w:spacing w:after="0"/>
              <w:rPr>
                <w:sz w:val="20"/>
                <w:szCs w:val="20"/>
                <w:color w:val="auto"/>
              </w:rPr>
            </w:pPr>
            <w:r>
              <w:rPr>
                <w:rFonts w:ascii="Arial" w:cs="Arial" w:eastAsia="Arial" w:hAnsi="Arial"/>
                <w:sz w:val="14"/>
                <w:szCs w:val="14"/>
                <w:b w:val="1"/>
                <w:bCs w:val="1"/>
                <w:color w:val="auto"/>
                <w:w w:val="99"/>
              </w:rPr>
              <w:t>Additional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25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6"/>
        </w:trPr>
        <w:tc>
          <w:tcPr>
            <w:tcW w:w="4140" w:type="dxa"/>
            <w:vAlign w:val="bottom"/>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140" w:type="dxa"/>
            <w:vAlign w:val="bottom"/>
            <w:gridSpan w:val="2"/>
            <w:vMerge w:val="restart"/>
          </w:tcPr>
          <w:p>
            <w:pPr>
              <w:jc w:val="center"/>
              <w:ind w:right="34"/>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56"/>
        </w:trPr>
        <w:tc>
          <w:tcPr>
            <w:tcW w:w="4140" w:type="dxa"/>
            <w:vAlign w:val="bottom"/>
          </w:tcPr>
          <w:p>
            <w:pPr>
              <w:spacing w:after="0"/>
              <w:rPr>
                <w:sz w:val="13"/>
                <w:szCs w:val="13"/>
                <w:color w:val="auto"/>
              </w:rPr>
            </w:pPr>
          </w:p>
        </w:tc>
        <w:tc>
          <w:tcPr>
            <w:tcW w:w="980" w:type="dxa"/>
            <w:vAlign w:val="bottom"/>
            <w:tcBorders>
              <w:bottom w:val="single" w:sz="8" w:color="auto"/>
            </w:tcBorders>
            <w:gridSpan w:val="3"/>
          </w:tcPr>
          <w:p>
            <w:pPr>
              <w:jc w:val="right"/>
              <w:ind w:right="30"/>
              <w:spacing w:after="0" w:line="155" w:lineRule="exact"/>
              <w:rPr>
                <w:sz w:val="20"/>
                <w:szCs w:val="20"/>
                <w:color w:val="auto"/>
              </w:rPr>
            </w:pPr>
            <w:r>
              <w:rPr>
                <w:rFonts w:ascii="Arial" w:cs="Arial" w:eastAsia="Arial" w:hAnsi="Arial"/>
                <w:sz w:val="14"/>
                <w:szCs w:val="14"/>
                <w:b w:val="1"/>
                <w:bCs w:val="1"/>
                <w:color w:val="auto"/>
              </w:rPr>
              <w:t>Class A</w:t>
            </w: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136"/>
              <w:spacing w:after="0" w:line="155" w:lineRule="exact"/>
              <w:rPr>
                <w:sz w:val="20"/>
                <w:szCs w:val="20"/>
                <w:color w:val="auto"/>
              </w:rPr>
            </w:pPr>
            <w:r>
              <w:rPr>
                <w:rFonts w:ascii="Arial" w:cs="Arial" w:eastAsia="Arial" w:hAnsi="Arial"/>
                <w:sz w:val="14"/>
                <w:szCs w:val="14"/>
                <w:b w:val="1"/>
                <w:bCs w:val="1"/>
                <w:color w:val="auto"/>
              </w:rPr>
              <w:t>Class B</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4140" w:type="dxa"/>
            <w:vAlign w:val="bottom"/>
          </w:tcPr>
          <w:p>
            <w:pPr>
              <w:spacing w:after="0"/>
              <w:rPr>
                <w:sz w:val="17"/>
                <w:szCs w:val="17"/>
                <w:color w:val="auto"/>
              </w:rPr>
            </w:pPr>
          </w:p>
        </w:tc>
        <w:tc>
          <w:tcPr>
            <w:tcW w:w="620" w:type="dxa"/>
            <w:vAlign w:val="bottom"/>
          </w:tcPr>
          <w:p>
            <w:pPr>
              <w:jc w:val="right"/>
              <w:ind w:right="76"/>
              <w:spacing w:after="0"/>
              <w:rPr>
                <w:sz w:val="20"/>
                <w:szCs w:val="20"/>
                <w:color w:val="auto"/>
              </w:rPr>
            </w:pPr>
            <w:r>
              <w:rPr>
                <w:rFonts w:ascii="Arial" w:cs="Arial" w:eastAsia="Arial" w:hAnsi="Arial"/>
                <w:sz w:val="14"/>
                <w:szCs w:val="14"/>
                <w:b w:val="1"/>
                <w:bCs w:val="1"/>
                <w:color w:val="auto"/>
                <w:w w:val="94"/>
              </w:rPr>
              <w:t>Shares</w:t>
            </w:r>
          </w:p>
        </w:tc>
        <w:tc>
          <w:tcPr>
            <w:tcW w:w="8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000" w:type="dxa"/>
            <w:vAlign w:val="bottom"/>
          </w:tcPr>
          <w:p>
            <w:pPr>
              <w:jc w:val="right"/>
              <w:ind w:right="318"/>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Deficit</w:t>
            </w:r>
          </w:p>
        </w:tc>
        <w:tc>
          <w:tcPr>
            <w:tcW w:w="1140" w:type="dxa"/>
            <w:vAlign w:val="bottom"/>
            <w:gridSpan w:val="2"/>
          </w:tcPr>
          <w:p>
            <w:pPr>
              <w:jc w:val="center"/>
              <w:ind w:right="34"/>
              <w:spacing w:after="0"/>
              <w:rPr>
                <w:sz w:val="20"/>
                <w:szCs w:val="20"/>
                <w:color w:val="auto"/>
              </w:rPr>
            </w:pPr>
            <w:r>
              <w:rPr>
                <w:rFonts w:ascii="Arial" w:cs="Arial" w:eastAsia="Arial" w:hAnsi="Arial"/>
                <w:sz w:val="14"/>
                <w:szCs w:val="14"/>
                <w:b w:val="1"/>
                <w:bCs w:val="1"/>
                <w:color w:val="auto"/>
                <w:w w:val="95"/>
              </w:rPr>
              <w:t>Equity (Deficit)</w:t>
            </w:r>
          </w:p>
        </w:tc>
        <w:tc>
          <w:tcPr>
            <w:tcW w:w="0" w:type="dxa"/>
            <w:vAlign w:val="bottom"/>
          </w:tcPr>
          <w:p>
            <w:pPr>
              <w:spacing w:after="0"/>
              <w:rPr>
                <w:sz w:val="1"/>
                <w:szCs w:val="1"/>
                <w:color w:val="auto"/>
              </w:rPr>
            </w:pPr>
          </w:p>
        </w:tc>
      </w:tr>
      <w:tr>
        <w:trPr>
          <w:trHeight w:val="26"/>
        </w:trPr>
        <w:tc>
          <w:tcPr>
            <w:tcW w:w="4140" w:type="dxa"/>
            <w:vAlign w:val="bottom"/>
            <w:tcBorders>
              <w:bottom w:val="single" w:sz="8" w:color="CFF0F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4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Balance - December 22, 2020</w:t>
            </w:r>
          </w:p>
        </w:tc>
        <w:tc>
          <w:tcPr>
            <w:tcW w:w="620" w:type="dxa"/>
            <w:vAlign w:val="bottom"/>
            <w:vMerge w:val="restart"/>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vMerge w:val="restart"/>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380" w:type="dxa"/>
            <w:vAlign w:val="bottom"/>
            <w:vMerge w:val="restart"/>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vMerge w:val="restart"/>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240" w:type="dxa"/>
            <w:vAlign w:val="bottom"/>
            <w:vMerge w:val="restart"/>
            <w:shd w:val="clear" w:color="auto" w:fill="CFF0FC"/>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5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vMerge w:val="restart"/>
            <w:shd w:val="clear" w:color="auto" w:fill="CFF0FC"/>
          </w:tcPr>
          <w:p>
            <w:pPr>
              <w:jc w:val="right"/>
              <w:ind w:right="38"/>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220" w:type="dxa"/>
            <w:vAlign w:val="bottom"/>
            <w:vMerge w:val="restart"/>
            <w:shd w:val="clear" w:color="auto" w:fill="CFF0FC"/>
          </w:tcPr>
          <w:p>
            <w:pPr>
              <w:jc w:val="right"/>
              <w:ind w:right="39"/>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6"/>
        </w:trPr>
        <w:tc>
          <w:tcPr>
            <w:tcW w:w="4140" w:type="dxa"/>
            <w:vAlign w:val="bottom"/>
            <w:vMerge w:val="restart"/>
            <w:shd w:val="clear" w:color="auto" w:fill="CFF0FC"/>
          </w:tcPr>
          <w:p>
            <w:pPr>
              <w:ind w:left="140"/>
              <w:spacing w:after="0"/>
              <w:rPr>
                <w:sz w:val="20"/>
                <w:szCs w:val="20"/>
                <w:color w:val="auto"/>
              </w:rPr>
            </w:pPr>
            <w:r>
              <w:rPr>
                <w:rFonts w:ascii="Arial" w:cs="Arial" w:eastAsia="Arial" w:hAnsi="Arial"/>
                <w:sz w:val="18"/>
                <w:szCs w:val="18"/>
                <w:b w:val="1"/>
                <w:bCs w:val="1"/>
                <w:color w:val="auto"/>
              </w:rPr>
              <w:t>(inception)</w:t>
            </w:r>
          </w:p>
        </w:tc>
        <w:tc>
          <w:tcPr>
            <w:tcW w:w="620" w:type="dxa"/>
            <w:vAlign w:val="bottom"/>
            <w:vMerge w:val="continue"/>
            <w:shd w:val="clear" w:color="auto" w:fill="CFF0FC"/>
          </w:tcPr>
          <w:p>
            <w:pPr>
              <w:spacing w:after="0"/>
              <w:rPr>
                <w:sz w:val="10"/>
                <w:szCs w:val="10"/>
                <w:color w:val="auto"/>
              </w:rPr>
            </w:pPr>
          </w:p>
        </w:tc>
        <w:tc>
          <w:tcPr>
            <w:tcW w:w="360" w:type="dxa"/>
            <w:vAlign w:val="bottom"/>
            <w:gridSpan w:val="2"/>
            <w:vMerge w:val="continue"/>
            <w:shd w:val="clear" w:color="auto" w:fill="CFF0FC"/>
          </w:tcPr>
          <w:p>
            <w:pPr>
              <w:spacing w:after="0"/>
              <w:rPr>
                <w:sz w:val="10"/>
                <w:szCs w:val="10"/>
                <w:color w:val="auto"/>
              </w:rPr>
            </w:pPr>
          </w:p>
        </w:tc>
        <w:tc>
          <w:tcPr>
            <w:tcW w:w="38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86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vMerge w:val="continue"/>
            <w:shd w:val="clear" w:color="auto" w:fill="CFF0FC"/>
          </w:tcPr>
          <w:p>
            <w:pPr>
              <w:spacing w:after="0"/>
              <w:rPr>
                <w:sz w:val="10"/>
                <w:szCs w:val="10"/>
                <w:color w:val="auto"/>
              </w:rPr>
            </w:pPr>
          </w:p>
        </w:tc>
        <w:tc>
          <w:tcPr>
            <w:tcW w:w="54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vMerge w:val="continue"/>
            <w:shd w:val="clear" w:color="auto" w:fill="CFF0FC"/>
          </w:tcPr>
          <w:p>
            <w:pPr>
              <w:spacing w:after="0"/>
              <w:rPr>
                <w:sz w:val="10"/>
                <w:szCs w:val="10"/>
                <w:color w:val="auto"/>
              </w:rPr>
            </w:pPr>
          </w:p>
        </w:tc>
        <w:tc>
          <w:tcPr>
            <w:tcW w:w="1000" w:type="dxa"/>
            <w:vAlign w:val="bottom"/>
            <w:vMerge w:val="continue"/>
            <w:shd w:val="clear" w:color="auto" w:fill="CFF0FC"/>
          </w:tcPr>
          <w:p>
            <w:pPr>
              <w:spacing w:after="0"/>
              <w:rPr>
                <w:sz w:val="10"/>
                <w:szCs w:val="10"/>
                <w:color w:val="auto"/>
              </w:rPr>
            </w:pPr>
          </w:p>
        </w:tc>
        <w:tc>
          <w:tcPr>
            <w:tcW w:w="220" w:type="dxa"/>
            <w:vAlign w:val="bottom"/>
            <w:gridSpan w:val="2"/>
            <w:vMerge w:val="continue"/>
            <w:shd w:val="clear" w:color="auto" w:fill="CFF0FC"/>
          </w:tcPr>
          <w:p>
            <w:pPr>
              <w:spacing w:after="0"/>
              <w:rPr>
                <w:sz w:val="10"/>
                <w:szCs w:val="10"/>
                <w:color w:val="auto"/>
              </w:rPr>
            </w:pPr>
          </w:p>
        </w:tc>
        <w:tc>
          <w:tcPr>
            <w:tcW w:w="104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vMerge w:val="continue"/>
            <w:shd w:val="clear" w:color="auto" w:fill="CFF0FC"/>
          </w:tcPr>
          <w:p>
            <w:pPr>
              <w:spacing w:after="0"/>
              <w:rPr>
                <w:sz w:val="10"/>
                <w:szCs w:val="10"/>
                <w:color w:val="auto"/>
              </w:rPr>
            </w:pPr>
          </w:p>
        </w:tc>
        <w:tc>
          <w:tcPr>
            <w:tcW w:w="92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40" w:type="dxa"/>
            <w:vAlign w:val="bottom"/>
            <w:vMerge w:val="continue"/>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140" w:type="dxa"/>
            <w:vAlign w:val="bottom"/>
          </w:tcPr>
          <w:p>
            <w:pPr>
              <w:spacing w:after="0"/>
              <w:rPr>
                <w:sz w:val="20"/>
                <w:szCs w:val="20"/>
                <w:color w:val="auto"/>
              </w:rPr>
            </w:pPr>
            <w:r>
              <w:rPr>
                <w:rFonts w:ascii="Arial" w:cs="Arial" w:eastAsia="Arial" w:hAnsi="Arial"/>
                <w:sz w:val="18"/>
                <w:szCs w:val="18"/>
                <w:color w:val="auto"/>
              </w:rPr>
              <w:t>Issuance of Class B ordinary shares to</w:t>
            </w:r>
          </w:p>
        </w:tc>
        <w:tc>
          <w:tcPr>
            <w:tcW w:w="620" w:type="dxa"/>
            <w:vAlign w:val="bottom"/>
            <w:vMerge w:val="restart"/>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vMerge w:val="restart"/>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restart"/>
          </w:tcPr>
          <w:p>
            <w:pPr>
              <w:jc w:val="right"/>
              <w:ind w:right="36"/>
              <w:spacing w:after="0"/>
              <w:rPr>
                <w:sz w:val="20"/>
                <w:szCs w:val="20"/>
                <w:color w:val="auto"/>
              </w:rPr>
            </w:pPr>
            <w:r>
              <w:rPr>
                <w:rFonts w:ascii="Arial" w:cs="Arial" w:eastAsia="Arial" w:hAnsi="Arial"/>
                <w:sz w:val="18"/>
                <w:szCs w:val="18"/>
                <w:color w:val="auto"/>
                <w:w w:val="89"/>
              </w:rPr>
              <w:t>8,625,000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restart"/>
          </w:tcPr>
          <w:p>
            <w:pPr>
              <w:jc w:val="right"/>
              <w:ind w:right="38"/>
              <w:spacing w:after="0"/>
              <w:rPr>
                <w:sz w:val="20"/>
                <w:szCs w:val="20"/>
                <w:color w:val="auto"/>
              </w:rPr>
            </w:pPr>
            <w:r>
              <w:rPr>
                <w:rFonts w:ascii="Arial" w:cs="Arial" w:eastAsia="Arial" w:hAnsi="Arial"/>
                <w:sz w:val="18"/>
                <w:szCs w:val="18"/>
                <w:color w:val="auto"/>
              </w:rPr>
              <w:t>24,137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vMerge w:val="restart"/>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122"/>
        </w:trPr>
        <w:tc>
          <w:tcPr>
            <w:tcW w:w="4140" w:type="dxa"/>
            <w:vAlign w:val="bottom"/>
            <w:vMerge w:val="restart"/>
          </w:tcPr>
          <w:p>
            <w:pPr>
              <w:ind w:left="140"/>
              <w:spacing w:after="0"/>
              <w:rPr>
                <w:sz w:val="20"/>
                <w:szCs w:val="20"/>
                <w:color w:val="auto"/>
              </w:rPr>
            </w:pPr>
            <w:r>
              <w:rPr>
                <w:rFonts w:ascii="Arial" w:cs="Arial" w:eastAsia="Arial" w:hAnsi="Arial"/>
                <w:sz w:val="18"/>
                <w:szCs w:val="18"/>
                <w:color w:val="auto"/>
              </w:rPr>
              <w:t>Sponsor (1)(2)</w:t>
            </w:r>
          </w:p>
        </w:tc>
        <w:tc>
          <w:tcPr>
            <w:tcW w:w="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6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(14,691)</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(14,691)</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b w:val="1"/>
                <w:bCs w:val="1"/>
                <w:color w:val="auto"/>
              </w:rPr>
              <w:t>Balance - December 31, 2020</w:t>
            </w:r>
          </w:p>
        </w:tc>
        <w:tc>
          <w:tcPr>
            <w:tcW w:w="6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89"/>
              </w:rPr>
              <w:t>8,625,000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863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24,137</w:t>
            </w: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(14,691)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10,309</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SUPERNOVA PARTNERS ACQUISITION COMPANY II, LTD.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234"/>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2"/>
              </w:rPr>
              <w:t>For the</w:t>
            </w:r>
          </w:p>
        </w:tc>
        <w:tc>
          <w:tcPr>
            <w:tcW w:w="180" w:type="dxa"/>
            <w:vAlign w:val="bottom"/>
          </w:tcPr>
          <w:p>
            <w:pPr>
              <w:spacing w:after="0"/>
              <w:rPr>
                <w:sz w:val="12"/>
                <w:szCs w:val="12"/>
                <w:color w:val="auto"/>
              </w:rPr>
            </w:pPr>
          </w:p>
        </w:tc>
        <w:tc>
          <w:tcPr>
            <w:tcW w:w="1500" w:type="dxa"/>
            <w:vAlign w:val="bottom"/>
          </w:tcPr>
          <w:p>
            <w:pPr>
              <w:jc w:val="center"/>
              <w:ind w:right="214"/>
              <w:spacing w:after="0" w:line="149" w:lineRule="exact"/>
              <w:rPr>
                <w:sz w:val="20"/>
                <w:szCs w:val="20"/>
                <w:color w:val="auto"/>
              </w:rPr>
            </w:pPr>
            <w:r>
              <w:rPr>
                <w:rFonts w:ascii="Arial" w:cs="Arial" w:eastAsia="Arial" w:hAnsi="Arial"/>
                <w:sz w:val="14"/>
                <w:szCs w:val="14"/>
                <w:b w:val="1"/>
                <w:bCs w:val="1"/>
                <w:color w:val="auto"/>
                <w:w w:val="92"/>
              </w:rPr>
              <w:t>December 22,</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w w:val="91"/>
              </w:rPr>
              <w:t>2020 (inception)</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2"/>
                <w:szCs w:val="12"/>
                <w:color w:val="auto"/>
              </w:rPr>
            </w:pPr>
          </w:p>
        </w:tc>
        <w:tc>
          <w:tcPr>
            <w:tcW w:w="150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500" w:type="dxa"/>
            <w:vAlign w:val="bottom"/>
          </w:tcPr>
          <w:p>
            <w:pPr>
              <w:jc w:val="center"/>
              <w:ind w:right="214"/>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(23,170,100)</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(14,691)</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Change in fair value of derivative warrant liabilities</w:t>
            </w:r>
          </w:p>
        </w:tc>
        <w:tc>
          <w:tcPr>
            <w:tcW w:w="240" w:type="dxa"/>
            <w:vAlign w:val="bottom"/>
          </w:tcPr>
          <w:p>
            <w:pPr>
              <w:spacing w:after="0"/>
              <w:rPr>
                <w:sz w:val="19"/>
                <w:szCs w:val="19"/>
                <w:color w:val="auto"/>
              </w:rPr>
            </w:pP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17,782,000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Offering costs associated with derivative liabilities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502,450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Income from investments held in Trust Account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(19,271)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(260,773)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4"/>
              <w:spacing w:after="0"/>
              <w:rPr>
                <w:sz w:val="20"/>
                <w:szCs w:val="20"/>
                <w:color w:val="auto"/>
              </w:rPr>
            </w:pPr>
            <w:r>
              <w:rPr>
                <w:rFonts w:ascii="Arial" w:cs="Arial" w:eastAsia="Arial" w:hAnsi="Arial"/>
                <w:sz w:val="18"/>
                <w:szCs w:val="18"/>
                <w:color w:val="auto"/>
              </w:rPr>
              <w:t>14,691</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314,094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3,889,625</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Net cash used in operating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(961,975)</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deposited in Trust Account</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(345,000,000)</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(345,000,000)</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Proceeds from note payable to related party</w:t>
            </w:r>
          </w:p>
        </w:tc>
        <w:tc>
          <w:tcPr>
            <w:tcW w:w="240" w:type="dxa"/>
            <w:vAlign w:val="bottom"/>
          </w:tcPr>
          <w:p>
            <w:pPr>
              <w:spacing w:after="0"/>
              <w:rPr>
                <w:sz w:val="19"/>
                <w:szCs w:val="19"/>
                <w:color w:val="auto"/>
              </w:rPr>
            </w:pP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275,000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Repayment of note payable to related party</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(275,000)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Proceeds received from initial public offering, gross</w:t>
            </w:r>
          </w:p>
        </w:tc>
        <w:tc>
          <w:tcPr>
            <w:tcW w:w="240" w:type="dxa"/>
            <w:vAlign w:val="bottom"/>
          </w:tcPr>
          <w:p>
            <w:pPr>
              <w:spacing w:after="0"/>
              <w:rPr>
                <w:sz w:val="19"/>
                <w:szCs w:val="19"/>
                <w:color w:val="auto"/>
              </w:rPr>
            </w:pP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345,000,000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received from private placement</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8,900,000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Offering costs paid</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(7,405,589)</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346,494,411</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change in cash</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532,436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 beginning of the period</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 end of the period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532,436</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Offering costs included in accrued expenses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Prepaid expenses paid by Sponsor in exchange for issuance of Class B</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ordinary shares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54"/>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underwriting commissions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12,075,000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Accretion of Class A ordinary shares to redemption amount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27,722,389</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SUPERNOVA PARTNERS ACQUISITION COMPANY II,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NOTES TO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General</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Supernova Partners Acquisition Company II, Ltd. (“Supernova” or the “Company”) was incorporated as a Cayman Islands exempted company on December 22, 2020. The Company was formed for the purpose of effecting a merger, share exchange, asset acquisition, share purchase, reorganization or similar business combination with one or more businesses (the “Business Combination”). The Company is an emerging growth company and, as such, the Company is subject to all of the risks associated with emerging growth companies. . On October 4, 2021 Supernova Merger Sub, Inc., a Delaware corporation and a direct wholly owned subsidiary of ours (“First Merger Sub”), and Romeo Supernova Merger Sub, LLC, a Delaware limited liability company and a direct wholly owned subsidiary of ours (“Second Merger Sub”) were incorporated (collectively referred to as the “subsidiaries”), These subsidiaries were incorporated for the purpose of consummating a Business Combination.</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2021 the Company had not commenced any operations. All activity for the period from December 22, 2020 (inception) through December 31, 2021 relates to the Company’s formation and the initial public offering (the “Initial Public Offering”) described below, and since the Initial Public Offering, the search for a prospective initial Business Combination. The Company will not generate any operating revenues until after the completion of its initial Business Combination, at the earliest. The Company generates non-operating income in the form of interest income on cash and cash equivalents from the proceeds derived from the Initial Public Offering.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and Financing</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sponsor is Supernova Partners II LLC, a Cayman Islands exempted company (the “Sponsor”). The registration statement for the Company’s Initial Public Offering was declared effective on March 1, 2021. On March 4, 2021, the Company consummated its Initial Public Offering of 34,500,000 units (the “Units” and, with respect to the Class A ordinary shares included in the Units being offered, the “Public Shares”), which included 4,500,000 additional Units to cover over-allotments (the “Over-Allotment Units”), at $10.00 per Unit, generating gross proceeds of $345.0 million, and incurring offering costs of approximately $19.5 million, of which approximately $12.1 million was for deferred underwriting commissions (Note 5).</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4,450,000 warrants (each, a “Private Placement Warrant” and collectively, the “Private Placement Warrants”), at a price of $2.00 per Private Placement Warrant with the Sponsor, generating gross proceeds of $8.9 million (Note 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Account</w:t>
      </w:r>
    </w:p>
    <w:p>
      <w:pPr>
        <w:spacing w:after="0" w:line="18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Upon the closing of the Initial Public Offering and the Private Placement, $345.0 million ($10.00 per Unit) of the net proceeds of the Initial Public Offering and certain of the proceeds of the Private Placement were placed in a trust account (“Trust Account”), located in the United States at J.P. Morgan Chase Bank, N.A., with American Stock Transfer &amp; Trust Company acting as trustee, and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the conditions of paragraphs (d)(2), (d)</w:t>
      </w:r>
    </w:p>
    <w:p>
      <w:pPr>
        <w:spacing w:after="0" w:line="2" w:lineRule="exact"/>
        <w:rPr>
          <w:sz w:val="20"/>
          <w:szCs w:val="20"/>
          <w:color w:val="auto"/>
        </w:rPr>
      </w:pPr>
    </w:p>
    <w:p>
      <w:pPr>
        <w:ind w:firstLine="8"/>
        <w:spacing w:after="0" w:line="260" w:lineRule="auto"/>
        <w:tabs>
          <w:tab w:leader="none" w:pos="2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and (d)(4) of Rule 2a-7 of the Investment Company Act, as determined by the Company, until the earlier of: (i) the completion of a Business Combination and (ii) the distribution of the Trust Account as described below.</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Business Combination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2" w:name="page53"/>
    <w:bookmarkEnd w:id="52"/>
    <w:p>
      <w:pPr>
        <w:jc w:val="both"/>
        <w:spacing w:after="0" w:line="257" w:lineRule="auto"/>
        <w:rPr>
          <w:sz w:val="20"/>
          <w:szCs w:val="20"/>
          <w:color w:val="auto"/>
        </w:rPr>
      </w:pPr>
      <w:r>
        <w:rPr>
          <w:rFonts w:ascii="Arial" w:cs="Arial" w:eastAsia="Arial" w:hAnsi="Arial"/>
          <w:sz w:val="18"/>
          <w:szCs w:val="18"/>
          <w:color w:val="auto"/>
        </w:rPr>
        <w:t>initial Business Combinations having an aggregate fair market value of at least 80% of the assets held in the Trust Account (excluding the amount of any deferred underwriting discount held in trust)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4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will provide its holders of its Public Shares (the “Public Shareholders”), with the opportunity to redeem all or a portion of their Public Shares upon the completion of a Business Combination either (i) in connection with a general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The per-share amount to be distributed to Public Shareholders who redeem their Public Shares will not be reduced by the deferred underwriting commissions the Company will pay to the underwriters (as discussed in Note 5). These Public Shares will be classified as temporary equity upon the completion of the Initial Public Offering in accordance with the Financial Accounting Standards Board’s (“FASB”) Accounting Standards Codification (“ASC”) Topic 480 “Distinguishing Liabilities from Equity” (“ASC 480”).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its amended and restated memorandum and articles of association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initial shareholders (as defined below) agreed to vote their Founder Shares (as defined below in Note 4) and any Public Shares purchased during or after the Initial Public Offering in favor of a Business Combination. In addition, the initial shareholders agreed to waive their redemption rights with respect to their Founder Shares and Public Shares in connection with the completion of a Business Combination.</w:t>
      </w:r>
    </w:p>
    <w:p>
      <w:pPr>
        <w:spacing w:after="0" w:line="3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Notwithstanding the foregoing, the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Sponsor, officers and directors (the “initial shareholders”) agreed not to propose an amendment to the Amended and Restated Memorandum and Articles of Association that would modify the substance or timing of the Company’s obligation to redeem 100% of its Public Shares if the Company does not complete a Business Combination, unless the Company provides the Public Shareholders with the opportunity to redeem their Class A ordinary shares in conjunction with any such amendment.</w:t>
      </w:r>
    </w:p>
    <w:p>
      <w:pPr>
        <w:spacing w:after="0" w:line="1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the Company is unable to complete a Business Combination within 24 months from the closing of the Initial Public Offering, or March 4, 2023,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jc w:val="both"/>
        <w:spacing w:after="0" w:line="263" w:lineRule="auto"/>
        <w:rPr>
          <w:sz w:val="20"/>
          <w:szCs w:val="20"/>
          <w:color w:val="auto"/>
        </w:rPr>
      </w:pPr>
      <w:r>
        <w:rPr>
          <w:rFonts w:ascii="Arial" w:cs="Arial" w:eastAsia="Arial" w:hAnsi="Arial"/>
          <w:sz w:val="18"/>
          <w:szCs w:val="18"/>
          <w:color w:val="auto"/>
        </w:rPr>
        <w:t>Company’s obligations under Cayman Islands law to provide for claims of creditors and in all cases subject to the other requirements of applicable law. There will be no redemption rights or liquidating distributions with respect to the warrants, which will expire worthless if the Company fails to complete its initial Business Combination within the Completion Window.</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Sponsor agreed to waive their liquidation rights with respect to the Founder Shares if the Company fails to complete a Business Combination within the Completion Window. However, if the Sponsor or members of the Company’s management team acquire Public Shares in or after the Initial Public Offering, they will be entitled to liquidating distributions from the Trust Account with respect to such Public Shares if the Company fails to complete a Business Combination within the Completion Window. The underwriters agreed to waive their rights to their deferred underwriting commission (see Note</w:t>
      </w:r>
    </w:p>
    <w:p>
      <w:pPr>
        <w:spacing w:after="0" w:line="1" w:lineRule="exact"/>
        <w:rPr>
          <w:sz w:val="20"/>
          <w:szCs w:val="20"/>
          <w:color w:val="auto"/>
        </w:rPr>
      </w:pPr>
    </w:p>
    <w:p>
      <w:pPr>
        <w:jc w:val="both"/>
        <w:ind w:firstLine="8"/>
        <w:spacing w:after="0" w:line="285" w:lineRule="auto"/>
        <w:tabs>
          <w:tab w:leader="none" w:pos="206" w:val="left"/>
        </w:tabs>
        <w:numPr>
          <w:ilvl w:val="0"/>
          <w:numId w:val="30"/>
        </w:numPr>
        <w:rPr>
          <w:rFonts w:ascii="Arial" w:cs="Arial" w:eastAsia="Arial" w:hAnsi="Arial"/>
          <w:sz w:val="16"/>
          <w:szCs w:val="16"/>
          <w:color w:val="auto"/>
        </w:rPr>
      </w:pPr>
      <w:r>
        <w:rPr>
          <w:rFonts w:ascii="Arial" w:cs="Arial" w:eastAsia="Arial" w:hAnsi="Arial"/>
          <w:sz w:val="16"/>
          <w:szCs w:val="16"/>
          <w:color w:val="auto"/>
        </w:rPr>
        <w:t>held in the Trust Account in the event the Company does not complete a Business Combination within in the Completion Window,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agreed to be liable to the Company if and to the extent any claims by a vendor for services rendered or products sold to the Company, or a prospective target business with which the Company has discussed entering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the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Business Combination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6, 2021, the Company, entered into an Agreement and Plan of Merger (the “Merger Agreement”) by and among Supernova, Supernova Merger Sub, Inc., a Delaware corporation and direct, wholly owned subsidiary of Supernova (“First Merger Sub”), Supernova Romeo Merger Sub, LLC, a Delaware limited liability company and direct, wholly owned subsidiary of Supernova (“Second Merger Sub”), and Rigetti Holdings, Inc., a Delaware corporation (“Rigetti”).</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Merger Agreement, Supernova will become a Delaware corporation (the “Domestication”) and the parties will enter into a business combination transaction by which (i) First Merger Sub will merge with and into Rigetti, with Rigetti being the surviving entity in the merger (the “First Merger”), and (ii) immediately following the First Merger, Rigetti will merge with and into Second Merger Sub, with Second Merger Sub being the surviving entity in the merger (the “Second Merger” and, together with the First Merger, the “Mergers” and, together with the other transactions contemplated by the Merger Agreement, the “Transactions” and the closing of the Transactions, the “Closing”). In connection with the Closing, Supernova will change its name to “Rigetti Computing, Inc.”</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value of the aggregate equity consideration to be paid to Rigetti’s stockholders and optionholders in the Transactions will be equal to (i) $1,041,000,000 plus (ii) the aggregate exercise price of in the money Rigetti Warrants (as defined below) and Rigetti Options (as defined below), in each case, outstanding prior to the effective time of the First Merger (the “Aggregate Equity Value”). At the Closing, each share of common stock and preferred stock of Rigetti that is issued and outstanding immediately prior to the effective time of the First Merger (other than “Excluded Shares”, as defined in the Merger Agreement) will be cancelled and converted into the right to receive a number of shares of Supernova common stock equal to an exchange ratio determined by dividing (a) the Aggregate Equity Value by (b) the “Aggregate Fully Diluted Company Common Stock” (as defined in the Merger Agreement), and then dividing that quotient by $10.00.</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Closing and as set forth in the Merger Agreement, (i) each warrant to purchase Rigetti common stock (“Rigetti Warrants”) will be converted into a warrant to purchase shares of Supernova common stock, (ii) each option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jc w:val="both"/>
        <w:spacing w:after="0" w:line="259" w:lineRule="auto"/>
        <w:rPr>
          <w:sz w:val="20"/>
          <w:szCs w:val="20"/>
          <w:color w:val="auto"/>
        </w:rPr>
      </w:pPr>
      <w:r>
        <w:rPr>
          <w:rFonts w:ascii="Arial" w:cs="Arial" w:eastAsia="Arial" w:hAnsi="Arial"/>
          <w:sz w:val="18"/>
          <w:szCs w:val="18"/>
          <w:color w:val="auto"/>
        </w:rPr>
        <w:t>purchase Rigetti common stock (“Rigetti Options”), whether vested or unvested, will be assumed and converted into an option to purchase a number of shares of Supernova common stock, (iii) each restricted share of Rigetti common stock will be exchanged for shares of Supernova common stock subject to the same terms and conditions as were applicable to such restricted shares and (iv) each restricted stock unit award of Rigetti will be converted into the right to receive restricted stock units based on shares of Supernova common stock.</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Merger Agreement, Supernova entered into subscription agreements with the PIPE Investors pursuant to which the PIPE Investors have committed to purchase in a private placement 10,251,000 shares of Supernova common stock (the “PIPE Shares”) at a purchase price of $10.00 per share and an aggregate purchase price of $102.51 million. The purchase of the PIPE Shares is conditioned upon, among other things, the consummation of the transactions and will be consummated concurrently with the closing. On December 23, 2021, Supernova entered into Subscription Agreements with two “accredited investors” (as such term is defined in Rule 501 of Regulation D) pursuant to which the Subsequent PIPE Investors have agreed to subscribe for and purchase, and Supernova has agreed to issue and sell to the Subsequent PIPE Investors, an aggregate of 4,390,244 shares of Stock at a price of $10.25 per share, for aggregate gross proceeds of $45,000,000. The shares of common stock to be issued pursuant to the PIPE Subscription Agreements have not been registered under the Securities Act and will be issued in reliance on the availability of an exemption from such registration. The PIPE Subscription Agreements further provide that the Company will use commercially reasonable efforts to file a registration statement to register the resale of the PIPE Shares within fifteen (15) business days after the Closing.</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in connection with the execution of the Merger Agreement, Supernova entered into a sponsor support agreement (the “Sponsor Support Agreement”) with the Sponsor, Rigetti and Supernova’s directors and officers. Pursuant to the Sponsor Support Agreement, the Sponsor and Supernova’s directors and officers have, among other things, agreed to vote all of their shares of Supernova capital stock in favor of the approval of the Transactions. In addition, the Sponsor has agreed that (i) 2,479,000 shares of Class B common stock issued in connection with the IPO (the “Sponsor Shares”) will be unvested and subject to forfeiture as of the Closing and will only vest if, during the five year period following the Closing, the volume weighted average price of Supernova’s common stock equals or exceeds $12.50 for any twenty trading days within a period of thirty consecutive trading days, and (ii) up to an additional 1,000,000 Sponsor Shares will be unvested and subject to forfeiture as of the Closing based on the level of redemptions of Supernova Class A ordinary shares by holders thereof in connection with the transactions contemplated by the Merger Agreement (calculated in the manner set forth in the Sponsor Support Agreement), and any such additional Sponsor Shares will only vest if, during the five year period following the Closing, the volume weighted average price of Supernova’s common stock equals or exceeds $15.00 for any twenty trading days within a period of thirty consecutive trading days. Any Sponsor Shares that remain unvested after the fifth anniversary of the Closing will be forfeited. The Sponsor Support Agreement will terminate upon the termination of the Merger Agreement if the Closing does not occur.</w:t>
      </w:r>
    </w:p>
    <w:p>
      <w:pPr>
        <w:spacing w:after="0" w:line="1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consummation of the Transactions is subject to customary closing conditions, including, among others: (i) approval by Supernova’s and Rigetti’s respective stockholders, (ii) the expiration or termination of the waiting period under the Hart-Scott-Rodino Antitrust Improvements Act of 1976, as amended, and the obtaining of any consents required under antitrust laws in the jurisdictions specified on a schedule, (iii) no law or order enjoining or prohibiting the consummation of the Transactions being in force, (iv) Supernova having at least $5,000,001 of net tangible assets as of the Closing,</w:t>
      </w:r>
    </w:p>
    <w:p>
      <w:pPr>
        <w:spacing w:after="0" w:line="2" w:lineRule="exact"/>
        <w:rPr>
          <w:sz w:val="20"/>
          <w:szCs w:val="20"/>
          <w:color w:val="auto"/>
        </w:rPr>
      </w:pPr>
    </w:p>
    <w:p>
      <w:pPr>
        <w:jc w:val="both"/>
        <w:ind w:firstLine="8"/>
        <w:spacing w:after="0" w:line="252" w:lineRule="auto"/>
        <w:tabs>
          <w:tab w:leader="none" w:pos="2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receipt of approval for listing on the NASDAQ Capital Markets of the shares of Supernova common stock to be issued in connection with the Transactions, (vi) completion of the Domestication, (vii) the effectiveness of the registration statement on Form S-4, (viii) the accuracy of the parties’ respective representations and warranties (subject to specified materiality thresholds) and the material performance of the parties’ respective covenants and other obligations, (ix) no material adverse effect on Rigetti having occurred since signing that is continuing at Closing and (x) solely as relates to Rigetti’s obligation to consummate the Transaction, Supernova having at least $165,000,000 of available cash at the Closing. For full details and the filed agreements, refer to the 8-K announcing the Merger Agreement filed with the SEC on October 6, 2021 and the amendments to the Merger Agreement filed on December 23, 2021 and January 10, 2022.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2021, the Company had approximately $0.5 million in its operating bank account and a working capital deficit of approximately $3.4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jc w:val="both"/>
        <w:spacing w:after="0" w:line="293" w:lineRule="auto"/>
        <w:rPr>
          <w:sz w:val="20"/>
          <w:szCs w:val="20"/>
          <w:color w:val="auto"/>
        </w:rPr>
      </w:pPr>
      <w:r>
        <w:rPr>
          <w:rFonts w:ascii="Arial" w:cs="Arial" w:eastAsia="Arial" w:hAnsi="Arial"/>
          <w:sz w:val="16"/>
          <w:szCs w:val="16"/>
          <w:color w:val="auto"/>
        </w:rPr>
        <w:t>The Company has incurred and expects to incur significant costs in pursuit of its financing and acquisition plans. In connection with the Company’s assessment of going concern considerations in accordance with Financial Accounting Standards Board Accounting Standards Update 2014-15, “Disclosure of Uncertainties about an Entity’s Ability to Continue as a Going Concern,” management has determined that the Company’s cash flow deficit raises substantial doubt about the Company’s ability to continue as a going concern within one year after the date that the consolidated financial statements are issued. There is no assurance that the Company’s plans to consummate a Business Combination or raise additional funds will be successful within the Completion Window. The consolidated financial statements do not include any adjustments that might result from the outcome of the uncertainty.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consolidated financial statements. The consolidated financial statement does not include any adjustments that might result from the outcome of this uncertainty.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are presented in U.S. dollars in conformity with accounting principles generally accepted in the United States of America (“GAAP”) for financial information and pursuant to the rules and regulations of the Securities and Exchange Commission (“SEC”).</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of the Company include its wholly owned subsidiaries in connection with the planned merger. All inter-company accounts and transactions are eliminated in consolidation.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3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jc w:val="both"/>
        <w:spacing w:after="0" w:line="311" w:lineRule="auto"/>
        <w:rPr>
          <w:sz w:val="20"/>
          <w:szCs w:val="20"/>
          <w:color w:val="auto"/>
        </w:rPr>
      </w:pPr>
      <w:r>
        <w:rPr>
          <w:rFonts w:ascii="Arial" w:cs="Arial" w:eastAsia="Arial" w:hAnsi="Arial"/>
          <w:sz w:val="16"/>
          <w:szCs w:val="16"/>
          <w:color w:val="auto"/>
        </w:rPr>
        <w:t>during the reporting period. 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Actual results could differ from those estimates.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Corporation coverage limit of $250,000, and investments held in Trust Account. As of December 31, 2021, and December 31, 2020, the Company had not experienced losses on these accounts and management believes the Company is not exposed to significant risks on such accounts.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no cash equivalents as of December 31, 2021 and December 31,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Held in the Trust Account</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consolidated balance sheets at fair value at the end of each reporting period. Gains and losses resulting from the change in fair value of these securities is included in income on investments held in the Trust Account in the accompanying consolidated statements of operations. The estimated fair values of investments held in the Trust Account are determined using available market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FASB ASC Topic 820, “Fair Value Measurements,” equal or approximate the carrying amounts represented in the consolidated balance sheets.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consist of:</w:t>
      </w:r>
    </w:p>
    <w:p>
      <w:pPr>
        <w:spacing w:after="0" w:line="160" w:lineRule="exact"/>
        <w:rPr>
          <w:sz w:val="20"/>
          <w:szCs w:val="20"/>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84" w:lineRule="exact"/>
        <w:rPr>
          <w:rFonts w:ascii="Arial" w:cs="Arial" w:eastAsia="Arial" w:hAnsi="Arial"/>
          <w:sz w:val="18"/>
          <w:szCs w:val="18"/>
          <w:color w:val="auto"/>
        </w:rPr>
      </w:pPr>
    </w:p>
    <w:p>
      <w:pPr>
        <w:ind w:left="880" w:hanging="440"/>
        <w:spacing w:after="0" w:line="308"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05" w:lineRule="exact"/>
        <w:rPr>
          <w:rFonts w:ascii="Arial" w:cs="Arial" w:eastAsia="Arial" w:hAnsi="Arial"/>
          <w:sz w:val="17"/>
          <w:szCs w:val="17"/>
          <w:color w:val="auto"/>
        </w:rPr>
      </w:pPr>
    </w:p>
    <w:p>
      <w:pPr>
        <w:ind w:left="880" w:hanging="440"/>
        <w:spacing w:after="0" w:line="342"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jc w:val="both"/>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Warrant Liabilities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ASC 815, “Derivatives and Hedging” (“ASC 815”). The classification of derivative instruments, including whether such instruments should be recorded as liabilities or as equity, is re-assessed at the end of each reporting period.</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warrants issued in connection with the Initial Public Offering (the “Public Warrants”) and the Private Placement Warrants are recognized as derivative liabilities in accordance with ASC 815. Accordingly, the Company recognizes the warrant instruments as liabilities at fair value and adjust the instruments to fair value at each reporting period until exercised. </w:t>
      </w:r>
      <w:r>
        <w:rPr>
          <w:rFonts w:ascii="Arial" w:cs="Arial" w:eastAsia="Arial" w:hAnsi="Arial"/>
          <w:sz w:val="17"/>
          <w:szCs w:val="17"/>
          <w:color w:val="201F1E"/>
        </w:rPr>
        <w:t>The fair value of the Public Warrants issued in connection with the Public Offering and Private</w:t>
      </w:r>
      <w:r>
        <w:rPr>
          <w:rFonts w:ascii="Arial" w:cs="Arial" w:eastAsia="Arial" w:hAnsi="Arial"/>
          <w:sz w:val="17"/>
          <w:szCs w:val="17"/>
          <w:color w:val="auto"/>
        </w:rPr>
        <w:t xml:space="preserve"> </w:t>
      </w:r>
      <w:r>
        <w:rPr>
          <w:rFonts w:ascii="Arial" w:cs="Arial" w:eastAsia="Arial" w:hAnsi="Arial"/>
          <w:sz w:val="17"/>
          <w:szCs w:val="17"/>
          <w:color w:val="201F1E"/>
        </w:rPr>
        <w:t xml:space="preserve">Placement Warrants were initially measured at fair value using a Monte Carlo simulation model. </w:t>
      </w:r>
      <w:r>
        <w:rPr>
          <w:rFonts w:ascii="Arial" w:cs="Arial" w:eastAsia="Arial" w:hAnsi="Arial"/>
          <w:sz w:val="17"/>
          <w:szCs w:val="17"/>
          <w:color w:val="000000"/>
        </w:rPr>
        <w:t>Subsequent to the separate listing and trading of the Public</w:t>
      </w:r>
      <w:r>
        <w:rPr>
          <w:rFonts w:ascii="Arial" w:cs="Arial" w:eastAsia="Arial" w:hAnsi="Arial"/>
          <w:sz w:val="17"/>
          <w:szCs w:val="17"/>
          <w:color w:val="201F1E"/>
        </w:rPr>
        <w:t xml:space="preserve"> </w:t>
      </w:r>
      <w:r>
        <w:rPr>
          <w:rFonts w:ascii="Arial" w:cs="Arial" w:eastAsia="Arial" w:hAnsi="Arial"/>
          <w:sz w:val="17"/>
          <w:szCs w:val="17"/>
          <w:color w:val="000000"/>
        </w:rPr>
        <w:t>Warrants the fair value of the Public Warrants has been measured based on the observable listed prices for such warrants and the fair value of the Private Warrants are measured using a Black-Scholes Option Pricing Model. Derivative warrant liabilities are classified as non-current as their liquidation is not reasonably expected to require the use of current assets or require the creation of current liabilities.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 Associated with the Initial Public Offering</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Offering costs consisted of legal, accounting, underwriting fees and other costs incurred through the Initial Public Offering that were directly related to the Initial Public Offering. Offering costs are allocated to the separable financial instruments issued in the Initial Public Offering based on a relative fair value basis, compared to total proceeds received. Offering costs associated with derivative warrant liabilities are expensed as incurred, presented as non-operating expenses in the consolidated statements of operations. Offering costs associated with the Class A ordinary shares issued were charged to the carrying value of the Class A ordinary shares subject to possible redemption upon the completion of the Initial Public Offering. The Company classifies deferred underwriting commissions as non-current liabilities as their liquidation is not reasonably expected to require the use of current assets or require the creation of current liabilities.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accounts for its Class A ordinary shares subject to possible redemption in accordance with the guidance in ASC Topic 480 “Distinguishing Liabilities from Equity.” 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the occurrence of uncertain future events. Accordingly, as of December 31, 2021, the Company had 34,500,000 Class A ordinary shares subject to possible redemption, presented as temporary equity outside of the shareholders’ equity section of the Company’s consolidated balance sheets. There were no Class A ordinary shares issued or outstanding as of December 31, 2020.</w:t>
      </w:r>
    </w:p>
    <w:p>
      <w:pPr>
        <w:spacing w:after="0" w:line="1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Under ASC 480-10-S99, the Company has elected to recognize changes in the redemption value immediately as they occur and adjust the carrying value of the security to equal the redemption value at the end of the reporting period. This method would view the end of the reporting period as if it were also the redemption date of the security. Effective with the closing of the Initial Public Offering, the Company recognized the accretion from initial book value to redemption amount value, which resulted in charges against additional paid-in capital (to the extent available) and accumulated deficit.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jc w:val="both"/>
        <w:spacing w:after="0" w:line="271" w:lineRule="auto"/>
        <w:rPr>
          <w:sz w:val="20"/>
          <w:szCs w:val="20"/>
          <w:color w:val="auto"/>
        </w:rPr>
      </w:pPr>
      <w:r>
        <w:rPr>
          <w:rFonts w:ascii="Arial" w:cs="Arial" w:eastAsia="Arial" w:hAnsi="Arial"/>
          <w:sz w:val="17"/>
          <w:szCs w:val="17"/>
          <w:color w:val="auto"/>
        </w:rPr>
        <w:t>The transfer of the Founder Shares is in the scope of FASB ASC Topic 718, “Compensation-Stock Compensation” (“ASC 718”). Under ASC 718, stock-based compensation associated with equity-classified awards is measured at fair value upon the grant date. The Founders Shares were granted subject to a performance condition (i.e., the occurrence of a Business Combination). Compensation expense related to the Founders Shares is recognized only when the performance condition is probable of occurrence under the applicable accounting literature in this circumstance. As of February 23, 2022, the Company determined that a Business Combination is not considered probable, and, therefore, no stock-based compensation expense has been recognized. Stock-based compensation would be recognized at the date a Business Combination is considered probable (i.e., upon completion of a Business Combination) in an amount equal to the number of Founders Shares that ultimately vest multiplied times the grant date fair value per share (unless subsequently modified) less the amount initially received for the purchase of the Founders Shares.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FASB 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December 31, 2021, and December 31, 2020. The Company is currently not aware of any issues under review that could result in significant payments, accruals or material deviation from its position.</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considered to be an exempted Cayman Islands company and is presently not subject to income taxes or income tax filing requirements in the Cayman Islands or the United States. As such, the Company’s tax provision was zero for the period presented. The Company’s management does not expect that the total amount of unrecognized tax benefits will materially change over the next twelve months.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Ordinary Share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complies with accounting and disclosure requirements of FASB ASC Topic 260, “Earnings Per Share.” The Company has two classes of shares, which are referred to as Class A ordinary shares and Class B ordinary shares. Income and losses are shared pro rata between the two classes of shares. Net income (loss) per ordinary share is calculated by dividing the net income (loss) by the weighted average ordinary shares outstanding for the respective period.</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calculation of diluted net income (loss) does not consider the effect of the warrants underlying the Units sold in the Initial Public Offering and the private placement warrants to purchase an aggregate of 13,075,000 shares of Class A ordinary shares in the calculation of diluted income (loss) per share, because their inclusion would be anti-dilutive under the treasury stock method. The number of weighted average Class B ordinary shares for calculating basic net income (loss) per ordinary share was reduced for the effect of an aggregate of 1,125,000 Class B ordinary shares that were subject to forfeiture if the over-allotment option was not exercised in full or part by the underwriters (see Note 5). Since the contingency was satisfied as of December 31, 2021, the Company included these shares in the weighted average number as of the beginning of the period to determine the dilutive impact of these shares. Accretion associated with the redeemable Class A ordinary shares is excluded from earnings per share as the redemption value approximates fair value.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presents a reconciliation of the numerator and denominator used to compute basic and diluted net income (loss) per share for each class of ordinary shares: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5"/>
          </w:tcPr>
          <w:p>
            <w:pPr>
              <w:jc w:val="center"/>
              <w:ind w:right="253"/>
              <w:spacing w:after="0"/>
              <w:rPr>
                <w:sz w:val="20"/>
                <w:szCs w:val="20"/>
                <w:color w:val="auto"/>
              </w:rPr>
            </w:pPr>
            <w:r>
              <w:rPr>
                <w:rFonts w:ascii="Arial" w:cs="Arial" w:eastAsia="Arial" w:hAnsi="Arial"/>
                <w:sz w:val="14"/>
                <w:szCs w:val="14"/>
                <w:b w:val="1"/>
                <w:bCs w:val="1"/>
                <w:color w:val="auto"/>
                <w:w w:val="93"/>
              </w:rPr>
              <w:t>For the Period from</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gridSpan w:val="4"/>
            <w:vMerge w:val="restart"/>
          </w:tcPr>
          <w:p>
            <w:pPr>
              <w:jc w:val="right"/>
              <w:ind w:right="733"/>
              <w:spacing w:after="0"/>
              <w:rPr>
                <w:sz w:val="20"/>
                <w:szCs w:val="20"/>
                <w:color w:val="auto"/>
              </w:rPr>
            </w:pPr>
            <w:r>
              <w:rPr>
                <w:rFonts w:ascii="Arial" w:cs="Arial" w:eastAsia="Arial" w:hAnsi="Arial"/>
                <w:sz w:val="14"/>
                <w:szCs w:val="14"/>
                <w:b w:val="1"/>
                <w:bCs w:val="1"/>
                <w:color w:val="auto"/>
              </w:rPr>
              <w:t>For the Year Ended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40" w:type="dxa"/>
            <w:vAlign w:val="bottom"/>
            <w:gridSpan w:val="5"/>
          </w:tcPr>
          <w:p>
            <w:pPr>
              <w:jc w:val="center"/>
              <w:ind w:right="253"/>
              <w:spacing w:after="0" w:line="149" w:lineRule="exact"/>
              <w:rPr>
                <w:sz w:val="20"/>
                <w:szCs w:val="20"/>
                <w:color w:val="auto"/>
              </w:rPr>
            </w:pPr>
            <w:r>
              <w:rPr>
                <w:rFonts w:ascii="Arial" w:cs="Arial" w:eastAsia="Arial" w:hAnsi="Arial"/>
                <w:sz w:val="14"/>
                <w:szCs w:val="14"/>
                <w:b w:val="1"/>
                <w:bCs w:val="1"/>
                <w:color w:val="auto"/>
                <w:w w:val="93"/>
              </w:rPr>
              <w:t>December 22, 2020</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40" w:type="dxa"/>
            <w:vAlign w:val="bottom"/>
            <w:gridSpan w:val="5"/>
          </w:tcPr>
          <w:p>
            <w:pPr>
              <w:jc w:val="center"/>
              <w:ind w:right="253"/>
              <w:spacing w:after="0" w:line="149" w:lineRule="exact"/>
              <w:rPr>
                <w:sz w:val="20"/>
                <w:szCs w:val="20"/>
                <w:color w:val="auto"/>
              </w:rPr>
            </w:pPr>
            <w:r>
              <w:rPr>
                <w:rFonts w:ascii="Arial" w:cs="Arial" w:eastAsia="Arial" w:hAnsi="Arial"/>
                <w:sz w:val="14"/>
                <w:szCs w:val="14"/>
                <w:b w:val="1"/>
                <w:bCs w:val="1"/>
                <w:color w:val="auto"/>
                <w:w w:val="91"/>
              </w:rPr>
              <w:t>(inception) through</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center"/>
              <w:ind w:right="253"/>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56"/>
        </w:trPr>
        <w:tc>
          <w:tcPr>
            <w:tcW w:w="4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397"/>
              <w:spacing w:after="0" w:line="155" w:lineRule="exact"/>
              <w:rPr>
                <w:sz w:val="20"/>
                <w:szCs w:val="20"/>
                <w:color w:val="auto"/>
              </w:rPr>
            </w:pPr>
            <w:r>
              <w:rPr>
                <w:rFonts w:ascii="Arial" w:cs="Arial" w:eastAsia="Arial" w:hAnsi="Arial"/>
                <w:sz w:val="14"/>
                <w:szCs w:val="14"/>
                <w:b w:val="1"/>
                <w:bCs w:val="1"/>
                <w:color w:val="auto"/>
              </w:rPr>
              <w:t>Class A</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393"/>
              <w:spacing w:after="0" w:line="155" w:lineRule="exact"/>
              <w:rPr>
                <w:sz w:val="20"/>
                <w:szCs w:val="20"/>
                <w:color w:val="auto"/>
              </w:rPr>
            </w:pPr>
            <w:r>
              <w:rPr>
                <w:rFonts w:ascii="Arial" w:cs="Arial" w:eastAsia="Arial" w:hAnsi="Arial"/>
                <w:sz w:val="14"/>
                <w:szCs w:val="14"/>
                <w:b w:val="1"/>
                <w:bCs w:val="1"/>
                <w:color w:val="auto"/>
              </w:rPr>
              <w:t>Class B</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Class A</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393"/>
              <w:spacing w:after="0" w:line="155" w:lineRule="exact"/>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net loss per ordinary share:</w:t>
            </w:r>
          </w:p>
        </w:tc>
        <w:tc>
          <w:tcPr>
            <w:tcW w:w="8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i w:val="1"/>
                <w:iCs w:val="1"/>
                <w:color w:val="auto"/>
              </w:rPr>
              <w:t>Numerator:</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Allocation of net loss - basic and diluted</w:t>
            </w:r>
          </w:p>
        </w:tc>
        <w:tc>
          <w:tcPr>
            <w:tcW w:w="10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w w:val="97"/>
              </w:rPr>
              <w:t>(17,899,119)</w:t>
            </w: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(5,270,981)</w:t>
            </w: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(14,691)</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Denominator:</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80" w:type="dxa"/>
            <w:vAlign w:val="bottom"/>
          </w:tcPr>
          <w:p>
            <w:pPr>
              <w:ind w:left="140"/>
              <w:spacing w:after="0"/>
              <w:rPr>
                <w:sz w:val="20"/>
                <w:szCs w:val="20"/>
                <w:color w:val="auto"/>
              </w:rPr>
            </w:pPr>
            <w:r>
              <w:rPr>
                <w:rFonts w:ascii="Arial" w:cs="Arial" w:eastAsia="Arial" w:hAnsi="Arial"/>
                <w:sz w:val="18"/>
                <w:szCs w:val="18"/>
                <w:color w:val="auto"/>
              </w:rPr>
              <w:t>Basic and diluted weighted average ordinary shares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outstanding</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28,639,726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8,433,904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Diluted weighted average ordinary shares outstanding</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28,639,726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8,625,000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net loss per ordinary share</w:t>
            </w:r>
          </w:p>
        </w:tc>
        <w:tc>
          <w:tcPr>
            <w:tcW w:w="8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color w:val="auto"/>
              </w:rPr>
              <w:t>Diluted net loss per ordinary share</w:t>
            </w:r>
          </w:p>
        </w:tc>
        <w:tc>
          <w:tcPr>
            <w:tcW w:w="10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August 2020, the FASB issued Accounting Standards Update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The ASU also removes certain settlement conditions that are required for equity-linked contracts to qualify for the derivative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does not believe that any other recently issued, but not yet effective, accounting standards updates, if currently adopted, would have a material effect on the accompanying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Initial Public Offering</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4, 2021, the Company consummated its Initial Public Offering of 34,500,000 Units, which includes 4,500,000 Over-Allotment Units, at $10.00 per Unit, generating gross proceeds of $345.0 million, and incurring offering costs of approximately $19.5 million, of which approximately $12.1 million was for deferred underwriting commissions.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Unit consists of one Class A ordinary share, and one-fourth of one redeemable warrant (each, a “Public Warrant”). Each Public Warrant entitles the holder to purchase one Class A ordinary share at a price of $11.50 per share, subject to adjustment (see Note 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22, 2020, the Sponsor paid $25,000 to cover certain expenses of the Company in consideration of 5,750,000 Class B ordinary shares, par value $0.0001 (the “Founder Shares”). Shares and the associated amounts reflect: (i) the share dividend of Class B ordinary shares on January 14, 2021, resulting in an aggregate of 7,187,500 Class B ordinary shares outstanding on January 14, 2021; and (ii) the share dividend of Class B ordinary shares on March 1, 2021, resulting in 8,625,000 Class B ordinary shares outstanding. These consolidated financial statements reflect the changes of these share dividends retroactively for all periods presented. On February 22, 2021, the Sponsor transferred 28,750 Founder Shares to each of the five independent director nominees. Following the share dividend effected on March 1, 2021, each of the independent director nominees owns 34,500 Class B ordinary shares. The initial shareholders agreed to forfeit up to 1,125,000 Founder Shares to the extent that the over-allotment option was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0" w:name="page61"/>
    <w:bookmarkEnd w:id="60"/>
    <w:p>
      <w:pPr>
        <w:jc w:val="both"/>
        <w:spacing w:after="0" w:line="263" w:lineRule="auto"/>
        <w:rPr>
          <w:sz w:val="20"/>
          <w:szCs w:val="20"/>
          <w:color w:val="auto"/>
        </w:rPr>
      </w:pPr>
      <w:r>
        <w:rPr>
          <w:rFonts w:ascii="Arial" w:cs="Arial" w:eastAsia="Arial" w:hAnsi="Arial"/>
          <w:sz w:val="18"/>
          <w:szCs w:val="18"/>
          <w:color w:val="auto"/>
        </w:rPr>
        <w:t>not exercised in full by the underwriters, so that the Founder Shares would represent 20% of the Company’s issued and outstanding shares after the Initial Public Offering. On March 4, 2021, the underwriter fully exercised its over-allotment option; thus, these 1,125,000 Founder Shares were no longer subject to forfeiture.</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initial shareholders agreed, subject to limited exceptions, not to transfer, assign or sell any of their Founder Shares until the earlier to occur of: (i) one year after the completion of the initial Business Combination or (ii) the date following the completion of the initial Business Combination on which the Company completes a liquidation, merger, share exchange or other similar transaction that results in all of the shareholders having the right to exchange their ordinary shares for cash, securities or other property. Notwithstanding the foregoing, if the closing price of the Class A ordinary shares equals or exceeds $12.00 per share (as adjusted for share sub-divisions, share capitalizations, reorganizations, recapitalizations and the like) for any 20 trading days within any 30-trading day period commencing at least 120 days after the initial Business Combination, the Founder Shares will be released from the lockup.</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of 4,450,000 Private Placement Warrants, at a price of $2.00 per Private Placement Warrant with the Sponsor, generating gross proceeds of $8.9 million.</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Each whole Private Placement Warrant is exercisable for one whole Class A ordinary share at a price of $11.50 per share. A portion of the proceeds from the Private Placement Warrants was added to the proceeds from the Initial Public Offering held in the Trust Account. If the Company does not complete a Business Combination within the Completion Window, the Private Placement Warrants will expire worthless. The Private Placement Warrants will be non-redeemable except as described below in Note 6 and exercisable on a cashless basis so long as they are held by the Sponsor or its permitted transferees.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22, 2020, the Sponsor agreed to loan the Company an aggregate of up to $300,000 to cover expenses related to the Initial Public Offering pursuant to a promissory note (the “Note”). This Note was non-interest bearing and payable upon the completion of the Initial Public Offering. The Company borrowed $275,000 under the Note. The Company repaid the Note in full on March 4, 2021.</w:t>
      </w:r>
    </w:p>
    <w:p>
      <w:pPr>
        <w:spacing w:after="0" w:line="1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in order to fund working capital deficiencies or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will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warrants of the post-Business Combination entity at a price of $2.00 per warrant. The warrants would be identical to the Private Placement Warrants. Except for the foregoing, the terms of such Working Capital Loans, if any, have not been determined and no written agreements exist with respect to such loans. As of December 31, 2021, and December 31, 2020, the Company had no borrowings under the Working Capital Loans.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holders of Founder Shares, Private Placement Warrants and warrants that may be issued upon conversion of Working Capital Loans (and any Class A ordinary shares issuable upon the exercise of the Private Placement Warrants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jc w:val="both"/>
        <w:spacing w:after="0" w:line="257" w:lineRule="auto"/>
        <w:rPr>
          <w:sz w:val="20"/>
          <w:szCs w:val="20"/>
          <w:color w:val="auto"/>
        </w:rPr>
      </w:pPr>
      <w:r>
        <w:rPr>
          <w:rFonts w:ascii="Arial" w:cs="Arial" w:eastAsia="Arial" w:hAnsi="Arial"/>
          <w:sz w:val="18"/>
          <w:szCs w:val="18"/>
          <w:color w:val="auto"/>
        </w:rPr>
        <w:t>and warrants that may be issued upon conversion of Working Capital Loans) were entitled to registration rights pursuant to a registration and shareholder rights agreement signed upon consummation of the Initial Public Offering. These holders were entitled to certain demand and “piggyback” registration rights. However, the registration and shareholder rights agreement provided that the Company would not permit any registration statement filed under the Securities Act to become effective until the termination of the applicable lock-up period for the securities to be registered. The Company will bear the expenses incurred in connection with the filing of any such registration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granted the underwriters a 45-day option from the final prospectus relating to the Initial Public Offering to purchase up to 4,500,000 additional Units to cover over-allotments, if any, at the Initial Public Offering price less the underwriting discounts and commissions. On March 4, 2021, the underwriter fully exercised its over-allotment option.</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underwriters were entitled to an underwriting discount of $0.20 per unit, or $6.9 million in the aggregate, paid upon the closing of the Initial Public Offering. In addition, $0.35 per unit, or approximately $12.1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Fees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2021, the Company has entered into certain consulting arrangements in connection with its search for a prospective initial Business Combination. A portion of the fees in connection with the services rendered as of December 31, 2021 have been deferred and were contingent upon the closing of a Business Combination and therefore not included as liabilities on the accompanying consolidated balance sheets. As of December 31, 2021, these fees were approximately $0.5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Warrants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the Company had 8,625,000 and 4,450,000 Public Warrants and Private Placement Warrants outstanding, respectively. There were no warrants outstanding as of December 31, 2020.</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Public Warrants may only be exercised for a whole number of shares. No fractional Public Warrants will be issued upon separation of the Units and only whole Public Warrants will trade. The Public Warrants will become exercisable 30 days after the completion of a Business Combination; provided in each case that the Company has an effective registration statement under the Securities Act covering the Class A ordinary shares issuable upon exercise of the Public Warrants and a current prospectus relating to them is available (or the Company permits holders to exercise their Public Warrants on a cashless basis and such cashless exercise is exempt from registration under the Securities Act). The Company agreed that as soon as practicable, but in no event later than 15 business days, after the closing of a Business Combination, the Company will use its best efforts to file with the SEC a registration statement for the registration, under the Securities Act, of the Class A ordinary shares issuable upon exercise of the Public Warrants. If the shares issuable upon exercise of the warrants are not registered under the Securities Act, the Company will be required to permit holders to exercise their warrants on a cashless basis. However,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Notwithstanding the above, if the Company’s Class A ordinary shares are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elects, the Company will not be required to file or maintain in effect a registration statement, but the Company will use its best efforts to register or qualify the shares under applicable blue sky laws to the extent an exemption is not available.</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warrants have an exercise price of $11.50 per share, subject to adjustments, and will expire five years after the completion of a Business Combination or earlier upon redemption or liquidation. In addition, if (x)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jc w:val="both"/>
        <w:spacing w:after="0" w:line="286" w:lineRule="auto"/>
        <w:rPr>
          <w:sz w:val="20"/>
          <w:szCs w:val="20"/>
          <w:color w:val="auto"/>
        </w:rPr>
      </w:pPr>
      <w:r>
        <w:rPr>
          <w:rFonts w:ascii="Arial" w:cs="Arial" w:eastAsia="Arial" w:hAnsi="Arial"/>
          <w:sz w:val="16"/>
          <w:szCs w:val="16"/>
          <w:color w:val="auto"/>
        </w:rPr>
        <w:t>issues additional Class A ordinary shares or equity-linked securities for capital raising purposes in connection with the closing of the initial Business Combination at an issue price or effective issue price of less than $9.20 per Class A ordinary share (with such issue price or effective issue price to be determined in good faith by the board of directors and, in the case of any such issuance to the initial shareholders or their affiliates, without taking into account any Founder Shares held by the initial shareholders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Class A ordinary shares during the 10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higher of the Market Value and the Newly Issued Price, and the $18.00 per share redemption trigger price described under “Redemption of warrants when the price per Class A ordinary share equals or exceeds $18.00” and “Redemption of warrants when the price per Class A ordinary share equals or exceeds $10.00” will be adjusted (to the nearest cent) to be equal to 180% of the higher of the Market Value and the Newly Issued Price, and the $10.00 per share redemption trigger price described under “Redemption of warrants when the price per Class A ordinary share equals or exceeds $10.00” will be adjusted (to the nearest cent) to be equal to the higher of the Market Value and the Newly Issued Price.</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except as described below,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warrants when the price per Class A ordinary share equals or exceeds $18.00:</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Once the warrants become exercisable, the Company may redeem the outstanding warrants (except as described herein with respect to the Private Placement Warrants):</w:t>
      </w:r>
    </w:p>
    <w:p>
      <w:pPr>
        <w:spacing w:after="0" w:line="130" w:lineRule="exact"/>
        <w:rPr>
          <w:sz w:val="20"/>
          <w:szCs w:val="20"/>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a minimum of 30-days’ prior written notice of redemption; and</w:t>
      </w:r>
    </w:p>
    <w:p>
      <w:pPr>
        <w:spacing w:after="0" w:line="184"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and only if, the last reported sale price (the “closing price”) of Class A ordinary shares equals or exceeds $18.00 per share (as adjusted) for any 20 trading days within a 30-trading day period ending on the third trading day prior to the date on which the Company sends the notice of redemption to the warrant holders.</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will not redeem the warrants as described above unless an effective registration statement under the Securities Act covering the Class A ordinary shares issuable upon exercise of the warrants is effective and a current prospectus relating to those Class A ordinary shares is available throughout the 30-day redemption period. If and when the warrants become redeemable by the Company, it may exercise its redemption right even if the Company is unable to register or qualify the underlying securities for sale under all applicable state securities laws.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warrants when the price per Class A ordinary share equals or exceeds $10.00: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the Company may redeem the outstanding warrants:</w:t>
      </w:r>
    </w:p>
    <w:p>
      <w:pPr>
        <w:spacing w:after="0" w:line="185" w:lineRule="exact"/>
        <w:rPr>
          <w:sz w:val="20"/>
          <w:szCs w:val="20"/>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a price of $0.10 per warrant;</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a minimum of 30-days’ prior written notice of redemption provided that holders will be able to exercise their warrants on a cashless basis prior to redemption and receive that number of shares determined by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ind w:left="880"/>
        <w:spacing w:after="0"/>
        <w:rPr>
          <w:sz w:val="20"/>
          <w:szCs w:val="20"/>
          <w:color w:val="auto"/>
        </w:rPr>
      </w:pPr>
      <w:r>
        <w:rPr>
          <w:rFonts w:ascii="Arial" w:cs="Arial" w:eastAsia="Arial" w:hAnsi="Arial"/>
          <w:sz w:val="18"/>
          <w:szCs w:val="18"/>
          <w:color w:val="auto"/>
        </w:rPr>
        <w:t>reference to an agreed table based on the redemption date and the fair market value of Class A ordinary shares;</w:t>
      </w:r>
    </w:p>
    <w:p>
      <w:pPr>
        <w:spacing w:after="0" w:line="185" w:lineRule="exact"/>
        <w:rPr>
          <w:sz w:val="20"/>
          <w:szCs w:val="20"/>
          <w:color w:val="auto"/>
        </w:rPr>
      </w:pPr>
    </w:p>
    <w:p>
      <w:pPr>
        <w:ind w:left="880" w:hanging="440"/>
        <w:spacing w:after="0" w:line="342" w:lineRule="auto"/>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and only if, the closing price of Class A ordinary shares equals or exceeds $10.00 per Public Share (as adjusted) for any 20 trading days within the 30-trading day period ending three trading days before the Company sends the notice of redemption to the warrant holders;</w:t>
      </w:r>
    </w:p>
    <w:p>
      <w:pPr>
        <w:spacing w:after="0" w:line="83" w:lineRule="exact"/>
        <w:rPr>
          <w:rFonts w:ascii="Arial" w:cs="Arial" w:eastAsia="Arial" w:hAnsi="Arial"/>
          <w:sz w:val="16"/>
          <w:szCs w:val="16"/>
          <w:color w:val="auto"/>
        </w:rPr>
      </w:pPr>
    </w:p>
    <w:p>
      <w:pPr>
        <w:jc w:val="both"/>
        <w:ind w:left="880" w:hanging="440"/>
        <w:spacing w:after="0" w:line="259"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closing price of the Class A ordinary shares for any 20 trading days within a 30-trading day period ending on the third trading day prior to the date on which the Company sends the notice of redemption to the warrant holders is less than $18.00 per Public Share (as adjusted), the Private Placement Warrants must also be concurrently called for redemption on the same terms as the outstanding Public Warrants, as described above.</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“fair market value” of Class A ordinary shares for the above purpose shall mean the volume weighted average price of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 event will the Company be required to net cash settle any warrant. If the Company is unable to complete a Business Combination within the Completion Window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Class A Ordinary Shares Subject to Possible Redemption</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Class A ordinary shares feature certain redemption rights that are considered to be outside of the Company’s control and subject to the occurrence of future events. The Company is authorized to issue 500,000,000 shares of Class A ordinary shares with a par value of $0.0001 per share. Holder of the Company’s Class A ordinary shares are entitled to one vote for each share. As of December 31, 2021, there were 34,500,000 shares of Class A ordinary shares outstanding, all of which were subject to redemption. There were no Class A shares outstanding as of December 31,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Class A ordinary shares reflected on the consolidated balance sheet is reconciled on the following table:</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Gross proceeds</w:t>
            </w:r>
          </w:p>
        </w:tc>
        <w:tc>
          <w:tcPr>
            <w:tcW w:w="3040" w:type="dxa"/>
            <w:vAlign w:val="bottom"/>
            <w:gridSpan w:val="2"/>
            <w:shd w:val="clear" w:color="auto" w:fill="CFF0FC"/>
          </w:tcPr>
          <w:p>
            <w:pPr>
              <w:jc w:val="right"/>
              <w:ind w:right="367"/>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345,000,000</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Less:</w:t>
            </w:r>
          </w:p>
        </w:tc>
        <w:tc>
          <w:tcPr>
            <w:tcW w:w="2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Amount allocated to Public Warrants</w:t>
            </w:r>
          </w:p>
        </w:tc>
        <w:tc>
          <w:tcPr>
            <w:tcW w:w="25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(8,711,250)</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Class A ordinary shares issuance costs</w:t>
            </w:r>
          </w:p>
        </w:tc>
        <w:tc>
          <w:tcPr>
            <w:tcW w:w="2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(19,011,139)</w:t>
            </w: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Plus:</w:t>
            </w:r>
          </w:p>
        </w:tc>
        <w:tc>
          <w:tcPr>
            <w:tcW w:w="25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30"/>
        </w:trPr>
        <w:tc>
          <w:tcPr>
            <w:tcW w:w="6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Accretion of carrying value to redemption value</w:t>
            </w:r>
          </w:p>
        </w:tc>
        <w:tc>
          <w:tcPr>
            <w:tcW w:w="25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27,722,389</w:t>
            </w:r>
          </w:p>
        </w:tc>
      </w:tr>
      <w:tr>
        <w:trPr>
          <w:trHeight w:val="223"/>
        </w:trPr>
        <w:tc>
          <w:tcPr>
            <w:tcW w:w="6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Class A ordinary shares subject to possible redemption</w:t>
            </w:r>
          </w:p>
        </w:tc>
        <w:tc>
          <w:tcPr>
            <w:tcW w:w="25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345,000,000</w:t>
            </w:r>
          </w:p>
        </w:tc>
      </w:tr>
      <w:tr>
        <w:trPr>
          <w:trHeight w:val="20"/>
        </w:trPr>
        <w:tc>
          <w:tcPr>
            <w:tcW w:w="67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Shareholders’ Equity (Deficit)</w:t>
      </w:r>
    </w:p>
    <w:p>
      <w:pPr>
        <w:spacing w:after="0" w:line="18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 xml:space="preserve">Preference Shares </w:t>
      </w:r>
      <w:r>
        <w:rPr>
          <w:rFonts w:ascii="Arial" w:cs="Arial" w:eastAsia="Arial" w:hAnsi="Arial"/>
          <w:sz w:val="18"/>
          <w:szCs w:val="18"/>
          <w:color w:val="auto"/>
        </w:rPr>
        <w:t>- The Company is authorized to issue 5,000,000 preference shares, with a par value of $0.0001 per share, with such designations, voting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other rights and preferences as may be determined from time to time by the Company’s board of directors. As of December 31, 2021, and December 31, 2020, there were no preference shares issued or outstanding.</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Class A Ordinary Shares </w:t>
      </w:r>
      <w:r>
        <w:rPr>
          <w:rFonts w:ascii="Arial" w:cs="Arial" w:eastAsia="Arial" w:hAnsi="Arial"/>
          <w:sz w:val="18"/>
          <w:szCs w:val="18"/>
          <w:color w:val="auto"/>
        </w:rPr>
        <w:t>- The Company is authorized to issue 500,000,000 Class A ordinary shares with a par value of $0.0001 per share.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2021, there were 34,500,000 Class A ordinary shares issued and outstanding, all subject to possible redemption and classified as temporary equity in the accompanying consolidated balance sheets (see Note 7). There were no Class A ordinary shares issued or outstanding as of December 31,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Class B Ordinary Shares </w:t>
      </w:r>
      <w:r>
        <w:rPr>
          <w:rFonts w:ascii="Arial" w:cs="Arial" w:eastAsia="Arial" w:hAnsi="Arial"/>
          <w:sz w:val="16"/>
          <w:szCs w:val="16"/>
          <w:color w:val="auto"/>
        </w:rPr>
        <w:t>- The Company is authorized to issue 50,000,000 Class B ordinary shares with a par value of $0.0001 per share. As of March 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there were 8,625,000 Class B ordinary shares outstanding, which amount reflects: (i) the share dividend of Class B ordinary shares on January 14, 2021, resulting in an aggregate of 7,187,500 Class B ordinary shares outstanding on January 14, 2021; and (ii) the share dividend of Class B ordinary shares on March 1, 2021, resulting in 8,625,000 Class B ordinary shares outstanding. These consolidated financial statements reflect the changes of these splits retroactively for all periods presented. As of December 31, 2021 and 2020, there were 8,625,000 Class B ordinary shares issued and outstanding.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Ordinary shareholders of record are entitled to one vote for each share held on all matters to be voted on by shareholders. Holders of the Class A ordinary shares and holders of the Class B ordinary shares will vote together as a single class on all matters submitted to a vote of shareholders, except as required by law.</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Class B ordinary shares will automatically convert into Class A ordinary shares concurrently with or immediately following the consummation of the initial Business Combination on a one-for-one basis, subject to adjustment for share sub-divisions, share capitalizations, reorganizations, recapitalizations and the like, and subject to further adjustment as provided herein. In the case that additional Class A ordinary shares or equity-linked securities are issued or deemed issued in connection with the initial Business Combination, the number of Class A ordinary shares issuable upon conversion of all Class B ordinary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the Sponsor, officers or directors upon conversion of Working Capital Loans; provided that such conversion of Class B ordinary shares will never occur on a less than one-for-one basis.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 Measurements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as of December 31, 2021 and indicates the fair value hierarchy of the valuation techniques that the Company utilized to determine such fair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Quoted</w:t>
            </w:r>
          </w:p>
        </w:tc>
        <w:tc>
          <w:tcPr>
            <w:tcW w:w="140" w:type="dxa"/>
            <w:vAlign w:val="bottom"/>
          </w:tcPr>
          <w:p>
            <w:pPr>
              <w:spacing w:after="0"/>
              <w:rPr>
                <w:sz w:val="14"/>
                <w:szCs w:val="14"/>
                <w:color w:val="auto"/>
              </w:rPr>
            </w:pPr>
          </w:p>
        </w:tc>
        <w:tc>
          <w:tcPr>
            <w:tcW w:w="14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4"/>
                <w:szCs w:val="14"/>
                <w:color w:val="auto"/>
              </w:rPr>
            </w:pPr>
          </w:p>
        </w:tc>
        <w:tc>
          <w:tcPr>
            <w:tcW w:w="1300" w:type="dxa"/>
            <w:vAlign w:val="bottom"/>
            <w:vMerge w:val="restart"/>
          </w:tcPr>
          <w:p>
            <w:pPr>
              <w:jc w:val="center"/>
              <w:ind w:right="1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Prices in</w:t>
            </w: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30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6540" w:type="dxa"/>
            <w:vAlign w:val="bottom"/>
            <w:vMerge w:val="restart"/>
          </w:tcPr>
          <w:p>
            <w:pPr>
              <w:ind w:left="292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30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6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Inputs (Level 2)</w:t>
            </w:r>
          </w:p>
        </w:tc>
        <w:tc>
          <w:tcPr>
            <w:tcW w:w="140" w:type="dxa"/>
            <w:vAlign w:val="bottom"/>
          </w:tcPr>
          <w:p>
            <w:pPr>
              <w:spacing w:after="0"/>
              <w:rPr>
                <w:sz w:val="14"/>
                <w:szCs w:val="14"/>
                <w:color w:val="auto"/>
              </w:rPr>
            </w:pPr>
          </w:p>
        </w:tc>
        <w:tc>
          <w:tcPr>
            <w:tcW w:w="13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223"/>
        </w:trPr>
        <w:tc>
          <w:tcPr>
            <w:tcW w:w="6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Investments held in Trust Account - money market fund</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1"/>
              <w:spacing w:after="0"/>
              <w:rPr>
                <w:sz w:val="20"/>
                <w:szCs w:val="20"/>
                <w:color w:val="auto"/>
              </w:rPr>
            </w:pPr>
            <w:r>
              <w:rPr>
                <w:rFonts w:ascii="Arial" w:cs="Arial" w:eastAsia="Arial" w:hAnsi="Arial"/>
                <w:sz w:val="18"/>
                <w:szCs w:val="18"/>
                <w:color w:val="auto"/>
              </w:rPr>
              <w:t>345,019,271</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tcPr>
          <w:p>
            <w:pPr>
              <w:spacing w:after="0"/>
              <w:rPr>
                <w:sz w:val="20"/>
                <w:szCs w:val="20"/>
                <w:color w:val="auto"/>
              </w:rPr>
            </w:pPr>
            <w:r>
              <w:rPr>
                <w:rFonts w:ascii="Arial" w:cs="Arial" w:eastAsia="Arial" w:hAnsi="Arial"/>
                <w:sz w:val="18"/>
                <w:szCs w:val="18"/>
                <w:color w:val="auto"/>
              </w:rPr>
              <w:t>Derivative warrant liabilities - Public warrants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1"/>
              <w:spacing w:after="0"/>
              <w:rPr>
                <w:sz w:val="20"/>
                <w:szCs w:val="20"/>
                <w:color w:val="auto"/>
              </w:rPr>
            </w:pPr>
            <w:r>
              <w:rPr>
                <w:rFonts w:ascii="Arial" w:cs="Arial" w:eastAsia="Arial" w:hAnsi="Arial"/>
                <w:sz w:val="18"/>
                <w:szCs w:val="18"/>
                <w:color w:val="auto"/>
              </w:rPr>
              <w:t>20,441,250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Derivative warrant liabilities - Private placement warrants</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10,546,500</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there were no assets or liabilities that are measured at fair value on a recurring basis.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Transfers to/from Levels 1, 2, and 3 are recognized at the beginning of the reporting period. The estimated fair value of Public Warrants transferred from a Level 3 measurement to a Level 1 measurement as the Public Warrants were separately listed in trading beginning in April 2021. There were no other transfers to/from Levels 1, 2, and 3 in the year ended December 31, 2021.</w:t>
      </w:r>
    </w:p>
    <w:p>
      <w:pPr>
        <w:spacing w:after="0" w:line="1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Level 1 assets include investments in money market funds invested in government securities. The Company uses inputs such as actual trade data, benchmark yields, quoted market prices from dealers or brokers, and other similar sources to determine the fair value of its investments.</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Public Warrants issued in connection with the Public Offering and Private Placement Warrants were initially measured at fair value using a Monte Carlo simulation model. Subsequent to the separate listing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jc w:val="both"/>
        <w:spacing w:after="0" w:line="279" w:lineRule="auto"/>
        <w:rPr>
          <w:sz w:val="20"/>
          <w:szCs w:val="20"/>
          <w:color w:val="auto"/>
        </w:rPr>
      </w:pPr>
      <w:r>
        <w:rPr>
          <w:rFonts w:ascii="Arial" w:cs="Arial" w:eastAsia="Arial" w:hAnsi="Arial"/>
          <w:sz w:val="17"/>
          <w:szCs w:val="17"/>
          <w:color w:val="auto"/>
        </w:rPr>
        <w:t>trading of the Public Warrants the fair value of the Public Warrants has been measured based on the observable listed prices for such warrants, a Level 1 measurement, and the fair value of the Private Warrants are measured using a Black-Scholes Option Pricing Model. For the year ended December 31, 2021, the Company recognized a non-cash loss resulting from an increase in the fair value of liabilities of approximately $17.8 million presented as change in fair value of derivative warrant liabilities on the accompanying consolidated statements of operations.</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estimated fair value of the Private Placement Warrants and the Public Warrants prior to being separately listed and traded, was determined using Level 3 inputs. Inherent in a Monte Carlo simulation and the Black-Scholes Option Pricing Model are assumptions related to expected stock-price volatility, expected life, risk-free interest rate and dividend yield. The Company estimates the volatility of its ordinary share warrants based on implied volatility from the Company’s traded warrants and from historical volatility of select peer company’s ordinary shares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quantitative information regarding Level 3 fair value measurements inputs at their measurement dates for the warrants: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500" w:type="dxa"/>
            <w:vAlign w:val="bottom"/>
          </w:tcPr>
          <w:p>
            <w:pPr>
              <w:jc w:val="right"/>
              <w:ind w:right="695"/>
              <w:spacing w:after="0"/>
              <w:rPr>
                <w:sz w:val="20"/>
                <w:szCs w:val="20"/>
                <w:color w:val="auto"/>
              </w:rPr>
            </w:pPr>
            <w:r>
              <w:rPr>
                <w:rFonts w:ascii="Arial" w:cs="Arial" w:eastAsia="Arial" w:hAnsi="Arial"/>
                <w:sz w:val="14"/>
                <w:szCs w:val="14"/>
                <w:b w:val="1"/>
                <w:bCs w:val="1"/>
                <w:color w:val="auto"/>
              </w:rPr>
              <w:t>Initial</w:t>
            </w:r>
          </w:p>
        </w:tc>
      </w:tr>
      <w:tr>
        <w:trPr>
          <w:trHeight w:val="171"/>
        </w:trPr>
        <w:tc>
          <w:tcPr>
            <w:tcW w:w="76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Measurement</w:t>
            </w: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Exercise price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11.50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11.50</w:t>
            </w: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Stock price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95"/>
              <w:spacing w:after="0"/>
              <w:rPr>
                <w:sz w:val="20"/>
                <w:szCs w:val="20"/>
                <w:color w:val="auto"/>
              </w:rPr>
            </w:pPr>
            <w:r>
              <w:rPr>
                <w:rFonts w:ascii="Arial" w:cs="Arial" w:eastAsia="Arial" w:hAnsi="Arial"/>
                <w:sz w:val="18"/>
                <w:szCs w:val="18"/>
                <w:color w:val="auto"/>
              </w:rPr>
              <w:t>10.29</w:t>
            </w:r>
          </w:p>
        </w:tc>
        <w:tc>
          <w:tcPr>
            <w:tcW w:w="18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95"/>
              <w:spacing w:after="0"/>
              <w:rPr>
                <w:sz w:val="20"/>
                <w:szCs w:val="20"/>
                <w:color w:val="auto"/>
              </w:rPr>
            </w:pPr>
            <w:r>
              <w:rPr>
                <w:rFonts w:ascii="Arial" w:cs="Arial" w:eastAsia="Arial" w:hAnsi="Arial"/>
                <w:sz w:val="18"/>
                <w:szCs w:val="18"/>
                <w:color w:val="auto"/>
              </w:rPr>
              <w:t>9.75</w:t>
            </w: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Term (years)</w:t>
            </w:r>
          </w:p>
        </w:tc>
        <w:tc>
          <w:tcPr>
            <w:tcW w:w="220" w:type="dxa"/>
            <w:vAlign w:val="bottom"/>
          </w:tcPr>
          <w:p>
            <w:pPr>
              <w:spacing w:after="0"/>
              <w:rPr>
                <w:sz w:val="19"/>
                <w:szCs w:val="19"/>
                <w:color w:val="auto"/>
              </w:rPr>
            </w:pPr>
          </w:p>
        </w:tc>
        <w:tc>
          <w:tcPr>
            <w:tcW w:w="1500" w:type="dxa"/>
            <w:vAlign w:val="bottom"/>
          </w:tcPr>
          <w:p>
            <w:pPr>
              <w:jc w:val="right"/>
              <w:ind w:right="95"/>
              <w:spacing w:after="0"/>
              <w:rPr>
                <w:sz w:val="20"/>
                <w:szCs w:val="20"/>
                <w:color w:val="auto"/>
              </w:rPr>
            </w:pPr>
            <w:r>
              <w:rPr>
                <w:rFonts w:ascii="Arial" w:cs="Arial" w:eastAsia="Arial" w:hAnsi="Arial"/>
                <w:sz w:val="18"/>
                <w:szCs w:val="18"/>
                <w:color w:val="auto"/>
              </w:rPr>
              <w:t>5.16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95"/>
              <w:spacing w:after="0"/>
              <w:rPr>
                <w:sz w:val="20"/>
                <w:szCs w:val="20"/>
                <w:color w:val="auto"/>
              </w:rPr>
            </w:pPr>
            <w:r>
              <w:rPr>
                <w:rFonts w:ascii="Arial" w:cs="Arial" w:eastAsia="Arial" w:hAnsi="Arial"/>
                <w:sz w:val="18"/>
                <w:szCs w:val="18"/>
                <w:color w:val="auto"/>
              </w:rPr>
              <w:t>5.33</w:t>
            </w: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Risk-free rate</w:t>
            </w: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0.94%</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change in the fair value of the derivative liabilities utilizing Level 3 measurements for the year ended December 31, 2021, is summarized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liabilities as of January 1, 2021</w:t>
            </w: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9240" w:type="dxa"/>
            <w:vAlign w:val="bottom"/>
          </w:tcPr>
          <w:p>
            <w:pPr>
              <w:ind w:left="260"/>
              <w:spacing w:after="0"/>
              <w:rPr>
                <w:sz w:val="20"/>
                <w:szCs w:val="20"/>
                <w:color w:val="auto"/>
              </w:rPr>
            </w:pPr>
            <w:r>
              <w:rPr>
                <w:rFonts w:ascii="Arial" w:cs="Arial" w:eastAsia="Arial" w:hAnsi="Arial"/>
                <w:sz w:val="18"/>
                <w:szCs w:val="18"/>
                <w:color w:val="auto"/>
              </w:rPr>
              <w:t>Issuance of Public Warrants - Level 3</w:t>
            </w:r>
          </w:p>
        </w:tc>
        <w:tc>
          <w:tcPr>
            <w:tcW w:w="580" w:type="dxa"/>
            <w:vAlign w:val="bottom"/>
          </w:tcPr>
          <w:p>
            <w:pPr>
              <w:spacing w:after="0"/>
              <w:rPr>
                <w:sz w:val="19"/>
                <w:szCs w:val="19"/>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8,711,250</w:t>
            </w:r>
          </w:p>
        </w:tc>
      </w:tr>
      <w:tr>
        <w:trPr>
          <w:trHeight w:val="230"/>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Private Warrants - Level 3</w:t>
            </w:r>
          </w:p>
        </w:tc>
        <w:tc>
          <w:tcPr>
            <w:tcW w:w="5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4,494,500</w:t>
            </w:r>
          </w:p>
        </w:tc>
      </w:tr>
      <w:tr>
        <w:trPr>
          <w:trHeight w:val="229"/>
        </w:trPr>
        <w:tc>
          <w:tcPr>
            <w:tcW w:w="9240" w:type="dxa"/>
            <w:vAlign w:val="bottom"/>
          </w:tcPr>
          <w:p>
            <w:pPr>
              <w:ind w:left="260"/>
              <w:spacing w:after="0"/>
              <w:rPr>
                <w:sz w:val="20"/>
                <w:szCs w:val="20"/>
                <w:color w:val="auto"/>
              </w:rPr>
            </w:pPr>
            <w:r>
              <w:rPr>
                <w:rFonts w:ascii="Arial" w:cs="Arial" w:eastAsia="Arial" w:hAnsi="Arial"/>
                <w:sz w:val="18"/>
                <w:szCs w:val="18"/>
                <w:color w:val="auto"/>
              </w:rPr>
              <w:t>Change in fair value of derivative liabilities - Level 3</w:t>
            </w:r>
          </w:p>
        </w:tc>
        <w:tc>
          <w:tcPr>
            <w:tcW w:w="580" w:type="dxa"/>
            <w:vAlign w:val="bottom"/>
          </w:tcPr>
          <w:p>
            <w:pPr>
              <w:spacing w:after="0"/>
              <w:rPr>
                <w:sz w:val="19"/>
                <w:szCs w:val="19"/>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6,397,000</w:t>
            </w:r>
          </w:p>
        </w:tc>
      </w:tr>
      <w:tr>
        <w:trPr>
          <w:trHeight w:val="230"/>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Transfer of Public Warrants to Level 1 Measurement</w:t>
            </w:r>
          </w:p>
        </w:tc>
        <w:tc>
          <w:tcPr>
            <w:tcW w:w="5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(9,056,250)</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Derivative liabilities as of December 31, 2021 - Level 3</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10,546,500</w:t>
            </w:r>
          </w:p>
        </w:tc>
      </w:tr>
      <w:tr>
        <w:trPr>
          <w:trHeight w:val="20"/>
        </w:trPr>
        <w:tc>
          <w:tcPr>
            <w:tcW w:w="9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Subsequent Events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has evaluated subsequent events and transactions that occurred through the date the consolidated financial statements were issued. Other than disclosed above, the Company did not identify any subsequent events that would have required adjustment or disclosure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tbl>
      <w:tblPr>
        <w:tblLayout w:type="fixed"/>
        <w:tblInd w:w="6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40" w:type="dxa"/>
            <w:vAlign w:val="bottom"/>
            <w:gridSpan w:val="25"/>
          </w:tcPr>
          <w:p>
            <w:pPr>
              <w:ind w:left="2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92"/>
        </w:trPr>
        <w:tc>
          <w:tcPr>
            <w:tcW w:w="148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18"/>
          </w:tcPr>
          <w:p>
            <w:pPr>
              <w:ind w:left="2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tcPr>
          <w:p>
            <w:pPr>
              <w:spacing w:after="0" w:line="142" w:lineRule="exact"/>
              <w:rPr>
                <w:sz w:val="20"/>
                <w:szCs w:val="20"/>
                <w:color w:val="auto"/>
              </w:rPr>
            </w:pPr>
            <w:r>
              <w:rPr>
                <w:rFonts w:ascii="Arial" w:cs="Arial" w:eastAsia="Arial" w:hAnsi="Arial"/>
                <w:sz w:val="16"/>
                <w:szCs w:val="16"/>
                <w:color w:val="auto"/>
              </w:rPr>
              <w:t>1.1</w:t>
            </w:r>
          </w:p>
        </w:tc>
        <w:tc>
          <w:tcPr>
            <w:tcW w:w="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40" w:type="dxa"/>
            <w:vAlign w:val="bottom"/>
            <w:gridSpan w:val="9"/>
          </w:tcPr>
          <w:p>
            <w:pPr>
              <w:spacing w:after="0" w:line="142" w:lineRule="exact"/>
              <w:rPr>
                <w:rFonts w:ascii="Arial" w:cs="Arial" w:eastAsia="Arial" w:hAnsi="Arial"/>
                <w:sz w:val="16"/>
                <w:szCs w:val="16"/>
                <w:color w:val="0000EE"/>
              </w:rPr>
            </w:pPr>
            <w:hyperlink r:id="rId85">
              <w:r>
                <w:rPr>
                  <w:rFonts w:ascii="Arial" w:cs="Arial" w:eastAsia="Arial" w:hAnsi="Arial"/>
                  <w:sz w:val="16"/>
                  <w:szCs w:val="16"/>
                  <w:color w:val="0000EE"/>
                </w:rPr>
                <w:t>Underwriting Agreement.</w:t>
              </w:r>
            </w:hyperlink>
          </w:p>
        </w:tc>
        <w:tc>
          <w:tcPr>
            <w:tcW w:w="220" w:type="dxa"/>
            <w:vAlign w:val="bottom"/>
            <w:tcBorders>
              <w:bottom w:val="single" w:sz="8" w:color="0000EE"/>
            </w:tcBorders>
            <w:gridSpan w:val="4"/>
          </w:tcPr>
          <w:p>
            <w:pPr>
              <w:jc w:val="right"/>
              <w:spacing w:after="0" w:line="129" w:lineRule="exact"/>
              <w:rPr>
                <w:rFonts w:ascii="Arial" w:cs="Arial" w:eastAsia="Arial" w:hAnsi="Arial"/>
                <w:sz w:val="14"/>
                <w:szCs w:val="14"/>
                <w:color w:val="0000EE"/>
              </w:rPr>
            </w:pPr>
            <w:hyperlink r:id="rId85">
              <w:r>
                <w:rPr>
                  <w:rFonts w:ascii="Arial" w:cs="Arial" w:eastAsia="Arial" w:hAnsi="Arial"/>
                  <w:sz w:val="14"/>
                  <w:szCs w:val="14"/>
                  <w:color w:val="0000EE"/>
                </w:rPr>
                <w:t>(1)</w:t>
              </w:r>
            </w:hyperlink>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Pr>
          <w:p>
            <w:pPr>
              <w:spacing w:after="0" w:line="183" w:lineRule="exact"/>
              <w:rPr>
                <w:sz w:val="20"/>
                <w:szCs w:val="20"/>
                <w:color w:val="auto"/>
              </w:rPr>
            </w:pPr>
            <w:r>
              <w:rPr>
                <w:rFonts w:ascii="Arial" w:cs="Arial" w:eastAsia="Arial" w:hAnsi="Arial"/>
                <w:sz w:val="18"/>
                <w:szCs w:val="18"/>
                <w:color w:val="auto"/>
              </w:rPr>
              <w:t>2.1</w:t>
            </w:r>
          </w:p>
        </w:tc>
        <w:tc>
          <w:tcPr>
            <w:tcW w:w="60" w:type="dxa"/>
            <w:vAlign w:val="bottom"/>
          </w:tcPr>
          <w:p>
            <w:pPr>
              <w:spacing w:after="0"/>
              <w:rPr>
                <w:sz w:val="15"/>
                <w:szCs w:val="15"/>
                <w:color w:val="auto"/>
              </w:rPr>
            </w:pPr>
          </w:p>
        </w:tc>
        <w:tc>
          <w:tcPr>
            <w:tcW w:w="9600" w:type="dxa"/>
            <w:vAlign w:val="bottom"/>
            <w:gridSpan w:val="46"/>
          </w:tcPr>
          <w:p>
            <w:pPr>
              <w:spacing w:after="0" w:line="183" w:lineRule="exact"/>
              <w:rPr>
                <w:rFonts w:ascii="Arial" w:cs="Arial" w:eastAsia="Arial" w:hAnsi="Arial"/>
                <w:sz w:val="18"/>
                <w:szCs w:val="18"/>
                <w:color w:val="0000EE"/>
                <w:w w:val="95"/>
              </w:rPr>
            </w:pPr>
            <w:hyperlink r:id="rId86">
              <w:r>
                <w:rPr>
                  <w:rFonts w:ascii="Arial" w:cs="Arial" w:eastAsia="Arial" w:hAnsi="Arial"/>
                  <w:sz w:val="18"/>
                  <w:szCs w:val="18"/>
                  <w:color w:val="0000EE"/>
                  <w:w w:val="95"/>
                </w:rPr>
                <w:t>Agreement and Plan of Merger, dated as of October 6, 2021, by and among Supernova Partners Acquisition Company II, Ltd.,</w:t>
              </w:r>
            </w:hyperlink>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740" w:type="dxa"/>
            <w:vAlign w:val="bottom"/>
            <w:tcBorders>
              <w:top w:val="single" w:sz="8" w:color="0000EE"/>
            </w:tcBorders>
            <w:gridSpan w:val="37"/>
          </w:tcPr>
          <w:p>
            <w:pPr>
              <w:spacing w:after="0" w:line="169"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Supernova Merger Sub, Inc., Supernova Romeo Merger Sub, LLC and Rigetti Holdings, Inc.</w:t>
              </w:r>
            </w:hyperlink>
          </w:p>
        </w:tc>
        <w:tc>
          <w:tcPr>
            <w:tcW w:w="180" w:type="dxa"/>
            <w:vAlign w:val="bottom"/>
            <w:tcBorders>
              <w:top w:val="single" w:sz="8" w:color="0000EE"/>
              <w:bottom w:val="single" w:sz="8" w:color="0000EE"/>
            </w:tcBorders>
            <w:gridSpan w:val="2"/>
          </w:tcPr>
          <w:p>
            <w:pPr>
              <w:jc w:val="right"/>
              <w:spacing w:after="0" w:line="156" w:lineRule="exact"/>
              <w:rPr>
                <w:rFonts w:ascii="Arial" w:cs="Arial" w:eastAsia="Arial" w:hAnsi="Arial"/>
                <w:sz w:val="15"/>
                <w:szCs w:val="15"/>
                <w:color w:val="0000EE"/>
                <w:w w:val="87"/>
              </w:rPr>
            </w:pPr>
            <w:hyperlink r:id="rId86">
              <w:r>
                <w:rPr>
                  <w:rFonts w:ascii="Arial" w:cs="Arial" w:eastAsia="Arial" w:hAnsi="Arial"/>
                  <w:sz w:val="15"/>
                  <w:szCs w:val="15"/>
                  <w:color w:val="0000EE"/>
                  <w:w w:val="87"/>
                </w:rPr>
                <w:t>(3)</w:t>
              </w:r>
            </w:hyperlink>
          </w:p>
        </w:tc>
        <w:tc>
          <w:tcPr>
            <w:tcW w:w="11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8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6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76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Pr>
          <w:p>
            <w:pPr>
              <w:spacing w:after="0" w:line="183" w:lineRule="exact"/>
              <w:rPr>
                <w:sz w:val="20"/>
                <w:szCs w:val="20"/>
                <w:color w:val="auto"/>
              </w:rPr>
            </w:pPr>
            <w:r>
              <w:rPr>
                <w:rFonts w:ascii="Arial" w:cs="Arial" w:eastAsia="Arial" w:hAnsi="Arial"/>
                <w:sz w:val="18"/>
                <w:szCs w:val="18"/>
                <w:color w:val="auto"/>
              </w:rPr>
              <w:t>2.2</w:t>
            </w:r>
          </w:p>
        </w:tc>
        <w:tc>
          <w:tcPr>
            <w:tcW w:w="60" w:type="dxa"/>
            <w:vAlign w:val="bottom"/>
          </w:tcPr>
          <w:p>
            <w:pPr>
              <w:spacing w:after="0"/>
              <w:rPr>
                <w:sz w:val="15"/>
                <w:szCs w:val="15"/>
                <w:color w:val="auto"/>
              </w:rPr>
            </w:pPr>
          </w:p>
        </w:tc>
        <w:tc>
          <w:tcPr>
            <w:tcW w:w="9600" w:type="dxa"/>
            <w:vAlign w:val="bottom"/>
            <w:gridSpan w:val="46"/>
          </w:tcPr>
          <w:p>
            <w:pPr>
              <w:spacing w:after="0" w:line="183"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First Amendment to Agreement and Plan of Merger, dated as of December 23, 2021, by and among Supernova Partners Acquisition</w:t>
              </w:r>
            </w:hyperlink>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80" w:type="dxa"/>
            <w:vAlign w:val="bottom"/>
            <w:tcBorders>
              <w:top w:val="single" w:sz="8" w:color="0000EE"/>
              <w:bottom w:val="single" w:sz="8" w:color="0000EE"/>
            </w:tcBorders>
            <w:gridSpan w:val="40"/>
          </w:tcPr>
          <w:p>
            <w:pPr>
              <w:spacing w:after="0" w:line="169"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Company II, Ltd., Supernova Merger Sub, Inc., Supernova Romeo Merger Sub, LLC and Rigetti Holdings, Inc.</w:t>
              </w:r>
            </w:hyperlink>
          </w:p>
        </w:tc>
        <w:tc>
          <w:tcPr>
            <w:tcW w:w="180" w:type="dxa"/>
            <w:vAlign w:val="bottom"/>
            <w:tcBorders>
              <w:top w:val="single" w:sz="8" w:color="0000EE"/>
              <w:bottom w:val="single" w:sz="8" w:color="0000EE"/>
            </w:tcBorders>
            <w:gridSpan w:val="2"/>
          </w:tcPr>
          <w:p>
            <w:pPr>
              <w:jc w:val="right"/>
              <w:spacing w:after="0" w:line="156" w:lineRule="exact"/>
              <w:rPr>
                <w:rFonts w:ascii="Arial" w:cs="Arial" w:eastAsia="Arial" w:hAnsi="Arial"/>
                <w:sz w:val="15"/>
                <w:szCs w:val="15"/>
                <w:color w:val="0000EE"/>
                <w:w w:val="87"/>
              </w:rPr>
            </w:pPr>
            <w:hyperlink r:id="rId87">
              <w:r>
                <w:rPr>
                  <w:rFonts w:ascii="Arial" w:cs="Arial" w:eastAsia="Arial" w:hAnsi="Arial"/>
                  <w:sz w:val="15"/>
                  <w:szCs w:val="15"/>
                  <w:color w:val="0000EE"/>
                  <w:w w:val="87"/>
                </w:rPr>
                <w:t>(4)</w:t>
              </w:r>
            </w:hyperlink>
          </w:p>
        </w:tc>
        <w:tc>
          <w:tcPr>
            <w:tcW w:w="280" w:type="dxa"/>
            <w:vAlign w:val="bottom"/>
            <w:tcBorders>
              <w:top w:val="single" w:sz="8" w:color="0000EE"/>
              <w:bottom w:val="single" w:sz="8" w:color="0000EE"/>
            </w:tcBorders>
          </w:tcPr>
          <w:p>
            <w:pPr>
              <w:spacing w:after="0"/>
              <w:rPr>
                <w:sz w:val="14"/>
                <w:szCs w:val="14"/>
                <w:color w:val="auto"/>
              </w:rPr>
            </w:pPr>
          </w:p>
        </w:tc>
        <w:tc>
          <w:tcPr>
            <w:tcW w:w="180" w:type="dxa"/>
            <w:vAlign w:val="bottom"/>
            <w:tcBorders>
              <w:top w:val="single" w:sz="8" w:color="0000EE"/>
              <w:bottom w:val="single" w:sz="8" w:color="0000EE"/>
            </w:tcBorders>
          </w:tcPr>
          <w:p>
            <w:pPr>
              <w:spacing w:after="0"/>
              <w:rPr>
                <w:sz w:val="14"/>
                <w:szCs w:val="14"/>
                <w:color w:val="auto"/>
              </w:rPr>
            </w:pPr>
          </w:p>
        </w:tc>
        <w:tc>
          <w:tcPr>
            <w:tcW w:w="860" w:type="dxa"/>
            <w:vAlign w:val="bottom"/>
            <w:tcBorders>
              <w:top w:val="single" w:sz="8" w:color="0000EE"/>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gridSpan w:val="3"/>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gridSpan w:val="2"/>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6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76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gridSpan w:val="2"/>
          </w:tcPr>
          <w:p>
            <w:pPr>
              <w:spacing w:after="0" w:line="20" w:lineRule="exact"/>
              <w:rPr>
                <w:sz w:val="1"/>
                <w:szCs w:val="1"/>
                <w:color w:val="auto"/>
              </w:rPr>
            </w:pPr>
          </w:p>
        </w:tc>
        <w:tc>
          <w:tcPr>
            <w:tcW w:w="1320" w:type="dxa"/>
            <w:vAlign w:val="bottom"/>
            <w:tcBorders>
              <w:bottom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Pr>
          <w:p>
            <w:pPr>
              <w:spacing w:after="0" w:line="183" w:lineRule="exact"/>
              <w:rPr>
                <w:sz w:val="20"/>
                <w:szCs w:val="20"/>
                <w:color w:val="auto"/>
              </w:rPr>
            </w:pPr>
            <w:r>
              <w:rPr>
                <w:rFonts w:ascii="Arial" w:cs="Arial" w:eastAsia="Arial" w:hAnsi="Arial"/>
                <w:sz w:val="18"/>
                <w:szCs w:val="18"/>
                <w:color w:val="auto"/>
              </w:rPr>
              <w:t>2.3</w:t>
            </w:r>
          </w:p>
        </w:tc>
        <w:tc>
          <w:tcPr>
            <w:tcW w:w="60" w:type="dxa"/>
            <w:vAlign w:val="bottom"/>
          </w:tcPr>
          <w:p>
            <w:pPr>
              <w:spacing w:after="0"/>
              <w:rPr>
                <w:sz w:val="15"/>
                <w:szCs w:val="15"/>
                <w:color w:val="auto"/>
              </w:rPr>
            </w:pPr>
          </w:p>
        </w:tc>
        <w:tc>
          <w:tcPr>
            <w:tcW w:w="9600" w:type="dxa"/>
            <w:vAlign w:val="bottom"/>
            <w:tcBorders>
              <w:bottom w:val="single" w:sz="8" w:color="0000EE"/>
            </w:tcBorders>
            <w:gridSpan w:val="46"/>
          </w:tcPr>
          <w:p>
            <w:pPr>
              <w:spacing w:after="0" w:line="183"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Second Amendment to Agreement and Plan of Merger, dated as of January 10, 2022, by and among Supernova Partners Acquisition</w:t>
              </w:r>
            </w:hyperlink>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80" w:type="dxa"/>
            <w:vAlign w:val="bottom"/>
            <w:gridSpan w:val="40"/>
          </w:tcPr>
          <w:p>
            <w:pPr>
              <w:spacing w:after="0" w:line="169"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Company II, Ltd., Supernova Merger Sub, Inc., Supernova Romeo Merger Sub, LLC and Rigetti Holdings, Inc.</w:t>
              </w:r>
            </w:hyperlink>
          </w:p>
        </w:tc>
        <w:tc>
          <w:tcPr>
            <w:tcW w:w="180" w:type="dxa"/>
            <w:vAlign w:val="bottom"/>
            <w:tcBorders>
              <w:bottom w:val="single" w:sz="8" w:color="0000EE"/>
            </w:tcBorders>
            <w:gridSpan w:val="2"/>
          </w:tcPr>
          <w:p>
            <w:pPr>
              <w:jc w:val="right"/>
              <w:spacing w:after="0" w:line="156" w:lineRule="exact"/>
              <w:rPr>
                <w:rFonts w:ascii="Arial" w:cs="Arial" w:eastAsia="Arial" w:hAnsi="Arial"/>
                <w:sz w:val="15"/>
                <w:szCs w:val="15"/>
                <w:color w:val="0000EE"/>
                <w:w w:val="87"/>
              </w:rPr>
            </w:pPr>
            <w:hyperlink r:id="rId88">
              <w:r>
                <w:rPr>
                  <w:rFonts w:ascii="Arial" w:cs="Arial" w:eastAsia="Arial" w:hAnsi="Arial"/>
                  <w:sz w:val="15"/>
                  <w:szCs w:val="15"/>
                  <w:color w:val="0000EE"/>
                  <w:w w:val="87"/>
                </w:rPr>
                <w:t>(5)</w:t>
              </w:r>
            </w:hyperlink>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gridSpan w:val="3"/>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gridSpan w:val="2"/>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6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76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gridSpan w:val="2"/>
          </w:tcPr>
          <w:p>
            <w:pPr>
              <w:spacing w:after="0" w:line="20" w:lineRule="exact"/>
              <w:rPr>
                <w:sz w:val="1"/>
                <w:szCs w:val="1"/>
                <w:color w:val="auto"/>
              </w:rPr>
            </w:pPr>
          </w:p>
        </w:tc>
        <w:tc>
          <w:tcPr>
            <w:tcW w:w="1320" w:type="dxa"/>
            <w:vAlign w:val="bottom"/>
            <w:tcBorders>
              <w:bottom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80" w:type="dxa"/>
            <w:vAlign w:val="bottom"/>
          </w:tcPr>
          <w:p>
            <w:pPr>
              <w:spacing w:after="0" w:line="156" w:lineRule="exact"/>
              <w:rPr>
                <w:sz w:val="20"/>
                <w:szCs w:val="20"/>
                <w:color w:val="auto"/>
              </w:rPr>
            </w:pPr>
            <w:r>
              <w:rPr>
                <w:rFonts w:ascii="Arial" w:cs="Arial" w:eastAsia="Arial" w:hAnsi="Arial"/>
                <w:sz w:val="18"/>
                <w:szCs w:val="18"/>
                <w:color w:val="auto"/>
              </w:rPr>
              <w:t>3.1</w:t>
            </w:r>
          </w:p>
        </w:tc>
        <w:tc>
          <w:tcPr>
            <w:tcW w:w="60" w:type="dxa"/>
            <w:vAlign w:val="bottom"/>
          </w:tcPr>
          <w:p>
            <w:pPr>
              <w:spacing w:after="0"/>
              <w:rPr>
                <w:sz w:val="13"/>
                <w:szCs w:val="13"/>
                <w:color w:val="auto"/>
              </w:rPr>
            </w:pPr>
          </w:p>
        </w:tc>
        <w:tc>
          <w:tcPr>
            <w:tcW w:w="4820" w:type="dxa"/>
            <w:vAlign w:val="bottom"/>
            <w:gridSpan w:val="29"/>
          </w:tcPr>
          <w:p>
            <w:pPr>
              <w:spacing w:after="0" w:line="15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Amended and Restated Memorandum and Articles of Association.</w:t>
              </w:r>
            </w:hyperlink>
          </w:p>
        </w:tc>
        <w:tc>
          <w:tcPr>
            <w:tcW w:w="180" w:type="dxa"/>
            <w:vAlign w:val="bottom"/>
            <w:tcBorders>
              <w:bottom w:val="single" w:sz="8" w:color="0000EE"/>
            </w:tcBorders>
          </w:tcPr>
          <w:p>
            <w:pPr>
              <w:jc w:val="right"/>
              <w:spacing w:after="0" w:line="156" w:lineRule="exact"/>
              <w:rPr>
                <w:rFonts w:ascii="Arial" w:cs="Arial" w:eastAsia="Arial" w:hAnsi="Arial"/>
                <w:sz w:val="15"/>
                <w:szCs w:val="15"/>
                <w:color w:val="0000EE"/>
                <w:w w:val="87"/>
              </w:rPr>
            </w:pPr>
            <w:hyperlink r:id="rId89">
              <w:r>
                <w:rPr>
                  <w:rFonts w:ascii="Arial" w:cs="Arial" w:eastAsia="Arial" w:hAnsi="Arial"/>
                  <w:sz w:val="15"/>
                  <w:szCs w:val="15"/>
                  <w:color w:val="0000EE"/>
                  <w:w w:val="87"/>
                </w:rPr>
                <w:t>(1)</w:t>
              </w:r>
            </w:hyperlink>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0" w:type="dxa"/>
            <w:vAlign w:val="bottom"/>
            <w:gridSpan w:val="3"/>
          </w:tcPr>
          <w:p>
            <w:pPr>
              <w:spacing w:after="0"/>
              <w:rPr>
                <w:sz w:val="13"/>
                <w:szCs w:val="13"/>
                <w:color w:val="auto"/>
              </w:rPr>
            </w:pPr>
          </w:p>
        </w:tc>
        <w:tc>
          <w:tcPr>
            <w:tcW w:w="38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6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80" w:type="dxa"/>
            <w:vAlign w:val="bottom"/>
          </w:tcPr>
          <w:p>
            <w:pPr>
              <w:spacing w:after="0" w:line="156" w:lineRule="exact"/>
              <w:rPr>
                <w:sz w:val="20"/>
                <w:szCs w:val="20"/>
                <w:color w:val="auto"/>
              </w:rPr>
            </w:pPr>
            <w:r>
              <w:rPr>
                <w:rFonts w:ascii="Arial" w:cs="Arial" w:eastAsia="Arial" w:hAnsi="Arial"/>
                <w:sz w:val="18"/>
                <w:szCs w:val="18"/>
                <w:color w:val="auto"/>
              </w:rPr>
              <w:t>4.1</w:t>
            </w:r>
          </w:p>
        </w:tc>
        <w:tc>
          <w:tcPr>
            <w:tcW w:w="60" w:type="dxa"/>
            <w:vAlign w:val="bottom"/>
          </w:tcPr>
          <w:p>
            <w:pPr>
              <w:spacing w:after="0"/>
              <w:rPr>
                <w:sz w:val="13"/>
                <w:szCs w:val="13"/>
                <w:color w:val="auto"/>
              </w:rPr>
            </w:pPr>
          </w:p>
        </w:tc>
        <w:tc>
          <w:tcPr>
            <w:tcW w:w="1920" w:type="dxa"/>
            <w:vAlign w:val="bottom"/>
            <w:gridSpan w:val="12"/>
          </w:tcPr>
          <w:p>
            <w:pPr>
              <w:spacing w:after="0" w:line="15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Specimen Unit Certificate.</w:t>
              </w:r>
            </w:hyperlink>
          </w:p>
        </w:tc>
        <w:tc>
          <w:tcPr>
            <w:tcW w:w="220" w:type="dxa"/>
            <w:vAlign w:val="bottom"/>
            <w:tcBorders>
              <w:bottom w:val="single" w:sz="8" w:color="0000EE"/>
            </w:tcBorders>
            <w:gridSpan w:val="3"/>
          </w:tcPr>
          <w:p>
            <w:pPr>
              <w:jc w:val="right"/>
              <w:spacing w:after="0" w:line="156" w:lineRule="exact"/>
              <w:rPr>
                <w:rFonts w:ascii="Arial" w:cs="Arial" w:eastAsia="Arial" w:hAnsi="Arial"/>
                <w:sz w:val="15"/>
                <w:szCs w:val="15"/>
                <w:color w:val="0000EE"/>
              </w:rPr>
            </w:pPr>
            <w:hyperlink r:id="rId90">
              <w:r>
                <w:rPr>
                  <w:rFonts w:ascii="Arial" w:cs="Arial" w:eastAsia="Arial" w:hAnsi="Arial"/>
                  <w:sz w:val="15"/>
                  <w:szCs w:val="15"/>
                  <w:color w:val="0000EE"/>
                </w:rPr>
                <w:t>(2)</w:t>
              </w:r>
            </w:hyperlink>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0" w:type="dxa"/>
            <w:vAlign w:val="bottom"/>
            <w:gridSpan w:val="3"/>
          </w:tcPr>
          <w:p>
            <w:pPr>
              <w:spacing w:after="0"/>
              <w:rPr>
                <w:sz w:val="13"/>
                <w:szCs w:val="13"/>
                <w:color w:val="auto"/>
              </w:rPr>
            </w:pPr>
          </w:p>
        </w:tc>
        <w:tc>
          <w:tcPr>
            <w:tcW w:w="38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gridSpan w:val="3"/>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80" w:type="dxa"/>
            <w:vAlign w:val="bottom"/>
          </w:tcPr>
          <w:p>
            <w:pPr>
              <w:spacing w:after="0" w:line="156" w:lineRule="exact"/>
              <w:rPr>
                <w:sz w:val="20"/>
                <w:szCs w:val="20"/>
                <w:color w:val="auto"/>
              </w:rPr>
            </w:pPr>
            <w:r>
              <w:rPr>
                <w:rFonts w:ascii="Arial" w:cs="Arial" w:eastAsia="Arial" w:hAnsi="Arial"/>
                <w:sz w:val="18"/>
                <w:szCs w:val="18"/>
                <w:color w:val="auto"/>
              </w:rPr>
              <w:t>4.2</w:t>
            </w:r>
          </w:p>
        </w:tc>
        <w:tc>
          <w:tcPr>
            <w:tcW w:w="60" w:type="dxa"/>
            <w:vAlign w:val="bottom"/>
          </w:tcPr>
          <w:p>
            <w:pPr>
              <w:spacing w:after="0"/>
              <w:rPr>
                <w:sz w:val="13"/>
                <w:szCs w:val="13"/>
                <w:color w:val="auto"/>
              </w:rPr>
            </w:pPr>
          </w:p>
        </w:tc>
        <w:tc>
          <w:tcPr>
            <w:tcW w:w="3360" w:type="dxa"/>
            <w:vAlign w:val="bottom"/>
            <w:gridSpan w:val="22"/>
          </w:tcPr>
          <w:p>
            <w:pPr>
              <w:spacing w:after="0" w:line="15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Specimen Class A Ordinary Share Certificate.</w:t>
              </w:r>
            </w:hyperlink>
          </w:p>
        </w:tc>
        <w:tc>
          <w:tcPr>
            <w:tcW w:w="180" w:type="dxa"/>
            <w:vAlign w:val="bottom"/>
            <w:tcBorders>
              <w:bottom w:val="single" w:sz="8" w:color="0000EE"/>
            </w:tcBorders>
          </w:tcPr>
          <w:p>
            <w:pPr>
              <w:jc w:val="right"/>
              <w:spacing w:after="0" w:line="156" w:lineRule="exact"/>
              <w:rPr>
                <w:rFonts w:ascii="Arial" w:cs="Arial" w:eastAsia="Arial" w:hAnsi="Arial"/>
                <w:sz w:val="15"/>
                <w:szCs w:val="15"/>
                <w:color w:val="0000EE"/>
                <w:w w:val="87"/>
              </w:rPr>
            </w:pPr>
            <w:hyperlink r:id="rId91">
              <w:r>
                <w:rPr>
                  <w:rFonts w:ascii="Arial" w:cs="Arial" w:eastAsia="Arial" w:hAnsi="Arial"/>
                  <w:sz w:val="15"/>
                  <w:szCs w:val="15"/>
                  <w:color w:val="0000EE"/>
                  <w:w w:val="87"/>
                </w:rPr>
                <w:t>(2)</w:t>
              </w:r>
            </w:hyperlink>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0" w:type="dxa"/>
            <w:vAlign w:val="bottom"/>
            <w:gridSpan w:val="3"/>
          </w:tcPr>
          <w:p>
            <w:pPr>
              <w:spacing w:after="0"/>
              <w:rPr>
                <w:sz w:val="13"/>
                <w:szCs w:val="13"/>
                <w:color w:val="auto"/>
              </w:rPr>
            </w:pPr>
          </w:p>
        </w:tc>
        <w:tc>
          <w:tcPr>
            <w:tcW w:w="38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500" w:type="dxa"/>
            <w:vAlign w:val="bottom"/>
            <w:tcBorders>
              <w:bottom w:val="single" w:sz="8" w:color="0000EE"/>
            </w:tcBorders>
            <w:gridSpan w:val="7"/>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80" w:type="dxa"/>
            <w:vAlign w:val="bottom"/>
          </w:tcPr>
          <w:p>
            <w:pPr>
              <w:spacing w:after="0" w:line="156" w:lineRule="exact"/>
              <w:rPr>
                <w:sz w:val="20"/>
                <w:szCs w:val="20"/>
                <w:color w:val="auto"/>
              </w:rPr>
            </w:pPr>
            <w:r>
              <w:rPr>
                <w:rFonts w:ascii="Arial" w:cs="Arial" w:eastAsia="Arial" w:hAnsi="Arial"/>
                <w:sz w:val="18"/>
                <w:szCs w:val="18"/>
                <w:color w:val="auto"/>
              </w:rPr>
              <w:t>4.3</w:t>
            </w:r>
          </w:p>
        </w:tc>
        <w:tc>
          <w:tcPr>
            <w:tcW w:w="60" w:type="dxa"/>
            <w:vAlign w:val="bottom"/>
          </w:tcPr>
          <w:p>
            <w:pPr>
              <w:spacing w:after="0"/>
              <w:rPr>
                <w:sz w:val="13"/>
                <w:szCs w:val="13"/>
                <w:color w:val="auto"/>
              </w:rPr>
            </w:pPr>
          </w:p>
        </w:tc>
        <w:tc>
          <w:tcPr>
            <w:tcW w:w="2220" w:type="dxa"/>
            <w:vAlign w:val="bottom"/>
            <w:gridSpan w:val="16"/>
          </w:tcPr>
          <w:p>
            <w:pPr>
              <w:spacing w:after="0" w:line="15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Specimen Warrant Certificate.</w:t>
              </w:r>
            </w:hyperlink>
          </w:p>
        </w:tc>
        <w:tc>
          <w:tcPr>
            <w:tcW w:w="180" w:type="dxa"/>
            <w:vAlign w:val="bottom"/>
            <w:tcBorders>
              <w:bottom w:val="single" w:sz="8" w:color="0000EE"/>
            </w:tcBorders>
          </w:tcPr>
          <w:p>
            <w:pPr>
              <w:jc w:val="right"/>
              <w:spacing w:after="0" w:line="156" w:lineRule="exact"/>
              <w:rPr>
                <w:rFonts w:ascii="Arial" w:cs="Arial" w:eastAsia="Arial" w:hAnsi="Arial"/>
                <w:sz w:val="15"/>
                <w:szCs w:val="15"/>
                <w:color w:val="0000EE"/>
                <w:w w:val="87"/>
              </w:rPr>
            </w:pPr>
            <w:hyperlink r:id="rId92">
              <w:r>
                <w:rPr>
                  <w:rFonts w:ascii="Arial" w:cs="Arial" w:eastAsia="Arial" w:hAnsi="Arial"/>
                  <w:sz w:val="15"/>
                  <w:szCs w:val="15"/>
                  <w:color w:val="0000EE"/>
                  <w:w w:val="87"/>
                </w:rPr>
                <w:t>(2)</w:t>
              </w:r>
            </w:hyperlink>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0" w:type="dxa"/>
            <w:vAlign w:val="bottom"/>
            <w:gridSpan w:val="3"/>
          </w:tcPr>
          <w:p>
            <w:pPr>
              <w:spacing w:after="0"/>
              <w:rPr>
                <w:sz w:val="13"/>
                <w:szCs w:val="13"/>
                <w:color w:val="auto"/>
              </w:rPr>
            </w:pPr>
          </w:p>
        </w:tc>
        <w:tc>
          <w:tcPr>
            <w:tcW w:w="38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Pr>
          <w:p>
            <w:pPr>
              <w:spacing w:after="0" w:line="183" w:lineRule="exact"/>
              <w:rPr>
                <w:sz w:val="20"/>
                <w:szCs w:val="20"/>
                <w:color w:val="auto"/>
              </w:rPr>
            </w:pPr>
            <w:r>
              <w:rPr>
                <w:rFonts w:ascii="Arial" w:cs="Arial" w:eastAsia="Arial" w:hAnsi="Arial"/>
                <w:sz w:val="18"/>
                <w:szCs w:val="18"/>
                <w:color w:val="auto"/>
              </w:rPr>
              <w:t>4.4</w:t>
            </w:r>
          </w:p>
        </w:tc>
        <w:tc>
          <w:tcPr>
            <w:tcW w:w="60" w:type="dxa"/>
            <w:vAlign w:val="bottom"/>
          </w:tcPr>
          <w:p>
            <w:pPr>
              <w:spacing w:after="0"/>
              <w:rPr>
                <w:sz w:val="15"/>
                <w:szCs w:val="15"/>
                <w:color w:val="auto"/>
              </w:rPr>
            </w:pPr>
          </w:p>
        </w:tc>
        <w:tc>
          <w:tcPr>
            <w:tcW w:w="9600" w:type="dxa"/>
            <w:vAlign w:val="bottom"/>
            <w:tcBorders>
              <w:bottom w:val="single" w:sz="8" w:color="0000EE"/>
            </w:tcBorders>
            <w:gridSpan w:val="46"/>
          </w:tcPr>
          <w:p>
            <w:pPr>
              <w:spacing w:after="0" w:line="183"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Warrant Agreement, dated March 1, 2021, between the Company and American Stock Transfer &amp; Trust Company, as warrant agent.</w:t>
              </w:r>
            </w:hyperlink>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8"/>
                <w:szCs w:val="18"/>
                <w:color w:val="auto"/>
              </w:rPr>
              <w:t>4.5</w:t>
            </w:r>
          </w:p>
        </w:tc>
        <w:tc>
          <w:tcPr>
            <w:tcW w:w="240" w:type="dxa"/>
            <w:vAlign w:val="bottom"/>
            <w:gridSpan w:val="3"/>
          </w:tcPr>
          <w:p>
            <w:pPr>
              <w:ind w:left="60"/>
              <w:spacing w:after="0" w:line="169" w:lineRule="exact"/>
              <w:rPr>
                <w:sz w:val="20"/>
                <w:szCs w:val="20"/>
                <w:color w:val="auto"/>
              </w:rPr>
            </w:pPr>
            <w:r>
              <w:rPr>
                <w:rFonts w:ascii="Arial" w:cs="Arial" w:eastAsia="Arial" w:hAnsi="Arial"/>
                <w:sz w:val="15"/>
                <w:szCs w:val="15"/>
                <w:color w:val="0000EE"/>
                <w:w w:val="87"/>
              </w:rPr>
              <w:t>(1)</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0000EE"/>
            </w:tcBorders>
            <w:gridSpan w:val="2"/>
          </w:tcPr>
          <w:p>
            <w:pPr>
              <w:spacing w:after="0"/>
              <w:rPr>
                <w:sz w:val="15"/>
                <w:szCs w:val="15"/>
                <w:color w:val="auto"/>
              </w:rPr>
            </w:pPr>
          </w:p>
        </w:tc>
        <w:tc>
          <w:tcPr>
            <w:tcW w:w="9420" w:type="dxa"/>
            <w:vAlign w:val="bottom"/>
            <w:gridSpan w:val="44"/>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Description of registered securities.</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gridSpan w:val="9"/>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80" w:type="dxa"/>
            <w:vAlign w:val="bottom"/>
          </w:tcPr>
          <w:p>
            <w:pPr>
              <w:spacing w:after="0" w:line="169" w:lineRule="exact"/>
              <w:rPr>
                <w:sz w:val="20"/>
                <w:szCs w:val="20"/>
                <w:color w:val="auto"/>
              </w:rPr>
            </w:pPr>
            <w:r>
              <w:rPr>
                <w:rFonts w:ascii="Arial" w:cs="Arial" w:eastAsia="Arial" w:hAnsi="Arial"/>
                <w:sz w:val="18"/>
                <w:szCs w:val="18"/>
                <w:color w:val="auto"/>
              </w:rPr>
              <w:t>10.1</w:t>
            </w:r>
          </w:p>
        </w:tc>
        <w:tc>
          <w:tcPr>
            <w:tcW w:w="60" w:type="dxa"/>
            <w:vAlign w:val="bottom"/>
          </w:tcPr>
          <w:p>
            <w:pPr>
              <w:spacing w:after="0"/>
              <w:rPr>
                <w:sz w:val="14"/>
                <w:szCs w:val="14"/>
                <w:color w:val="auto"/>
              </w:rPr>
            </w:pPr>
          </w:p>
        </w:tc>
        <w:tc>
          <w:tcPr>
            <w:tcW w:w="3980" w:type="dxa"/>
            <w:vAlign w:val="bottom"/>
            <w:gridSpan w:val="26"/>
          </w:tcPr>
          <w:p>
            <w:pPr>
              <w:spacing w:after="0" w:line="169"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Promissory Note issued to Supernova Partners II LLC.</w:t>
              </w:r>
            </w:hyperlink>
          </w:p>
        </w:tc>
        <w:tc>
          <w:tcPr>
            <w:tcW w:w="180" w:type="dxa"/>
            <w:vAlign w:val="bottom"/>
            <w:tcBorders>
              <w:bottom w:val="single" w:sz="8" w:color="0000EE"/>
            </w:tcBorders>
            <w:gridSpan w:val="2"/>
          </w:tcPr>
          <w:p>
            <w:pPr>
              <w:jc w:val="right"/>
              <w:spacing w:after="0" w:line="156" w:lineRule="exact"/>
              <w:rPr>
                <w:rFonts w:ascii="Arial" w:cs="Arial" w:eastAsia="Arial" w:hAnsi="Arial"/>
                <w:sz w:val="15"/>
                <w:szCs w:val="15"/>
                <w:color w:val="0000EE"/>
                <w:w w:val="87"/>
              </w:rPr>
            </w:pPr>
            <w:hyperlink r:id="rId94">
              <w:r>
                <w:rPr>
                  <w:rFonts w:ascii="Arial" w:cs="Arial" w:eastAsia="Arial" w:hAnsi="Arial"/>
                  <w:sz w:val="15"/>
                  <w:szCs w:val="15"/>
                  <w:color w:val="0000EE"/>
                  <w:w w:val="87"/>
                </w:rPr>
                <w:t>(2)</w:t>
              </w:r>
            </w:hyperlink>
          </w:p>
        </w:tc>
        <w:tc>
          <w:tcPr>
            <w:tcW w:w="12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0" w:type="dxa"/>
            <w:vAlign w:val="bottom"/>
            <w:gridSpan w:val="3"/>
          </w:tcPr>
          <w:p>
            <w:pPr>
              <w:spacing w:after="0"/>
              <w:rPr>
                <w:sz w:val="14"/>
                <w:szCs w:val="14"/>
                <w:color w:val="auto"/>
              </w:rPr>
            </w:pPr>
          </w:p>
        </w:tc>
        <w:tc>
          <w:tcPr>
            <w:tcW w:w="38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0000EE"/>
            </w:tcBorders>
            <w:gridSpan w:val="3"/>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1120" w:type="dxa"/>
            <w:vAlign w:val="bottom"/>
            <w:tcBorders>
              <w:bottom w:val="single" w:sz="8" w:color="0000EE"/>
            </w:tcBorders>
            <w:gridSpan w:val="10"/>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860" w:type="dxa"/>
            <w:vAlign w:val="bottom"/>
            <w:tcBorders>
              <w:bottom w:val="single" w:sz="8" w:color="0000EE"/>
            </w:tcBorders>
            <w:gridSpan w:val="3"/>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Pr>
          <w:p>
            <w:pPr>
              <w:spacing w:after="0" w:line="183" w:lineRule="exact"/>
              <w:rPr>
                <w:sz w:val="20"/>
                <w:szCs w:val="20"/>
                <w:color w:val="auto"/>
              </w:rPr>
            </w:pPr>
            <w:r>
              <w:rPr>
                <w:rFonts w:ascii="Arial" w:cs="Arial" w:eastAsia="Arial" w:hAnsi="Arial"/>
                <w:sz w:val="18"/>
                <w:szCs w:val="18"/>
                <w:color w:val="auto"/>
              </w:rPr>
              <w:t>10.2</w:t>
            </w:r>
          </w:p>
        </w:tc>
        <w:tc>
          <w:tcPr>
            <w:tcW w:w="60" w:type="dxa"/>
            <w:vAlign w:val="bottom"/>
          </w:tcPr>
          <w:p>
            <w:pPr>
              <w:spacing w:after="0"/>
              <w:rPr>
                <w:sz w:val="15"/>
                <w:szCs w:val="15"/>
                <w:color w:val="auto"/>
              </w:rPr>
            </w:pPr>
          </w:p>
        </w:tc>
        <w:tc>
          <w:tcPr>
            <w:tcW w:w="9600" w:type="dxa"/>
            <w:vAlign w:val="bottom"/>
            <w:tcBorders>
              <w:bottom w:val="single" w:sz="8" w:color="0000EE"/>
            </w:tcBorders>
            <w:gridSpan w:val="46"/>
          </w:tcPr>
          <w:p>
            <w:pPr>
              <w:spacing w:after="0" w:line="183"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Letter Agreement, dated March 1, 2021, among the Registrant, Supernova Partners II LLC and each of the officers and directors of</w:t>
              </w:r>
            </w:hyperlink>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5"/>
          </w:tcPr>
          <w:p>
            <w:pPr>
              <w:spacing w:after="0" w:line="169" w:lineRule="exact"/>
              <w:rPr>
                <w:rFonts w:ascii="Arial" w:cs="Arial" w:eastAsia="Arial" w:hAnsi="Arial"/>
                <w:sz w:val="18"/>
                <w:szCs w:val="18"/>
                <w:color w:val="0000EE"/>
                <w:w w:val="87"/>
              </w:rPr>
            </w:pPr>
            <w:hyperlink r:id="rId95">
              <w:r>
                <w:rPr>
                  <w:rFonts w:ascii="Arial" w:cs="Arial" w:eastAsia="Arial" w:hAnsi="Arial"/>
                  <w:sz w:val="18"/>
                  <w:szCs w:val="18"/>
                  <w:color w:val="0000EE"/>
                  <w:w w:val="87"/>
                </w:rPr>
                <w:t>the Registrant.</w:t>
              </w:r>
            </w:hyperlink>
          </w:p>
        </w:tc>
        <w:tc>
          <w:tcPr>
            <w:tcW w:w="220" w:type="dxa"/>
            <w:vAlign w:val="bottom"/>
            <w:tcBorders>
              <w:bottom w:val="single" w:sz="8" w:color="0000EE"/>
            </w:tcBorders>
            <w:gridSpan w:val="2"/>
          </w:tcPr>
          <w:p>
            <w:pPr>
              <w:jc w:val="right"/>
              <w:spacing w:after="0" w:line="156" w:lineRule="exact"/>
              <w:rPr>
                <w:rFonts w:ascii="Arial" w:cs="Arial" w:eastAsia="Arial" w:hAnsi="Arial"/>
                <w:sz w:val="15"/>
                <w:szCs w:val="15"/>
                <w:color w:val="0000EE"/>
              </w:rPr>
            </w:pPr>
            <w:hyperlink r:id="rId95">
              <w:r>
                <w:rPr>
                  <w:rFonts w:ascii="Arial" w:cs="Arial" w:eastAsia="Arial" w:hAnsi="Arial"/>
                  <w:sz w:val="15"/>
                  <w:szCs w:val="15"/>
                  <w:color w:val="0000EE"/>
                </w:rPr>
                <w:t>(1)</w:t>
              </w:r>
            </w:hyperlink>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13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0" w:type="dxa"/>
            <w:vAlign w:val="bottom"/>
            <w:gridSpan w:val="3"/>
          </w:tcPr>
          <w:p>
            <w:pPr>
              <w:spacing w:after="0"/>
              <w:rPr>
                <w:sz w:val="14"/>
                <w:szCs w:val="14"/>
                <w:color w:val="auto"/>
              </w:rPr>
            </w:pPr>
          </w:p>
        </w:tc>
        <w:tc>
          <w:tcPr>
            <w:tcW w:w="38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0000EE"/>
            </w:tcBorders>
            <w:gridSpan w:val="3"/>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Pr>
          <w:p>
            <w:pPr>
              <w:spacing w:after="0" w:line="183" w:lineRule="exact"/>
              <w:rPr>
                <w:sz w:val="20"/>
                <w:szCs w:val="20"/>
                <w:color w:val="auto"/>
              </w:rPr>
            </w:pPr>
            <w:r>
              <w:rPr>
                <w:rFonts w:ascii="Arial" w:cs="Arial" w:eastAsia="Arial" w:hAnsi="Arial"/>
                <w:sz w:val="18"/>
                <w:szCs w:val="18"/>
                <w:color w:val="auto"/>
              </w:rPr>
              <w:t>10.4</w:t>
            </w:r>
          </w:p>
        </w:tc>
        <w:tc>
          <w:tcPr>
            <w:tcW w:w="60" w:type="dxa"/>
            <w:vAlign w:val="bottom"/>
          </w:tcPr>
          <w:p>
            <w:pPr>
              <w:spacing w:after="0"/>
              <w:rPr>
                <w:sz w:val="15"/>
                <w:szCs w:val="15"/>
                <w:color w:val="auto"/>
              </w:rPr>
            </w:pPr>
          </w:p>
        </w:tc>
        <w:tc>
          <w:tcPr>
            <w:tcW w:w="9600" w:type="dxa"/>
            <w:vAlign w:val="bottom"/>
            <w:gridSpan w:val="46"/>
          </w:tcPr>
          <w:p>
            <w:pPr>
              <w:spacing w:after="0" w:line="183" w:lineRule="exact"/>
              <w:rPr>
                <w:rFonts w:ascii="Arial" w:cs="Arial" w:eastAsia="Arial" w:hAnsi="Arial"/>
                <w:sz w:val="18"/>
                <w:szCs w:val="18"/>
                <w:color w:val="0000EE"/>
                <w:w w:val="95"/>
              </w:rPr>
            </w:pPr>
            <w:hyperlink r:id="rId96">
              <w:r>
                <w:rPr>
                  <w:rFonts w:ascii="Arial" w:cs="Arial" w:eastAsia="Arial" w:hAnsi="Arial"/>
                  <w:sz w:val="18"/>
                  <w:szCs w:val="18"/>
                  <w:color w:val="0000EE"/>
                  <w:w w:val="95"/>
                </w:rPr>
                <w:t>Investment Management Trust Agreement, dated March 1, 2021, between the Company and American Stock Transfer &amp; Trust</w:t>
              </w:r>
            </w:hyperlink>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Borders>
              <w:top w:val="single" w:sz="8" w:color="0000EE"/>
              <w:bottom w:val="single" w:sz="8" w:color="0000EE"/>
            </w:tcBorders>
            <w:gridSpan w:val="8"/>
          </w:tcPr>
          <w:p>
            <w:pPr>
              <w:spacing w:after="0" w:line="169" w:lineRule="exact"/>
              <w:rPr>
                <w:rFonts w:ascii="Arial" w:cs="Arial" w:eastAsia="Arial" w:hAnsi="Arial"/>
                <w:sz w:val="18"/>
                <w:szCs w:val="18"/>
                <w:color w:val="0000EE"/>
                <w:w w:val="88"/>
              </w:rPr>
            </w:pPr>
            <w:hyperlink r:id="rId96">
              <w:r>
                <w:rPr>
                  <w:rFonts w:ascii="Arial" w:cs="Arial" w:eastAsia="Arial" w:hAnsi="Arial"/>
                  <w:sz w:val="18"/>
                  <w:szCs w:val="18"/>
                  <w:color w:val="0000EE"/>
                  <w:w w:val="88"/>
                </w:rPr>
                <w:t>Company, as trustee.</w:t>
              </w:r>
            </w:hyperlink>
          </w:p>
        </w:tc>
        <w:tc>
          <w:tcPr>
            <w:tcW w:w="180" w:type="dxa"/>
            <w:vAlign w:val="bottom"/>
            <w:tcBorders>
              <w:top w:val="single" w:sz="8" w:color="0000EE"/>
              <w:bottom w:val="single" w:sz="8" w:color="0000EE"/>
            </w:tcBorders>
          </w:tcPr>
          <w:p>
            <w:pPr>
              <w:jc w:val="right"/>
              <w:spacing w:after="0" w:line="156" w:lineRule="exact"/>
              <w:rPr>
                <w:rFonts w:ascii="Arial" w:cs="Arial" w:eastAsia="Arial" w:hAnsi="Arial"/>
                <w:sz w:val="15"/>
                <w:szCs w:val="15"/>
                <w:color w:val="0000EE"/>
                <w:w w:val="87"/>
              </w:rPr>
            </w:pPr>
            <w:hyperlink r:id="rId96">
              <w:r>
                <w:rPr>
                  <w:rFonts w:ascii="Arial" w:cs="Arial" w:eastAsia="Arial" w:hAnsi="Arial"/>
                  <w:sz w:val="15"/>
                  <w:szCs w:val="15"/>
                  <w:color w:val="0000EE"/>
                  <w:w w:val="87"/>
                </w:rPr>
                <w:t>(1)</w:t>
              </w:r>
            </w:hyperlink>
          </w:p>
        </w:tc>
        <w:tc>
          <w:tcPr>
            <w:tcW w:w="1120" w:type="dxa"/>
            <w:vAlign w:val="bottom"/>
            <w:tcBorders>
              <w:top w:val="single" w:sz="8" w:color="0000EE"/>
              <w:bottom w:val="single" w:sz="8" w:color="0000EE"/>
            </w:tcBorders>
            <w:gridSpan w:val="10"/>
          </w:tcPr>
          <w:p>
            <w:pPr>
              <w:spacing w:after="0"/>
              <w:rPr>
                <w:sz w:val="14"/>
                <w:szCs w:val="14"/>
                <w:color w:val="auto"/>
              </w:rPr>
            </w:pPr>
          </w:p>
        </w:tc>
        <w:tc>
          <w:tcPr>
            <w:tcW w:w="20" w:type="dxa"/>
            <w:vAlign w:val="bottom"/>
            <w:tcBorders>
              <w:top w:val="single" w:sz="8" w:color="0000EE"/>
              <w:bottom w:val="single" w:sz="8" w:color="0000EE"/>
            </w:tcBorders>
          </w:tcPr>
          <w:p>
            <w:pPr>
              <w:spacing w:after="0"/>
              <w:rPr>
                <w:sz w:val="14"/>
                <w:szCs w:val="14"/>
                <w:color w:val="auto"/>
              </w:rPr>
            </w:pPr>
          </w:p>
        </w:tc>
        <w:tc>
          <w:tcPr>
            <w:tcW w:w="200" w:type="dxa"/>
            <w:vAlign w:val="bottom"/>
            <w:tcBorders>
              <w:top w:val="single" w:sz="8" w:color="0000EE"/>
              <w:bottom w:val="single" w:sz="8" w:color="0000EE"/>
            </w:tcBorders>
          </w:tcPr>
          <w:p>
            <w:pPr>
              <w:spacing w:after="0"/>
              <w:rPr>
                <w:sz w:val="14"/>
                <w:szCs w:val="14"/>
                <w:color w:val="auto"/>
              </w:rPr>
            </w:pPr>
          </w:p>
        </w:tc>
        <w:tc>
          <w:tcPr>
            <w:tcW w:w="860" w:type="dxa"/>
            <w:vAlign w:val="bottom"/>
            <w:tcBorders>
              <w:top w:val="single" w:sz="8" w:color="0000EE"/>
              <w:bottom w:val="single" w:sz="8" w:color="0000EE"/>
            </w:tcBorders>
            <w:gridSpan w:val="3"/>
          </w:tcPr>
          <w:p>
            <w:pPr>
              <w:spacing w:after="0"/>
              <w:rPr>
                <w:sz w:val="14"/>
                <w:szCs w:val="14"/>
                <w:color w:val="auto"/>
              </w:rPr>
            </w:pPr>
          </w:p>
        </w:tc>
        <w:tc>
          <w:tcPr>
            <w:tcW w:w="20" w:type="dxa"/>
            <w:vAlign w:val="bottom"/>
            <w:tcBorders>
              <w:top w:val="single" w:sz="8" w:color="0000EE"/>
              <w:bottom w:val="single" w:sz="8" w:color="0000EE"/>
            </w:tcBorders>
          </w:tcPr>
          <w:p>
            <w:pPr>
              <w:spacing w:after="0"/>
              <w:rPr>
                <w:sz w:val="14"/>
                <w:szCs w:val="14"/>
                <w:color w:val="auto"/>
              </w:rPr>
            </w:pPr>
          </w:p>
        </w:tc>
        <w:tc>
          <w:tcPr>
            <w:tcW w:w="200" w:type="dxa"/>
            <w:vAlign w:val="bottom"/>
            <w:tcBorders>
              <w:top w:val="single" w:sz="8" w:color="0000EE"/>
              <w:bottom w:val="single" w:sz="8" w:color="0000EE"/>
            </w:tcBorders>
            <w:gridSpan w:val="2"/>
          </w:tcPr>
          <w:p>
            <w:pPr>
              <w:spacing w:after="0"/>
              <w:rPr>
                <w:sz w:val="14"/>
                <w:szCs w:val="14"/>
                <w:color w:val="auto"/>
              </w:rPr>
            </w:pPr>
          </w:p>
        </w:tc>
        <w:tc>
          <w:tcPr>
            <w:tcW w:w="1300" w:type="dxa"/>
            <w:vAlign w:val="bottom"/>
            <w:tcBorders>
              <w:top w:val="single" w:sz="8" w:color="0000EE"/>
              <w:bottom w:val="single" w:sz="8" w:color="0000EE"/>
            </w:tcBorders>
            <w:gridSpan w:val="4"/>
          </w:tcPr>
          <w:p>
            <w:pPr>
              <w:spacing w:after="0"/>
              <w:rPr>
                <w:sz w:val="14"/>
                <w:szCs w:val="14"/>
                <w:color w:val="auto"/>
              </w:rPr>
            </w:pPr>
          </w:p>
        </w:tc>
        <w:tc>
          <w:tcPr>
            <w:tcW w:w="20" w:type="dxa"/>
            <w:vAlign w:val="bottom"/>
            <w:tcBorders>
              <w:top w:val="single" w:sz="8" w:color="0000EE"/>
              <w:bottom w:val="single" w:sz="8" w:color="0000EE"/>
            </w:tcBorders>
          </w:tcPr>
          <w:p>
            <w:pPr>
              <w:spacing w:after="0"/>
              <w:rPr>
                <w:sz w:val="14"/>
                <w:szCs w:val="14"/>
                <w:color w:val="auto"/>
              </w:rPr>
            </w:pPr>
          </w:p>
        </w:tc>
        <w:tc>
          <w:tcPr>
            <w:tcW w:w="200" w:type="dxa"/>
            <w:vAlign w:val="bottom"/>
            <w:tcBorders>
              <w:top w:val="single" w:sz="8" w:color="0000EE"/>
              <w:bottom w:val="single" w:sz="8" w:color="0000EE"/>
            </w:tcBorders>
          </w:tcPr>
          <w:p>
            <w:pPr>
              <w:spacing w:after="0"/>
              <w:rPr>
                <w:sz w:val="14"/>
                <w:szCs w:val="14"/>
                <w:color w:val="auto"/>
              </w:rPr>
            </w:pPr>
          </w:p>
        </w:tc>
        <w:tc>
          <w:tcPr>
            <w:tcW w:w="760" w:type="dxa"/>
            <w:vAlign w:val="bottom"/>
            <w:tcBorders>
              <w:top w:val="single" w:sz="8" w:color="0000EE"/>
              <w:bottom w:val="single" w:sz="8" w:color="0000EE"/>
            </w:tcBorders>
          </w:tcPr>
          <w:p>
            <w:pPr>
              <w:spacing w:after="0"/>
              <w:rPr>
                <w:sz w:val="14"/>
                <w:szCs w:val="14"/>
                <w:color w:val="auto"/>
              </w:rPr>
            </w:pPr>
          </w:p>
        </w:tc>
        <w:tc>
          <w:tcPr>
            <w:tcW w:w="220" w:type="dxa"/>
            <w:vAlign w:val="bottom"/>
            <w:tcBorders>
              <w:top w:val="single" w:sz="8" w:color="0000EE"/>
              <w:bottom w:val="single" w:sz="8" w:color="0000EE"/>
            </w:tcBorders>
          </w:tcPr>
          <w:p>
            <w:pPr>
              <w:spacing w:after="0"/>
              <w:rPr>
                <w:sz w:val="14"/>
                <w:szCs w:val="14"/>
                <w:color w:val="auto"/>
              </w:rPr>
            </w:pPr>
          </w:p>
        </w:tc>
        <w:tc>
          <w:tcPr>
            <w:tcW w:w="80" w:type="dxa"/>
            <w:vAlign w:val="bottom"/>
            <w:tcBorders>
              <w:top w:val="single" w:sz="8" w:color="0000EE"/>
              <w:bottom w:val="single" w:sz="8" w:color="0000EE"/>
            </w:tcBorders>
          </w:tcPr>
          <w:p>
            <w:pPr>
              <w:spacing w:after="0"/>
              <w:rPr>
                <w:sz w:val="14"/>
                <w:szCs w:val="14"/>
                <w:color w:val="auto"/>
              </w:rPr>
            </w:pPr>
          </w:p>
        </w:tc>
        <w:tc>
          <w:tcPr>
            <w:tcW w:w="40" w:type="dxa"/>
            <w:vAlign w:val="bottom"/>
            <w:tcBorders>
              <w:top w:val="single" w:sz="8" w:color="0000EE"/>
              <w:bottom w:val="single" w:sz="8" w:color="0000EE"/>
            </w:tcBorders>
            <w:gridSpan w:val="2"/>
          </w:tcPr>
          <w:p>
            <w:pPr>
              <w:spacing w:after="0"/>
              <w:rPr>
                <w:sz w:val="14"/>
                <w:szCs w:val="14"/>
                <w:color w:val="auto"/>
              </w:rPr>
            </w:pPr>
          </w:p>
        </w:tc>
        <w:tc>
          <w:tcPr>
            <w:tcW w:w="1400" w:type="dxa"/>
            <w:vAlign w:val="bottom"/>
            <w:tcBorders>
              <w:top w:val="single" w:sz="8" w:color="0000EE"/>
              <w:bottom w:val="single" w:sz="8" w:color="0000EE"/>
            </w:tcBorders>
            <w:gridSpan w:val="3"/>
          </w:tcPr>
          <w:p>
            <w:pPr>
              <w:spacing w:after="0"/>
              <w:rPr>
                <w:sz w:val="14"/>
                <w:szCs w:val="14"/>
                <w:color w:val="auto"/>
              </w:rPr>
            </w:pPr>
          </w:p>
        </w:tc>
        <w:tc>
          <w:tcPr>
            <w:tcW w:w="380" w:type="dxa"/>
            <w:vAlign w:val="bottom"/>
            <w:tcBorders>
              <w:top w:val="single" w:sz="8" w:color="0000EE"/>
              <w:bottom w:val="single" w:sz="8" w:color="0000EE"/>
            </w:tcBorders>
            <w:gridSpan w:val="2"/>
          </w:tcPr>
          <w:p>
            <w:pPr>
              <w:spacing w:after="0"/>
              <w:rPr>
                <w:sz w:val="14"/>
                <w:szCs w:val="14"/>
                <w:color w:val="auto"/>
              </w:rPr>
            </w:pPr>
          </w:p>
        </w:tc>
        <w:tc>
          <w:tcPr>
            <w:tcW w:w="180" w:type="dxa"/>
            <w:vAlign w:val="bottom"/>
            <w:tcBorders>
              <w:top w:val="single" w:sz="8" w:color="0000EE"/>
              <w:bottom w:val="single" w:sz="8" w:color="0000EE"/>
            </w:tcBorders>
          </w:tcPr>
          <w:p>
            <w:pPr>
              <w:spacing w:after="0"/>
              <w:rPr>
                <w:sz w:val="14"/>
                <w:szCs w:val="14"/>
                <w:color w:val="auto"/>
              </w:rPr>
            </w:pPr>
          </w:p>
        </w:tc>
        <w:tc>
          <w:tcPr>
            <w:tcW w:w="860" w:type="dxa"/>
            <w:vAlign w:val="bottom"/>
            <w:tcBorders>
              <w:top w:val="single" w:sz="8" w:color="0000EE"/>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0000EE"/>
            </w:tcBorders>
            <w:gridSpan w:val="3"/>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780" w:type="dxa"/>
            <w:vAlign w:val="bottom"/>
            <w:tcBorders>
              <w:bottom w:val="single" w:sz="8" w:color="0000EE"/>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Pr>
          <w:p>
            <w:pPr>
              <w:spacing w:after="0" w:line="183" w:lineRule="exact"/>
              <w:rPr>
                <w:sz w:val="20"/>
                <w:szCs w:val="20"/>
                <w:color w:val="auto"/>
              </w:rPr>
            </w:pPr>
            <w:r>
              <w:rPr>
                <w:rFonts w:ascii="Arial" w:cs="Arial" w:eastAsia="Arial" w:hAnsi="Arial"/>
                <w:sz w:val="18"/>
                <w:szCs w:val="18"/>
                <w:color w:val="auto"/>
              </w:rPr>
              <w:t>10.5</w:t>
            </w:r>
          </w:p>
        </w:tc>
        <w:tc>
          <w:tcPr>
            <w:tcW w:w="60" w:type="dxa"/>
            <w:vAlign w:val="bottom"/>
          </w:tcPr>
          <w:p>
            <w:pPr>
              <w:spacing w:after="0"/>
              <w:rPr>
                <w:sz w:val="15"/>
                <w:szCs w:val="15"/>
                <w:color w:val="auto"/>
              </w:rPr>
            </w:pPr>
          </w:p>
        </w:tc>
        <w:tc>
          <w:tcPr>
            <w:tcW w:w="9600" w:type="dxa"/>
            <w:vAlign w:val="bottom"/>
            <w:tcBorders>
              <w:bottom w:val="single" w:sz="8" w:color="0000EE"/>
            </w:tcBorders>
            <w:gridSpan w:val="46"/>
          </w:tcPr>
          <w:p>
            <w:pPr>
              <w:spacing w:after="0" w:line="183"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Registration Rights Agreement, dated March 1, 2021, among the Company, Supernova Partners II LLC and the Holders signatory</w:t>
              </w:r>
            </w:hyperlink>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3"/>
          </w:tcPr>
          <w:p>
            <w:pPr>
              <w:spacing w:after="0" w:line="169"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thereto.</w:t>
              </w:r>
            </w:hyperlink>
          </w:p>
        </w:tc>
        <w:tc>
          <w:tcPr>
            <w:tcW w:w="180" w:type="dxa"/>
            <w:vAlign w:val="bottom"/>
            <w:tcBorders>
              <w:bottom w:val="single" w:sz="8" w:color="0000EE"/>
            </w:tcBorders>
          </w:tcPr>
          <w:p>
            <w:pPr>
              <w:jc w:val="right"/>
              <w:spacing w:after="0" w:line="156" w:lineRule="exact"/>
              <w:rPr>
                <w:rFonts w:ascii="Arial" w:cs="Arial" w:eastAsia="Arial" w:hAnsi="Arial"/>
                <w:sz w:val="15"/>
                <w:szCs w:val="15"/>
                <w:color w:val="0000EE"/>
                <w:w w:val="87"/>
              </w:rPr>
            </w:pPr>
            <w:hyperlink r:id="rId97">
              <w:r>
                <w:rPr>
                  <w:rFonts w:ascii="Arial" w:cs="Arial" w:eastAsia="Arial" w:hAnsi="Arial"/>
                  <w:sz w:val="15"/>
                  <w:szCs w:val="15"/>
                  <w:color w:val="0000EE"/>
                  <w:w w:val="87"/>
                </w:rPr>
                <w:t>(1)</w:t>
              </w:r>
            </w:hyperlink>
          </w:p>
        </w:tc>
        <w:tc>
          <w:tcPr>
            <w:tcW w:w="2080" w:type="dxa"/>
            <w:vAlign w:val="bottom"/>
            <w:gridSpan w:val="15"/>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13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0" w:type="dxa"/>
            <w:vAlign w:val="bottom"/>
            <w:gridSpan w:val="3"/>
          </w:tcPr>
          <w:p>
            <w:pPr>
              <w:spacing w:after="0"/>
              <w:rPr>
                <w:sz w:val="14"/>
                <w:szCs w:val="14"/>
                <w:color w:val="auto"/>
              </w:rPr>
            </w:pPr>
          </w:p>
        </w:tc>
        <w:tc>
          <w:tcPr>
            <w:tcW w:w="38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80" w:type="dxa"/>
            <w:vAlign w:val="bottom"/>
          </w:tcPr>
          <w:p>
            <w:pPr>
              <w:spacing w:after="0" w:line="156" w:lineRule="exact"/>
              <w:rPr>
                <w:sz w:val="20"/>
                <w:szCs w:val="20"/>
                <w:color w:val="auto"/>
              </w:rPr>
            </w:pPr>
            <w:r>
              <w:rPr>
                <w:rFonts w:ascii="Arial" w:cs="Arial" w:eastAsia="Arial" w:hAnsi="Arial"/>
                <w:sz w:val="18"/>
                <w:szCs w:val="18"/>
                <w:color w:val="auto"/>
              </w:rPr>
              <w:t>10.6</w:t>
            </w:r>
          </w:p>
        </w:tc>
        <w:tc>
          <w:tcPr>
            <w:tcW w:w="60" w:type="dxa"/>
            <w:vAlign w:val="bottom"/>
          </w:tcPr>
          <w:p>
            <w:pPr>
              <w:spacing w:after="0"/>
              <w:rPr>
                <w:sz w:val="13"/>
                <w:szCs w:val="13"/>
                <w:color w:val="auto"/>
              </w:rPr>
            </w:pPr>
          </w:p>
        </w:tc>
        <w:tc>
          <w:tcPr>
            <w:tcW w:w="6420" w:type="dxa"/>
            <w:vAlign w:val="bottom"/>
            <w:gridSpan w:val="34"/>
          </w:tcPr>
          <w:p>
            <w:pPr>
              <w:spacing w:after="0" w:line="156" w:lineRule="exact"/>
              <w:rPr>
                <w:rFonts w:ascii="Arial" w:cs="Arial" w:eastAsia="Arial" w:hAnsi="Arial"/>
                <w:sz w:val="18"/>
                <w:szCs w:val="18"/>
                <w:color w:val="0000EE"/>
                <w:w w:val="88"/>
              </w:rPr>
            </w:pPr>
            <w:hyperlink r:id="rId96">
              <w:r>
                <w:rPr>
                  <w:rFonts w:ascii="Arial" w:cs="Arial" w:eastAsia="Arial" w:hAnsi="Arial"/>
                  <w:sz w:val="18"/>
                  <w:szCs w:val="18"/>
                  <w:color w:val="0000EE"/>
                  <w:w w:val="88"/>
                </w:rPr>
                <w:t>Private Placement Warrants Purchase Agreement between the Company and the Sponsor.</w:t>
              </w:r>
            </w:hyperlink>
          </w:p>
        </w:tc>
        <w:tc>
          <w:tcPr>
            <w:tcW w:w="220" w:type="dxa"/>
            <w:vAlign w:val="bottom"/>
            <w:tcBorders>
              <w:bottom w:val="single" w:sz="8" w:color="0000EE"/>
            </w:tcBorders>
          </w:tcPr>
          <w:p>
            <w:pPr>
              <w:jc w:val="right"/>
              <w:spacing w:after="0" w:line="156" w:lineRule="exact"/>
              <w:rPr>
                <w:rFonts w:ascii="Arial" w:cs="Arial" w:eastAsia="Arial" w:hAnsi="Arial"/>
                <w:sz w:val="15"/>
                <w:szCs w:val="15"/>
                <w:color w:val="0000EE"/>
              </w:rPr>
            </w:pPr>
            <w:hyperlink r:id="rId96">
              <w:r>
                <w:rPr>
                  <w:rFonts w:ascii="Arial" w:cs="Arial" w:eastAsia="Arial" w:hAnsi="Arial"/>
                  <w:sz w:val="15"/>
                  <w:szCs w:val="15"/>
                  <w:color w:val="0000EE"/>
                </w:rPr>
                <w:t>(1)</w:t>
              </w:r>
            </w:hyperlink>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0" w:type="dxa"/>
            <w:vAlign w:val="bottom"/>
            <w:gridSpan w:val="3"/>
          </w:tcPr>
          <w:p>
            <w:pPr>
              <w:spacing w:after="0"/>
              <w:rPr>
                <w:sz w:val="13"/>
                <w:szCs w:val="13"/>
                <w:color w:val="auto"/>
              </w:rPr>
            </w:pPr>
          </w:p>
        </w:tc>
        <w:tc>
          <w:tcPr>
            <w:tcW w:w="38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tcBorders>
              <w:bottom w:val="single" w:sz="8" w:color="0000EE"/>
            </w:tcBorders>
            <w:gridSpan w:val="19"/>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860" w:type="dxa"/>
            <w:vAlign w:val="bottom"/>
            <w:tcBorders>
              <w:bottom w:val="single" w:sz="8" w:color="0000EE"/>
            </w:tcBorders>
            <w:gridSpan w:val="3"/>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gridSpan w:val="2"/>
          </w:tcPr>
          <w:p>
            <w:pPr>
              <w:spacing w:after="0" w:line="20" w:lineRule="exact"/>
              <w:rPr>
                <w:sz w:val="1"/>
                <w:szCs w:val="1"/>
                <w:color w:val="auto"/>
              </w:rPr>
            </w:pPr>
          </w:p>
        </w:tc>
        <w:tc>
          <w:tcPr>
            <w:tcW w:w="1300" w:type="dxa"/>
            <w:vAlign w:val="bottom"/>
            <w:tcBorders>
              <w:bottom w:val="single" w:sz="8" w:color="0000EE"/>
            </w:tcBorders>
            <w:gridSpan w:val="4"/>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760" w:type="dxa"/>
            <w:vAlign w:val="bottom"/>
            <w:tcBorders>
              <w:bottom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80" w:type="dxa"/>
            <w:vAlign w:val="bottom"/>
          </w:tcPr>
          <w:p>
            <w:pPr>
              <w:spacing w:after="0" w:line="156" w:lineRule="exact"/>
              <w:rPr>
                <w:sz w:val="20"/>
                <w:szCs w:val="20"/>
                <w:color w:val="auto"/>
              </w:rPr>
            </w:pPr>
            <w:r>
              <w:rPr>
                <w:rFonts w:ascii="Arial" w:cs="Arial" w:eastAsia="Arial" w:hAnsi="Arial"/>
                <w:sz w:val="18"/>
                <w:szCs w:val="18"/>
                <w:color w:val="auto"/>
              </w:rPr>
              <w:t>10.7</w:t>
            </w:r>
          </w:p>
        </w:tc>
        <w:tc>
          <w:tcPr>
            <w:tcW w:w="60" w:type="dxa"/>
            <w:vAlign w:val="bottom"/>
          </w:tcPr>
          <w:p>
            <w:pPr>
              <w:spacing w:after="0"/>
              <w:rPr>
                <w:sz w:val="13"/>
                <w:szCs w:val="13"/>
                <w:color w:val="auto"/>
              </w:rPr>
            </w:pPr>
          </w:p>
        </w:tc>
        <w:tc>
          <w:tcPr>
            <w:tcW w:w="2840" w:type="dxa"/>
            <w:vAlign w:val="bottom"/>
            <w:gridSpan w:val="19"/>
          </w:tcPr>
          <w:p>
            <w:pPr>
              <w:spacing w:after="0" w:line="156" w:lineRule="exact"/>
              <w:rPr>
                <w:rFonts w:ascii="Arial" w:cs="Arial" w:eastAsia="Arial" w:hAnsi="Arial"/>
                <w:sz w:val="18"/>
                <w:szCs w:val="18"/>
                <w:color w:val="0000EE"/>
                <w:w w:val="90"/>
              </w:rPr>
            </w:pPr>
            <w:hyperlink r:id="rId98">
              <w:r>
                <w:rPr>
                  <w:rFonts w:ascii="Arial" w:cs="Arial" w:eastAsia="Arial" w:hAnsi="Arial"/>
                  <w:sz w:val="18"/>
                  <w:szCs w:val="18"/>
                  <w:color w:val="0000EE"/>
                  <w:w w:val="90"/>
                </w:rPr>
                <w:t>Form of PIPE Subscription Agreement.</w:t>
              </w:r>
            </w:hyperlink>
          </w:p>
        </w:tc>
        <w:tc>
          <w:tcPr>
            <w:tcW w:w="220" w:type="dxa"/>
            <w:vAlign w:val="bottom"/>
            <w:tcBorders>
              <w:bottom w:val="single" w:sz="8" w:color="0000EE"/>
            </w:tcBorders>
            <w:gridSpan w:val="2"/>
          </w:tcPr>
          <w:p>
            <w:pPr>
              <w:jc w:val="right"/>
              <w:spacing w:after="0" w:line="156" w:lineRule="exact"/>
              <w:rPr>
                <w:rFonts w:ascii="Arial" w:cs="Arial" w:eastAsia="Arial" w:hAnsi="Arial"/>
                <w:sz w:val="15"/>
                <w:szCs w:val="15"/>
                <w:color w:val="0000EE"/>
              </w:rPr>
            </w:pPr>
            <w:hyperlink r:id="rId98">
              <w:r>
                <w:rPr>
                  <w:rFonts w:ascii="Arial" w:cs="Arial" w:eastAsia="Arial" w:hAnsi="Arial"/>
                  <w:sz w:val="15"/>
                  <w:szCs w:val="15"/>
                  <w:color w:val="0000EE"/>
                </w:rPr>
                <w:t>(3)</w:t>
              </w:r>
            </w:hyperlink>
          </w:p>
        </w:tc>
        <w:tc>
          <w:tcPr>
            <w:tcW w:w="8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3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400" w:type="dxa"/>
            <w:vAlign w:val="bottom"/>
            <w:gridSpan w:val="3"/>
          </w:tcPr>
          <w:p>
            <w:pPr>
              <w:spacing w:after="0"/>
              <w:rPr>
                <w:sz w:val="13"/>
                <w:szCs w:val="13"/>
                <w:color w:val="auto"/>
              </w:rPr>
            </w:pPr>
          </w:p>
        </w:tc>
        <w:tc>
          <w:tcPr>
            <w:tcW w:w="38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Pr>
          <w:p>
            <w:pPr>
              <w:spacing w:after="0" w:line="183" w:lineRule="exact"/>
              <w:rPr>
                <w:sz w:val="20"/>
                <w:szCs w:val="20"/>
                <w:color w:val="auto"/>
              </w:rPr>
            </w:pPr>
            <w:r>
              <w:rPr>
                <w:rFonts w:ascii="Arial" w:cs="Arial" w:eastAsia="Arial" w:hAnsi="Arial"/>
                <w:sz w:val="18"/>
                <w:szCs w:val="18"/>
                <w:color w:val="auto"/>
              </w:rPr>
              <w:t>10.8</w:t>
            </w:r>
          </w:p>
        </w:tc>
        <w:tc>
          <w:tcPr>
            <w:tcW w:w="60" w:type="dxa"/>
            <w:vAlign w:val="bottom"/>
          </w:tcPr>
          <w:p>
            <w:pPr>
              <w:spacing w:after="0"/>
              <w:rPr>
                <w:sz w:val="15"/>
                <w:szCs w:val="15"/>
                <w:color w:val="auto"/>
              </w:rPr>
            </w:pPr>
          </w:p>
        </w:tc>
        <w:tc>
          <w:tcPr>
            <w:tcW w:w="9600" w:type="dxa"/>
            <w:vAlign w:val="bottom"/>
            <w:tcBorders>
              <w:bottom w:val="single" w:sz="8" w:color="0000EE"/>
            </w:tcBorders>
            <w:gridSpan w:val="46"/>
          </w:tcPr>
          <w:p>
            <w:pPr>
              <w:spacing w:after="0" w:line="183"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Sponsor Support Agreement, dated as of October 6, 2021, by and among Supernova Partners Acquisition Company II, Ltd., Rigetti</w:t>
              </w:r>
            </w:hyperlink>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40" w:type="dxa"/>
            <w:vAlign w:val="bottom"/>
            <w:gridSpan w:val="31"/>
          </w:tcPr>
          <w:p>
            <w:pPr>
              <w:spacing w:after="0" w:line="169"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Holdings, Inc., Supernova Partners II LLC and certain other parties thereto.</w:t>
              </w:r>
            </w:hyperlink>
          </w:p>
        </w:tc>
        <w:tc>
          <w:tcPr>
            <w:tcW w:w="220" w:type="dxa"/>
            <w:vAlign w:val="bottom"/>
            <w:tcBorders>
              <w:bottom w:val="single" w:sz="8" w:color="0000EE"/>
            </w:tcBorders>
            <w:gridSpan w:val="2"/>
          </w:tcPr>
          <w:p>
            <w:pPr>
              <w:jc w:val="right"/>
              <w:spacing w:after="0" w:line="156" w:lineRule="exact"/>
              <w:rPr>
                <w:rFonts w:ascii="Arial" w:cs="Arial" w:eastAsia="Arial" w:hAnsi="Arial"/>
                <w:sz w:val="15"/>
                <w:szCs w:val="15"/>
                <w:color w:val="0000EE"/>
              </w:rPr>
            </w:pPr>
            <w:hyperlink r:id="rId99">
              <w:r>
                <w:rPr>
                  <w:rFonts w:ascii="Arial" w:cs="Arial" w:eastAsia="Arial" w:hAnsi="Arial"/>
                  <w:sz w:val="15"/>
                  <w:szCs w:val="15"/>
                  <w:color w:val="0000EE"/>
                </w:rPr>
                <w:t>(3)</w:t>
              </w:r>
            </w:hyperlink>
          </w:p>
        </w:tc>
        <w:tc>
          <w:tcPr>
            <w:tcW w:w="10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1400" w:type="dxa"/>
            <w:vAlign w:val="bottom"/>
            <w:gridSpan w:val="3"/>
          </w:tcPr>
          <w:p>
            <w:pPr>
              <w:spacing w:after="0"/>
              <w:rPr>
                <w:sz w:val="14"/>
                <w:szCs w:val="14"/>
                <w:color w:val="auto"/>
              </w:rPr>
            </w:pPr>
          </w:p>
        </w:tc>
        <w:tc>
          <w:tcPr>
            <w:tcW w:w="38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20" w:type="dxa"/>
            <w:vAlign w:val="bottom"/>
            <w:tcBorders>
              <w:bottom w:val="single" w:sz="8" w:color="0000EE"/>
            </w:tcBorders>
            <w:gridSpan w:val="24"/>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gridSpan w:val="2"/>
          </w:tcPr>
          <w:p>
            <w:pPr>
              <w:spacing w:after="0" w:line="20" w:lineRule="exact"/>
              <w:rPr>
                <w:sz w:val="1"/>
                <w:szCs w:val="1"/>
                <w:color w:val="auto"/>
              </w:rPr>
            </w:pPr>
          </w:p>
        </w:tc>
        <w:tc>
          <w:tcPr>
            <w:tcW w:w="1300" w:type="dxa"/>
            <w:vAlign w:val="bottom"/>
            <w:tcBorders>
              <w:bottom w:val="single" w:sz="8" w:color="0000EE"/>
            </w:tcBorders>
            <w:gridSpan w:val="4"/>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Pr>
          <w:p>
            <w:pPr>
              <w:spacing w:after="0" w:line="183" w:lineRule="exact"/>
              <w:rPr>
                <w:sz w:val="20"/>
                <w:szCs w:val="20"/>
                <w:color w:val="auto"/>
              </w:rPr>
            </w:pPr>
            <w:r>
              <w:rPr>
                <w:rFonts w:ascii="Arial" w:cs="Arial" w:eastAsia="Arial" w:hAnsi="Arial"/>
                <w:sz w:val="18"/>
                <w:szCs w:val="18"/>
                <w:color w:val="auto"/>
              </w:rPr>
              <w:t>10.9</w:t>
            </w:r>
          </w:p>
        </w:tc>
        <w:tc>
          <w:tcPr>
            <w:tcW w:w="60" w:type="dxa"/>
            <w:vAlign w:val="bottom"/>
          </w:tcPr>
          <w:p>
            <w:pPr>
              <w:spacing w:after="0"/>
              <w:rPr>
                <w:sz w:val="15"/>
                <w:szCs w:val="15"/>
                <w:color w:val="auto"/>
              </w:rPr>
            </w:pPr>
          </w:p>
        </w:tc>
        <w:tc>
          <w:tcPr>
            <w:tcW w:w="9600" w:type="dxa"/>
            <w:vAlign w:val="bottom"/>
            <w:tcBorders>
              <w:bottom w:val="single" w:sz="8" w:color="0000EE"/>
            </w:tcBorders>
            <w:gridSpan w:val="46"/>
          </w:tcPr>
          <w:p>
            <w:pPr>
              <w:spacing w:after="0" w:line="183"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Rigetti Holders Support Agreement, dated as of October 6, 2021, by and among Supernova Partners Acquisition Company II, Ltd.,</w:t>
              </w:r>
            </w:hyperlink>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20" w:type="dxa"/>
            <w:vAlign w:val="bottom"/>
            <w:gridSpan w:val="24"/>
          </w:tcPr>
          <w:p>
            <w:pPr>
              <w:spacing w:after="0" w:line="169"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Rigetti Holdings, Inc. and certain other parties thereto.</w:t>
              </w:r>
            </w:hyperlink>
          </w:p>
        </w:tc>
        <w:tc>
          <w:tcPr>
            <w:tcW w:w="220" w:type="dxa"/>
            <w:vAlign w:val="bottom"/>
            <w:tcBorders>
              <w:bottom w:val="single" w:sz="8" w:color="0000EE"/>
            </w:tcBorders>
            <w:gridSpan w:val="3"/>
          </w:tcPr>
          <w:p>
            <w:pPr>
              <w:jc w:val="right"/>
              <w:spacing w:after="0" w:line="156" w:lineRule="exact"/>
              <w:rPr>
                <w:rFonts w:ascii="Arial" w:cs="Arial" w:eastAsia="Arial" w:hAnsi="Arial"/>
                <w:sz w:val="15"/>
                <w:szCs w:val="15"/>
                <w:color w:val="0000EE"/>
              </w:rPr>
            </w:pPr>
            <w:hyperlink r:id="rId100">
              <w:r>
                <w:rPr>
                  <w:rFonts w:ascii="Arial" w:cs="Arial" w:eastAsia="Arial" w:hAnsi="Arial"/>
                  <w:sz w:val="15"/>
                  <w:szCs w:val="15"/>
                  <w:color w:val="0000EE"/>
                </w:rPr>
                <w:t>(3)</w:t>
              </w:r>
            </w:hyperlink>
          </w:p>
        </w:tc>
        <w:tc>
          <w:tcPr>
            <w:tcW w:w="2580" w:type="dxa"/>
            <w:vAlign w:val="bottom"/>
            <w:gridSpan w:val="9"/>
          </w:tcPr>
          <w:p>
            <w:pPr>
              <w:spacing w:after="0"/>
              <w:rPr>
                <w:sz w:val="14"/>
                <w:szCs w:val="14"/>
                <w:color w:val="auto"/>
              </w:rPr>
            </w:pPr>
          </w:p>
        </w:tc>
        <w:tc>
          <w:tcPr>
            <w:tcW w:w="40" w:type="dxa"/>
            <w:vAlign w:val="bottom"/>
            <w:gridSpan w:val="2"/>
          </w:tcPr>
          <w:p>
            <w:pPr>
              <w:spacing w:after="0"/>
              <w:rPr>
                <w:sz w:val="14"/>
                <w:szCs w:val="14"/>
                <w:color w:val="auto"/>
              </w:rPr>
            </w:pPr>
          </w:p>
        </w:tc>
        <w:tc>
          <w:tcPr>
            <w:tcW w:w="1400" w:type="dxa"/>
            <w:vAlign w:val="bottom"/>
            <w:gridSpan w:val="3"/>
          </w:tcPr>
          <w:p>
            <w:pPr>
              <w:spacing w:after="0"/>
              <w:rPr>
                <w:sz w:val="14"/>
                <w:szCs w:val="14"/>
                <w:color w:val="auto"/>
              </w:rPr>
            </w:pPr>
          </w:p>
        </w:tc>
        <w:tc>
          <w:tcPr>
            <w:tcW w:w="38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20" w:type="dxa"/>
            <w:vAlign w:val="bottom"/>
            <w:tcBorders>
              <w:bottom w:val="single" w:sz="8" w:color="0000EE"/>
            </w:tcBorders>
            <w:gridSpan w:val="24"/>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5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80" w:type="dxa"/>
            <w:vAlign w:val="bottom"/>
          </w:tcPr>
          <w:p>
            <w:pPr>
              <w:spacing w:after="0" w:line="156" w:lineRule="exact"/>
              <w:rPr>
                <w:sz w:val="20"/>
                <w:szCs w:val="20"/>
                <w:color w:val="auto"/>
              </w:rPr>
            </w:pPr>
            <w:r>
              <w:rPr>
                <w:rFonts w:ascii="Arial" w:cs="Arial" w:eastAsia="Arial" w:hAnsi="Arial"/>
                <w:sz w:val="18"/>
                <w:szCs w:val="18"/>
                <w:color w:val="auto"/>
              </w:rPr>
              <w:t>10.15</w:t>
            </w:r>
          </w:p>
        </w:tc>
        <w:tc>
          <w:tcPr>
            <w:tcW w:w="60" w:type="dxa"/>
            <w:vAlign w:val="bottom"/>
          </w:tcPr>
          <w:p>
            <w:pPr>
              <w:spacing w:after="0"/>
              <w:rPr>
                <w:sz w:val="13"/>
                <w:szCs w:val="13"/>
                <w:color w:val="auto"/>
              </w:rPr>
            </w:pPr>
          </w:p>
        </w:tc>
        <w:tc>
          <w:tcPr>
            <w:tcW w:w="8540" w:type="dxa"/>
            <w:vAlign w:val="bottom"/>
            <w:gridSpan w:val="43"/>
          </w:tcPr>
          <w:p>
            <w:pPr>
              <w:spacing w:after="0" w:line="156"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Securities Subscription Agreement, dated December 22, 2020, between the Company and Supernova Partners II LLC.</w:t>
              </w:r>
            </w:hyperlink>
          </w:p>
        </w:tc>
        <w:tc>
          <w:tcPr>
            <w:tcW w:w="180" w:type="dxa"/>
            <w:vAlign w:val="bottom"/>
            <w:tcBorders>
              <w:bottom w:val="single" w:sz="8" w:color="0000EE"/>
            </w:tcBorders>
          </w:tcPr>
          <w:p>
            <w:pPr>
              <w:jc w:val="right"/>
              <w:spacing w:after="0" w:line="156" w:lineRule="exact"/>
              <w:rPr>
                <w:rFonts w:ascii="Arial" w:cs="Arial" w:eastAsia="Arial" w:hAnsi="Arial"/>
                <w:sz w:val="15"/>
                <w:szCs w:val="15"/>
                <w:color w:val="0000EE"/>
                <w:w w:val="87"/>
              </w:rPr>
            </w:pPr>
            <w:hyperlink r:id="rId101">
              <w:r>
                <w:rPr>
                  <w:rFonts w:ascii="Arial" w:cs="Arial" w:eastAsia="Arial" w:hAnsi="Arial"/>
                  <w:sz w:val="15"/>
                  <w:szCs w:val="15"/>
                  <w:color w:val="0000EE"/>
                  <w:w w:val="87"/>
                </w:rPr>
                <w:t>(2)</w:t>
              </w:r>
            </w:hyperlink>
          </w:p>
        </w:tc>
        <w:tc>
          <w:tcPr>
            <w:tcW w:w="8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720" w:type="dxa"/>
            <w:vAlign w:val="bottom"/>
            <w:tcBorders>
              <w:bottom w:val="single" w:sz="8" w:color="0000EE"/>
            </w:tcBorders>
            <w:gridSpan w:val="36"/>
          </w:tcPr>
          <w:p>
            <w:pPr>
              <w:spacing w:after="0" w:line="20" w:lineRule="exact"/>
              <w:rPr>
                <w:sz w:val="1"/>
                <w:szCs w:val="1"/>
                <w:color w:val="auto"/>
              </w:rPr>
            </w:pPr>
          </w:p>
        </w:tc>
        <w:tc>
          <w:tcPr>
            <w:tcW w:w="40" w:type="dxa"/>
            <w:vAlign w:val="bottom"/>
            <w:tcBorders>
              <w:bottom w:val="single" w:sz="8" w:color="0000EE"/>
            </w:tcBorders>
            <w:gridSpan w:val="2"/>
          </w:tcPr>
          <w:p>
            <w:pPr>
              <w:spacing w:after="0" w:line="20" w:lineRule="exact"/>
              <w:rPr>
                <w:sz w:val="1"/>
                <w:szCs w:val="1"/>
                <w:color w:val="auto"/>
              </w:rPr>
            </w:pPr>
          </w:p>
        </w:tc>
        <w:tc>
          <w:tcPr>
            <w:tcW w:w="1400" w:type="dxa"/>
            <w:vAlign w:val="bottom"/>
            <w:tcBorders>
              <w:bottom w:val="single" w:sz="8" w:color="0000EE"/>
            </w:tcBorders>
            <w:gridSpan w:val="3"/>
          </w:tcPr>
          <w:p>
            <w:pPr>
              <w:spacing w:after="0" w:line="20" w:lineRule="exact"/>
              <w:rPr>
                <w:sz w:val="1"/>
                <w:szCs w:val="1"/>
                <w:color w:val="auto"/>
              </w:rPr>
            </w:pPr>
          </w:p>
        </w:tc>
        <w:tc>
          <w:tcPr>
            <w:tcW w:w="380" w:type="dxa"/>
            <w:vAlign w:val="bottom"/>
            <w:tcBorders>
              <w:bottom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Pr>
          <w:p>
            <w:pPr>
              <w:spacing w:after="0" w:line="183" w:lineRule="exact"/>
              <w:rPr>
                <w:sz w:val="20"/>
                <w:szCs w:val="20"/>
                <w:color w:val="auto"/>
              </w:rPr>
            </w:pPr>
            <w:r>
              <w:rPr>
                <w:rFonts w:ascii="Arial" w:cs="Arial" w:eastAsia="Arial" w:hAnsi="Arial"/>
                <w:sz w:val="18"/>
                <w:szCs w:val="18"/>
                <w:color w:val="auto"/>
              </w:rPr>
              <w:t>31.1</w:t>
            </w:r>
          </w:p>
        </w:tc>
        <w:tc>
          <w:tcPr>
            <w:tcW w:w="60" w:type="dxa"/>
            <w:vAlign w:val="bottom"/>
          </w:tcPr>
          <w:p>
            <w:pPr>
              <w:spacing w:after="0"/>
              <w:rPr>
                <w:sz w:val="15"/>
                <w:szCs w:val="15"/>
                <w:color w:val="auto"/>
              </w:rPr>
            </w:pPr>
          </w:p>
        </w:tc>
        <w:tc>
          <w:tcPr>
            <w:tcW w:w="9600" w:type="dxa"/>
            <w:vAlign w:val="bottom"/>
            <w:gridSpan w:val="46"/>
          </w:tcPr>
          <w:p>
            <w:pPr>
              <w:spacing w:after="0" w:line="183" w:lineRule="exact"/>
              <w:rPr>
                <w:rFonts w:ascii="Arial" w:cs="Arial" w:eastAsia="Arial" w:hAnsi="Arial"/>
                <w:sz w:val="18"/>
                <w:szCs w:val="18"/>
                <w:color w:val="0000EE"/>
              </w:rPr>
            </w:pPr>
            <w:hyperlink w:anchor="page81">
              <w:r>
                <w:rPr>
                  <w:rFonts w:ascii="Arial" w:cs="Arial" w:eastAsia="Arial" w:hAnsi="Arial"/>
                  <w:sz w:val="18"/>
                  <w:szCs w:val="18"/>
                  <w:color w:val="0000EE"/>
                </w:rPr>
                <w:t>Certification of the Principal Executive Officer required by Rule 13a-14(a) or Rule 15d-14(a).</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720" w:type="dxa"/>
            <w:vAlign w:val="bottom"/>
            <w:gridSpan w:val="3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60" w:type="dxa"/>
            <w:vAlign w:val="bottom"/>
          </w:tcPr>
          <w:p>
            <w:pPr>
              <w:spacing w:after="0"/>
              <w:rPr>
                <w:sz w:val="17"/>
                <w:szCs w:val="17"/>
                <w:color w:val="auto"/>
              </w:rPr>
            </w:pPr>
          </w:p>
        </w:tc>
        <w:tc>
          <w:tcPr>
            <w:tcW w:w="9600" w:type="dxa"/>
            <w:vAlign w:val="bottom"/>
            <w:gridSpan w:val="46"/>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Certification of the Principal Financial Officer required by Rule 13a-14(a) or Rule 15d-14(a).</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720" w:type="dxa"/>
            <w:vAlign w:val="bottom"/>
            <w:gridSpan w:val="36"/>
            <w:shd w:val="clear" w:color="auto" w:fill="0000EE"/>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60" w:type="dxa"/>
            <w:vAlign w:val="bottom"/>
          </w:tcPr>
          <w:p>
            <w:pPr>
              <w:spacing w:after="0"/>
              <w:rPr>
                <w:sz w:val="17"/>
                <w:szCs w:val="17"/>
                <w:color w:val="auto"/>
              </w:rPr>
            </w:pPr>
          </w:p>
        </w:tc>
        <w:tc>
          <w:tcPr>
            <w:tcW w:w="9600" w:type="dxa"/>
            <w:vAlign w:val="bottom"/>
            <w:gridSpan w:val="46"/>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Certification of the Principal Executive Officer required by Rule 13a-14(b) or Rule 15d-14(b) and 18 U.S.C. 1350</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160" w:type="dxa"/>
            <w:vAlign w:val="bottom"/>
            <w:gridSpan w:val="41"/>
            <w:shd w:val="clear" w:color="auto" w:fill="0000EE"/>
          </w:tcPr>
          <w:p>
            <w:pPr>
              <w:spacing w:after="0" w:line="20" w:lineRule="exact"/>
              <w:rPr>
                <w:sz w:val="1"/>
                <w:szCs w:val="1"/>
                <w:color w:val="auto"/>
              </w:rPr>
            </w:pPr>
          </w:p>
        </w:tc>
        <w:tc>
          <w:tcPr>
            <w:tcW w:w="1440" w:type="dxa"/>
            <w:vAlign w:val="bottom"/>
            <w:tcBorders>
              <w:left w:val="single" w:sz="8" w:color="0000EE"/>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60" w:type="dxa"/>
            <w:vAlign w:val="bottom"/>
          </w:tcPr>
          <w:p>
            <w:pPr>
              <w:spacing w:after="0"/>
              <w:rPr>
                <w:sz w:val="17"/>
                <w:szCs w:val="17"/>
                <w:color w:val="auto"/>
              </w:rPr>
            </w:pPr>
          </w:p>
        </w:tc>
        <w:tc>
          <w:tcPr>
            <w:tcW w:w="9600" w:type="dxa"/>
            <w:vAlign w:val="bottom"/>
            <w:gridSpan w:val="46"/>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Certification of the Principal Financial Officer required by Rule 13a-14(b) or Rule 15d-14(b) and 18 U.S.C. 1350</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160" w:type="dxa"/>
            <w:vAlign w:val="bottom"/>
            <w:gridSpan w:val="41"/>
            <w:shd w:val="clear" w:color="auto" w:fill="0000EE"/>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480" w:type="dxa"/>
            <w:vAlign w:val="bottom"/>
          </w:tcPr>
          <w:p>
            <w:pPr>
              <w:spacing w:after="0"/>
              <w:rPr>
                <w:sz w:val="20"/>
                <w:szCs w:val="20"/>
                <w:color w:val="auto"/>
              </w:rPr>
            </w:pPr>
            <w:r>
              <w:rPr>
                <w:rFonts w:ascii="Arial" w:cs="Arial" w:eastAsia="Arial" w:hAnsi="Arial"/>
                <w:sz w:val="18"/>
                <w:szCs w:val="18"/>
                <w:color w:val="auto"/>
              </w:rPr>
              <w:t>101.INS</w:t>
            </w:r>
          </w:p>
        </w:tc>
        <w:tc>
          <w:tcPr>
            <w:tcW w:w="60" w:type="dxa"/>
            <w:vAlign w:val="bottom"/>
          </w:tcPr>
          <w:p>
            <w:pPr>
              <w:spacing w:after="0"/>
              <w:rPr>
                <w:sz w:val="19"/>
                <w:szCs w:val="19"/>
                <w:color w:val="auto"/>
              </w:rPr>
            </w:pPr>
          </w:p>
        </w:tc>
        <w:tc>
          <w:tcPr>
            <w:tcW w:w="9600" w:type="dxa"/>
            <w:vAlign w:val="bottom"/>
            <w:gridSpan w:val="46"/>
          </w:tcPr>
          <w:p>
            <w:pPr>
              <w:spacing w:after="0"/>
              <w:rPr>
                <w:sz w:val="20"/>
                <w:szCs w:val="20"/>
                <w:color w:val="auto"/>
              </w:rPr>
            </w:pPr>
            <w:r>
              <w:rPr>
                <w:rFonts w:ascii="Arial" w:cs="Arial" w:eastAsia="Arial" w:hAnsi="Arial"/>
                <w:sz w:val="18"/>
                <w:szCs w:val="18"/>
                <w:color w:val="auto"/>
                <w:w w:val="93"/>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0" w:type="dxa"/>
            <w:vAlign w:val="bottom"/>
            <w:gridSpan w:val="46"/>
          </w:tcPr>
          <w:p>
            <w:pPr>
              <w:spacing w:after="0"/>
              <w:rPr>
                <w:sz w:val="20"/>
                <w:szCs w:val="20"/>
                <w:color w:val="auto"/>
              </w:rPr>
            </w:pPr>
            <w:r>
              <w:rPr>
                <w:rFonts w:ascii="Arial" w:cs="Arial" w:eastAsia="Arial" w:hAnsi="Arial"/>
                <w:sz w:val="18"/>
                <w:szCs w:val="18"/>
                <w:color w:val="auto"/>
              </w:rPr>
              <w:t>embedded within the Inline XBRL documents*</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101.SCH</w:t>
            </w:r>
          </w:p>
        </w:tc>
        <w:tc>
          <w:tcPr>
            <w:tcW w:w="60" w:type="dxa"/>
            <w:vAlign w:val="bottom"/>
          </w:tcPr>
          <w:p>
            <w:pPr>
              <w:spacing w:after="0"/>
              <w:rPr>
                <w:sz w:val="18"/>
                <w:szCs w:val="18"/>
                <w:color w:val="auto"/>
              </w:rPr>
            </w:pPr>
          </w:p>
        </w:tc>
        <w:tc>
          <w:tcPr>
            <w:tcW w:w="9600" w:type="dxa"/>
            <w:vAlign w:val="bottom"/>
            <w:gridSpan w:val="46"/>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101.CAL</w:t>
            </w:r>
          </w:p>
        </w:tc>
        <w:tc>
          <w:tcPr>
            <w:tcW w:w="60" w:type="dxa"/>
            <w:vAlign w:val="bottom"/>
          </w:tcPr>
          <w:p>
            <w:pPr>
              <w:spacing w:after="0"/>
              <w:rPr>
                <w:sz w:val="18"/>
                <w:szCs w:val="18"/>
                <w:color w:val="auto"/>
              </w:rPr>
            </w:pPr>
          </w:p>
        </w:tc>
        <w:tc>
          <w:tcPr>
            <w:tcW w:w="9600" w:type="dxa"/>
            <w:vAlign w:val="bottom"/>
            <w:gridSpan w:val="46"/>
          </w:tcPr>
          <w:p>
            <w:pPr>
              <w:spacing w:after="0"/>
              <w:rPr>
                <w:sz w:val="20"/>
                <w:szCs w:val="20"/>
                <w:color w:val="auto"/>
              </w:rPr>
            </w:pPr>
            <w:r>
              <w:rPr>
                <w:rFonts w:ascii="Arial" w:cs="Arial" w:eastAsia="Arial" w:hAnsi="Arial"/>
                <w:sz w:val="18"/>
                <w:szCs w:val="18"/>
                <w:color w:val="auto"/>
              </w:rPr>
              <w:t>Inline XBRL Taxonomy Calculation Linkbase*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101.LAB</w:t>
            </w:r>
          </w:p>
        </w:tc>
        <w:tc>
          <w:tcPr>
            <w:tcW w:w="60" w:type="dxa"/>
            <w:vAlign w:val="bottom"/>
          </w:tcPr>
          <w:p>
            <w:pPr>
              <w:spacing w:after="0"/>
              <w:rPr>
                <w:sz w:val="18"/>
                <w:szCs w:val="18"/>
                <w:color w:val="auto"/>
              </w:rPr>
            </w:pPr>
          </w:p>
        </w:tc>
        <w:tc>
          <w:tcPr>
            <w:tcW w:w="9600" w:type="dxa"/>
            <w:vAlign w:val="bottom"/>
            <w:gridSpan w:val="46"/>
          </w:tcPr>
          <w:p>
            <w:pPr>
              <w:spacing w:after="0"/>
              <w:rPr>
                <w:sz w:val="20"/>
                <w:szCs w:val="20"/>
                <w:color w:val="auto"/>
              </w:rPr>
            </w:pPr>
            <w:r>
              <w:rPr>
                <w:rFonts w:ascii="Arial" w:cs="Arial" w:eastAsia="Arial" w:hAnsi="Arial"/>
                <w:sz w:val="18"/>
                <w:szCs w:val="18"/>
                <w:color w:val="auto"/>
              </w:rPr>
              <w:t>Inline XBRL Taxonomy Label Linkbase*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101.PRE</w:t>
            </w:r>
          </w:p>
        </w:tc>
        <w:tc>
          <w:tcPr>
            <w:tcW w:w="60" w:type="dxa"/>
            <w:vAlign w:val="bottom"/>
          </w:tcPr>
          <w:p>
            <w:pPr>
              <w:spacing w:after="0"/>
              <w:rPr>
                <w:sz w:val="18"/>
                <w:szCs w:val="18"/>
                <w:color w:val="auto"/>
              </w:rPr>
            </w:pPr>
          </w:p>
        </w:tc>
        <w:tc>
          <w:tcPr>
            <w:tcW w:w="9600" w:type="dxa"/>
            <w:vAlign w:val="bottom"/>
            <w:gridSpan w:val="46"/>
          </w:tcPr>
          <w:p>
            <w:pPr>
              <w:spacing w:after="0"/>
              <w:rPr>
                <w:sz w:val="20"/>
                <w:szCs w:val="20"/>
                <w:color w:val="auto"/>
              </w:rPr>
            </w:pPr>
            <w:r>
              <w:rPr>
                <w:rFonts w:ascii="Arial" w:cs="Arial" w:eastAsia="Arial" w:hAnsi="Arial"/>
                <w:sz w:val="18"/>
                <w:szCs w:val="18"/>
                <w:color w:val="auto"/>
              </w:rPr>
              <w:t>Inline XBRL Taxonomy Extension Presentation*</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101.DEF</w:t>
            </w:r>
          </w:p>
        </w:tc>
        <w:tc>
          <w:tcPr>
            <w:tcW w:w="60" w:type="dxa"/>
            <w:vAlign w:val="bottom"/>
          </w:tcPr>
          <w:p>
            <w:pPr>
              <w:spacing w:after="0"/>
              <w:rPr>
                <w:sz w:val="20"/>
                <w:szCs w:val="20"/>
                <w:color w:val="auto"/>
              </w:rPr>
            </w:pPr>
          </w:p>
        </w:tc>
        <w:tc>
          <w:tcPr>
            <w:tcW w:w="9600" w:type="dxa"/>
            <w:vAlign w:val="bottom"/>
            <w:gridSpan w:val="46"/>
          </w:tcPr>
          <w:p>
            <w:pPr>
              <w:spacing w:after="0"/>
              <w:rPr>
                <w:sz w:val="20"/>
                <w:szCs w:val="20"/>
                <w:color w:val="auto"/>
              </w:rPr>
            </w:pPr>
            <w:r>
              <w:rPr>
                <w:rFonts w:ascii="Arial" w:cs="Arial" w:eastAsia="Arial" w:hAnsi="Arial"/>
                <w:sz w:val="18"/>
                <w:szCs w:val="18"/>
                <w:color w:val="auto"/>
              </w:rPr>
              <w:t>Inline XBRL Definition Linkbase Document*</w:t>
            </w:r>
          </w:p>
        </w:tc>
        <w:tc>
          <w:tcPr>
            <w:tcW w:w="0" w:type="dxa"/>
            <w:vAlign w:val="bottom"/>
          </w:tcPr>
          <w:p>
            <w:pPr>
              <w:spacing w:after="0"/>
              <w:rPr>
                <w:sz w:val="1"/>
                <w:szCs w:val="1"/>
                <w:color w:val="auto"/>
              </w:rPr>
            </w:pPr>
          </w:p>
        </w:tc>
      </w:tr>
    </w:tbl>
    <w:p>
      <w:pPr>
        <w:ind w:left="1600" w:hanging="1541"/>
        <w:spacing w:after="0" w:line="260" w:lineRule="auto"/>
        <w:tabs>
          <w:tab w:leader="none" w:pos="16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cover page for the Company’s Annual Report on Form 10-K for the year ended December 31, 2021, has been formatted in Inline XBRL and contained in Exhibit 101.*</w:t>
      </w:r>
    </w:p>
    <w:p>
      <w:pPr>
        <w:spacing w:after="0" w:line="19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w:t>
      </w:r>
      <w:r>
        <w:rPr>
          <w:rFonts w:ascii="Arial" w:cs="Arial" w:eastAsia="Arial" w:hAnsi="Arial"/>
          <w:sz w:val="13"/>
          <w:szCs w:val="13"/>
          <w:color w:val="auto"/>
        </w:rPr>
        <w:t>Filed herewith</w:t>
      </w:r>
    </w:p>
    <w:p>
      <w:pPr>
        <w:spacing w:after="0" w:line="95" w:lineRule="exact"/>
        <w:rPr>
          <w:rFonts w:ascii="Arial" w:cs="Arial" w:eastAsia="Arial" w:hAnsi="Arial"/>
          <w:sz w:val="18"/>
          <w:szCs w:val="18"/>
          <w:color w:val="auto"/>
        </w:rPr>
      </w:pPr>
    </w:p>
    <w:p>
      <w:pPr>
        <w:ind w:left="440" w:hanging="432"/>
        <w:spacing w:after="0"/>
        <w:tabs>
          <w:tab w:leader="none" w:pos="4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96" w:lineRule="exact"/>
        <w:rPr>
          <w:sz w:val="20"/>
          <w:szCs w:val="20"/>
          <w:color w:val="auto"/>
        </w:rPr>
      </w:pPr>
    </w:p>
    <w:p>
      <w:pPr>
        <w:ind w:left="440" w:hanging="432"/>
        <w:spacing w:after="0"/>
        <w:tabs>
          <w:tab w:leader="none" w:pos="4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Incorporated by reference to the Company’s Form 8-K, filed with the SEC on March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411480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67" w:name="page68"/>
    <w:bookmarkEnd w:id="67"/>
    <w:p>
      <w:pPr>
        <w:ind w:left="432" w:hanging="432"/>
        <w:spacing w:after="0"/>
        <w:tabs>
          <w:tab w:leader="none" w:pos="432"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Incorporated by reference to the Company’s Form S-1, initially filed with the SEC on February 22, 2021.</w:t>
      </w:r>
    </w:p>
    <w:p>
      <w:pPr>
        <w:spacing w:after="0" w:line="107" w:lineRule="exact"/>
        <w:rPr>
          <w:rFonts w:ascii="Arial" w:cs="Arial" w:eastAsia="Arial" w:hAnsi="Arial"/>
          <w:sz w:val="13"/>
          <w:szCs w:val="13"/>
          <w:color w:val="auto"/>
        </w:rPr>
      </w:pPr>
    </w:p>
    <w:p>
      <w:pPr>
        <w:ind w:left="432" w:hanging="432"/>
        <w:spacing w:after="0"/>
        <w:tabs>
          <w:tab w:leader="none" w:pos="432"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Incorporated by reference to the Company’s Form 8-K, filed with the SEC on October 6, 2021.</w:t>
      </w:r>
    </w:p>
    <w:p>
      <w:pPr>
        <w:spacing w:after="0" w:line="95" w:lineRule="exact"/>
        <w:rPr>
          <w:rFonts w:ascii="Arial" w:cs="Arial" w:eastAsia="Arial" w:hAnsi="Arial"/>
          <w:sz w:val="14"/>
          <w:szCs w:val="14"/>
          <w:color w:val="auto"/>
        </w:rPr>
      </w:pPr>
    </w:p>
    <w:p>
      <w:pPr>
        <w:ind w:left="432" w:hanging="432"/>
        <w:spacing w:after="0"/>
        <w:tabs>
          <w:tab w:leader="none" w:pos="432"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Incorporated by reference to the Company’s Form 8-K, filed with the SEC on December 23, 2021.</w:t>
      </w:r>
    </w:p>
    <w:p>
      <w:pPr>
        <w:spacing w:after="0" w:line="95" w:lineRule="exact"/>
        <w:rPr>
          <w:rFonts w:ascii="Arial" w:cs="Arial" w:eastAsia="Arial" w:hAnsi="Arial"/>
          <w:sz w:val="14"/>
          <w:szCs w:val="14"/>
          <w:color w:val="auto"/>
        </w:rPr>
      </w:pPr>
    </w:p>
    <w:p>
      <w:pPr>
        <w:ind w:left="432" w:hanging="432"/>
        <w:spacing w:after="0"/>
        <w:tabs>
          <w:tab w:leader="none" w:pos="432"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Incorporated by reference to the Company’s Form 8-K, filed with the SEC on January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865505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1"/>
          </w:cols>
          <w:pgMar w:left="328" w:top="796" w:right="1440"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report to be signed on its behalf by the undersigned, thereunto duly authorized.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Arial" w:cs="Arial" w:eastAsia="Arial" w:hAnsi="Arial"/>
                <w:sz w:val="18"/>
                <w:szCs w:val="18"/>
                <w:color w:val="auto"/>
              </w:rPr>
              <w:t>February 23, 2022</w:t>
            </w:r>
          </w:p>
        </w:tc>
        <w:tc>
          <w:tcPr>
            <w:tcW w:w="7760" w:type="dxa"/>
            <w:vAlign w:val="bottom"/>
            <w:gridSpan w:val="2"/>
          </w:tcPr>
          <w:p>
            <w:pPr>
              <w:ind w:left="2140"/>
              <w:spacing w:after="0"/>
              <w:rPr>
                <w:sz w:val="20"/>
                <w:szCs w:val="20"/>
                <w:color w:val="auto"/>
              </w:rPr>
            </w:pPr>
            <w:r>
              <w:rPr>
                <w:rFonts w:ascii="Arial" w:cs="Arial" w:eastAsia="Arial" w:hAnsi="Arial"/>
                <w:sz w:val="18"/>
                <w:szCs w:val="18"/>
                <w:b w:val="1"/>
                <w:bCs w:val="1"/>
                <w:color w:val="auto"/>
              </w:rPr>
              <w:t>Supernova Partners Acquisition Company II, Ltd.</w:t>
            </w:r>
          </w:p>
        </w:tc>
      </w:tr>
      <w:tr>
        <w:trPr>
          <w:trHeight w:val="432"/>
        </w:trPr>
        <w:tc>
          <w:tcPr>
            <w:tcW w:w="3480" w:type="dxa"/>
            <w:vAlign w:val="bottom"/>
          </w:tcPr>
          <w:p>
            <w:pPr>
              <w:spacing w:after="0"/>
              <w:rPr>
                <w:sz w:val="24"/>
                <w:szCs w:val="24"/>
                <w:color w:val="auto"/>
              </w:rPr>
            </w:pPr>
          </w:p>
        </w:tc>
        <w:tc>
          <w:tcPr>
            <w:tcW w:w="2840" w:type="dxa"/>
            <w:vAlign w:val="bottom"/>
          </w:tcPr>
          <w:p>
            <w:pPr>
              <w:ind w:left="214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D. Reid</w:t>
            </w:r>
          </w:p>
        </w:tc>
      </w:tr>
      <w:tr>
        <w:trPr>
          <w:trHeight w:val="195"/>
        </w:trPr>
        <w:tc>
          <w:tcPr>
            <w:tcW w:w="3480" w:type="dxa"/>
            <w:vAlign w:val="bottom"/>
          </w:tcPr>
          <w:p>
            <w:pPr>
              <w:spacing w:after="0"/>
              <w:rPr>
                <w:sz w:val="16"/>
                <w:szCs w:val="16"/>
                <w:color w:val="auto"/>
              </w:rPr>
            </w:pPr>
          </w:p>
        </w:tc>
        <w:tc>
          <w:tcPr>
            <w:tcW w:w="284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Robert D. Reid</w:t>
            </w:r>
          </w:p>
        </w:tc>
      </w:tr>
      <w:tr>
        <w:trPr>
          <w:trHeight w:val="216"/>
        </w:trPr>
        <w:tc>
          <w:tcPr>
            <w:tcW w:w="3480" w:type="dxa"/>
            <w:vAlign w:val="bottom"/>
          </w:tcPr>
          <w:p>
            <w:pPr>
              <w:spacing w:after="0"/>
              <w:rPr>
                <w:sz w:val="18"/>
                <w:szCs w:val="18"/>
                <w:color w:val="auto"/>
              </w:rPr>
            </w:pPr>
          </w:p>
        </w:tc>
        <w:tc>
          <w:tcPr>
            <w:tcW w:w="2840" w:type="dxa"/>
            <w:vAlign w:val="bottom"/>
          </w:tcPr>
          <w:p>
            <w:pPr>
              <w:ind w:left="214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34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 w:type="dxa"/>
            <w:vAlign w:val="bottom"/>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60" w:type="dxa"/>
            <w:vAlign w:val="bottom"/>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c>
          <w:tcPr>
            <w:tcW w:w="60" w:type="dxa"/>
            <w:vAlign w:val="bottom"/>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459"/>
        </w:trPr>
        <w:tc>
          <w:tcPr>
            <w:tcW w:w="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Spencer M. Rascoff</w:t>
            </w:r>
          </w:p>
        </w:tc>
        <w:tc>
          <w:tcPr>
            <w:tcW w:w="4560" w:type="dxa"/>
            <w:vAlign w:val="bottom"/>
            <w:gridSpan w:val="2"/>
            <w:vMerge w:val="restart"/>
          </w:tcPr>
          <w:p>
            <w:pPr>
              <w:ind w:left="60"/>
              <w:spacing w:after="0"/>
              <w:rPr>
                <w:sz w:val="20"/>
                <w:szCs w:val="20"/>
                <w:color w:val="auto"/>
              </w:rPr>
            </w:pPr>
            <w:r>
              <w:rPr>
                <w:rFonts w:ascii="Arial" w:cs="Arial" w:eastAsia="Arial" w:hAnsi="Arial"/>
                <w:sz w:val="18"/>
                <w:szCs w:val="18"/>
                <w:color w:val="auto"/>
              </w:rPr>
              <w:t>Co-Chair</w:t>
            </w:r>
          </w:p>
        </w:tc>
        <w:tc>
          <w:tcPr>
            <w:tcW w:w="60" w:type="dxa"/>
            <w:vAlign w:val="bottom"/>
          </w:tcPr>
          <w:p>
            <w:pPr>
              <w:spacing w:after="0"/>
              <w:rPr>
                <w:sz w:val="24"/>
                <w:szCs w:val="24"/>
                <w:color w:val="auto"/>
              </w:rPr>
            </w:pPr>
          </w:p>
        </w:tc>
        <w:tc>
          <w:tcPr>
            <w:tcW w:w="2660" w:type="dxa"/>
            <w:vAlign w:val="bottom"/>
            <w:vMerge w:val="restart"/>
          </w:tcPr>
          <w:p>
            <w:pPr>
              <w:ind w:left="40"/>
              <w:spacing w:after="0"/>
              <w:rPr>
                <w:sz w:val="20"/>
                <w:szCs w:val="20"/>
                <w:color w:val="auto"/>
              </w:rPr>
            </w:pPr>
            <w:r>
              <w:rPr>
                <w:rFonts w:ascii="Arial" w:cs="Arial" w:eastAsia="Arial" w:hAnsi="Arial"/>
                <w:sz w:val="18"/>
                <w:szCs w:val="18"/>
                <w:color w:val="auto"/>
              </w:rPr>
              <w:t>February 23, 2022</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Spencer M. Rascoff</w:t>
            </w:r>
          </w:p>
        </w:tc>
        <w:tc>
          <w:tcPr>
            <w:tcW w:w="45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74"/>
        </w:trPr>
        <w:tc>
          <w:tcPr>
            <w:tcW w:w="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Alexander M. Klabin</w:t>
            </w:r>
          </w:p>
        </w:tc>
        <w:tc>
          <w:tcPr>
            <w:tcW w:w="4560" w:type="dxa"/>
            <w:vAlign w:val="bottom"/>
            <w:gridSpan w:val="2"/>
            <w:vMerge w:val="restart"/>
          </w:tcPr>
          <w:p>
            <w:pPr>
              <w:ind w:left="60"/>
              <w:spacing w:after="0"/>
              <w:rPr>
                <w:sz w:val="20"/>
                <w:szCs w:val="20"/>
                <w:color w:val="auto"/>
              </w:rPr>
            </w:pPr>
            <w:r>
              <w:rPr>
                <w:rFonts w:ascii="Arial" w:cs="Arial" w:eastAsia="Arial" w:hAnsi="Arial"/>
                <w:sz w:val="18"/>
                <w:szCs w:val="18"/>
                <w:color w:val="auto"/>
              </w:rPr>
              <w:t>Co-Chair</w:t>
            </w:r>
          </w:p>
        </w:tc>
        <w:tc>
          <w:tcPr>
            <w:tcW w:w="60" w:type="dxa"/>
            <w:vAlign w:val="bottom"/>
          </w:tcPr>
          <w:p>
            <w:pPr>
              <w:spacing w:after="0"/>
              <w:rPr>
                <w:sz w:val="24"/>
                <w:szCs w:val="24"/>
                <w:color w:val="auto"/>
              </w:rPr>
            </w:pPr>
          </w:p>
        </w:tc>
        <w:tc>
          <w:tcPr>
            <w:tcW w:w="2660" w:type="dxa"/>
            <w:vAlign w:val="bottom"/>
            <w:vMerge w:val="restart"/>
          </w:tcPr>
          <w:p>
            <w:pPr>
              <w:ind w:left="40"/>
              <w:spacing w:after="0"/>
              <w:rPr>
                <w:sz w:val="20"/>
                <w:szCs w:val="20"/>
                <w:color w:val="auto"/>
              </w:rPr>
            </w:pPr>
            <w:r>
              <w:rPr>
                <w:rFonts w:ascii="Arial" w:cs="Arial" w:eastAsia="Arial" w:hAnsi="Arial"/>
                <w:sz w:val="18"/>
                <w:szCs w:val="18"/>
                <w:color w:val="auto"/>
              </w:rPr>
              <w:t>February 23, 2022</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Alexander M. Klabin</w:t>
            </w:r>
          </w:p>
        </w:tc>
        <w:tc>
          <w:tcPr>
            <w:tcW w:w="45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90"/>
        </w:trPr>
        <w:tc>
          <w:tcPr>
            <w:tcW w:w="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D. Reid</w:t>
            </w:r>
          </w:p>
        </w:tc>
        <w:tc>
          <w:tcPr>
            <w:tcW w:w="4560" w:type="dxa"/>
            <w:vAlign w:val="bottom"/>
            <w:gridSpan w:val="2"/>
            <w:vMerge w:val="restart"/>
          </w:tcPr>
          <w:p>
            <w:pPr>
              <w:ind w:left="60"/>
              <w:spacing w:after="0"/>
              <w:rPr>
                <w:sz w:val="20"/>
                <w:szCs w:val="20"/>
                <w:color w:val="auto"/>
              </w:rPr>
            </w:pPr>
            <w:r>
              <w:rPr>
                <w:rFonts w:ascii="Arial" w:cs="Arial" w:eastAsia="Arial" w:hAnsi="Arial"/>
                <w:sz w:val="18"/>
                <w:szCs w:val="18"/>
                <w:color w:val="auto"/>
              </w:rPr>
              <w:t>Chief Executive Officer and Director</w:t>
            </w:r>
          </w:p>
        </w:tc>
        <w:tc>
          <w:tcPr>
            <w:tcW w:w="60" w:type="dxa"/>
            <w:vAlign w:val="bottom"/>
          </w:tcPr>
          <w:p>
            <w:pPr>
              <w:spacing w:after="0"/>
              <w:rPr>
                <w:sz w:val="24"/>
                <w:szCs w:val="24"/>
                <w:color w:val="auto"/>
              </w:rPr>
            </w:pPr>
          </w:p>
        </w:tc>
        <w:tc>
          <w:tcPr>
            <w:tcW w:w="2660" w:type="dxa"/>
            <w:vAlign w:val="bottom"/>
            <w:vMerge w:val="restart"/>
          </w:tcPr>
          <w:p>
            <w:pPr>
              <w:ind w:left="40"/>
              <w:spacing w:after="0"/>
              <w:rPr>
                <w:sz w:val="20"/>
                <w:szCs w:val="20"/>
                <w:color w:val="auto"/>
              </w:rPr>
            </w:pPr>
            <w:r>
              <w:rPr>
                <w:rFonts w:ascii="Arial" w:cs="Arial" w:eastAsia="Arial" w:hAnsi="Arial"/>
                <w:sz w:val="18"/>
                <w:szCs w:val="18"/>
                <w:color w:val="auto"/>
              </w:rPr>
              <w:t>February 23, 2022</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Robert D. Reid</w:t>
            </w:r>
          </w:p>
        </w:tc>
        <w:tc>
          <w:tcPr>
            <w:tcW w:w="45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90"/>
        </w:trPr>
        <w:tc>
          <w:tcPr>
            <w:tcW w:w="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Clifton</w:t>
            </w:r>
          </w:p>
        </w:tc>
        <w:tc>
          <w:tcPr>
            <w:tcW w:w="4560" w:type="dxa"/>
            <w:vAlign w:val="bottom"/>
            <w:gridSpan w:val="2"/>
            <w:vMerge w:val="restart"/>
          </w:tcPr>
          <w:p>
            <w:pPr>
              <w:ind w:left="60"/>
              <w:spacing w:after="0"/>
              <w:rPr>
                <w:sz w:val="20"/>
                <w:szCs w:val="20"/>
                <w:color w:val="auto"/>
              </w:rPr>
            </w:pPr>
            <w:r>
              <w:rPr>
                <w:rFonts w:ascii="Arial" w:cs="Arial" w:eastAsia="Arial" w:hAnsi="Arial"/>
                <w:sz w:val="18"/>
                <w:szCs w:val="18"/>
                <w:color w:val="auto"/>
                <w:w w:val="94"/>
              </w:rPr>
              <w:t>Chief Financial Officer and Director (Principal Financial and</w:t>
            </w:r>
          </w:p>
        </w:tc>
        <w:tc>
          <w:tcPr>
            <w:tcW w:w="60" w:type="dxa"/>
            <w:vAlign w:val="bottom"/>
          </w:tcPr>
          <w:p>
            <w:pPr>
              <w:spacing w:after="0"/>
              <w:rPr>
                <w:sz w:val="24"/>
                <w:szCs w:val="24"/>
                <w:color w:val="auto"/>
              </w:rPr>
            </w:pPr>
          </w:p>
        </w:tc>
        <w:tc>
          <w:tcPr>
            <w:tcW w:w="2660" w:type="dxa"/>
            <w:vAlign w:val="bottom"/>
            <w:vMerge w:val="restart"/>
          </w:tcPr>
          <w:p>
            <w:pPr>
              <w:ind w:left="40"/>
              <w:spacing w:after="0"/>
              <w:rPr>
                <w:sz w:val="20"/>
                <w:szCs w:val="20"/>
                <w:color w:val="auto"/>
              </w:rPr>
            </w:pPr>
            <w:r>
              <w:rPr>
                <w:rFonts w:ascii="Arial" w:cs="Arial" w:eastAsia="Arial" w:hAnsi="Arial"/>
                <w:sz w:val="18"/>
                <w:szCs w:val="18"/>
                <w:color w:val="auto"/>
              </w:rPr>
              <w:t>February 23, 2022</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45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Michael S. Clifton</w:t>
            </w:r>
          </w:p>
        </w:tc>
        <w:tc>
          <w:tcPr>
            <w:tcW w:w="4560" w:type="dxa"/>
            <w:vAlign w:val="bottom"/>
            <w:gridSpan w:val="2"/>
          </w:tcPr>
          <w:p>
            <w:pPr>
              <w:ind w:left="60"/>
              <w:spacing w:after="0"/>
              <w:rPr>
                <w:sz w:val="20"/>
                <w:szCs w:val="20"/>
                <w:color w:val="auto"/>
              </w:rPr>
            </w:pPr>
            <w:r>
              <w:rPr>
                <w:rFonts w:ascii="Arial" w:cs="Arial" w:eastAsia="Arial" w:hAnsi="Arial"/>
                <w:sz w:val="18"/>
                <w:szCs w:val="18"/>
                <w:color w:val="auto"/>
              </w:rPr>
              <w:t>Accounting Officer)</w:t>
            </w:r>
          </w:p>
        </w:tc>
        <w:tc>
          <w:tcPr>
            <w:tcW w:w="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Katie Curnutte</w:t>
            </w:r>
          </w:p>
        </w:tc>
        <w:tc>
          <w:tcPr>
            <w:tcW w:w="4560" w:type="dxa"/>
            <w:vAlign w:val="bottom"/>
            <w:gridSpan w:val="2"/>
            <w:vMerge w:val="restart"/>
          </w:tcPr>
          <w:p>
            <w:pPr>
              <w:ind w:left="60"/>
              <w:spacing w:after="0"/>
              <w:rPr>
                <w:sz w:val="20"/>
                <w:szCs w:val="20"/>
                <w:color w:val="auto"/>
              </w:rPr>
            </w:pPr>
            <w:r>
              <w:rPr>
                <w:rFonts w:ascii="Arial" w:cs="Arial" w:eastAsia="Arial" w:hAnsi="Arial"/>
                <w:sz w:val="18"/>
                <w:szCs w:val="18"/>
                <w:color w:val="auto"/>
              </w:rPr>
              <w:t>Director</w:t>
            </w:r>
          </w:p>
        </w:tc>
        <w:tc>
          <w:tcPr>
            <w:tcW w:w="60" w:type="dxa"/>
            <w:vAlign w:val="bottom"/>
          </w:tcPr>
          <w:p>
            <w:pPr>
              <w:spacing w:after="0"/>
              <w:rPr>
                <w:sz w:val="24"/>
                <w:szCs w:val="24"/>
                <w:color w:val="auto"/>
              </w:rPr>
            </w:pPr>
          </w:p>
        </w:tc>
        <w:tc>
          <w:tcPr>
            <w:tcW w:w="2660" w:type="dxa"/>
            <w:vAlign w:val="bottom"/>
            <w:vMerge w:val="restart"/>
          </w:tcPr>
          <w:p>
            <w:pPr>
              <w:ind w:left="40"/>
              <w:spacing w:after="0"/>
              <w:rPr>
                <w:sz w:val="20"/>
                <w:szCs w:val="20"/>
                <w:color w:val="auto"/>
              </w:rPr>
            </w:pPr>
            <w:r>
              <w:rPr>
                <w:rFonts w:ascii="Arial" w:cs="Arial" w:eastAsia="Arial" w:hAnsi="Arial"/>
                <w:sz w:val="18"/>
                <w:szCs w:val="18"/>
                <w:color w:val="auto"/>
              </w:rPr>
              <w:t>February 23, 2022</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Katie Curnutte</w:t>
            </w:r>
          </w:p>
        </w:tc>
        <w:tc>
          <w:tcPr>
            <w:tcW w:w="45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90"/>
        </w:trPr>
        <w:tc>
          <w:tcPr>
            <w:tcW w:w="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 Fox</w:t>
            </w:r>
          </w:p>
        </w:tc>
        <w:tc>
          <w:tcPr>
            <w:tcW w:w="4560" w:type="dxa"/>
            <w:vAlign w:val="bottom"/>
            <w:gridSpan w:val="2"/>
            <w:vMerge w:val="restart"/>
          </w:tcPr>
          <w:p>
            <w:pPr>
              <w:ind w:left="60"/>
              <w:spacing w:after="0"/>
              <w:rPr>
                <w:sz w:val="20"/>
                <w:szCs w:val="20"/>
                <w:color w:val="auto"/>
              </w:rPr>
            </w:pPr>
            <w:r>
              <w:rPr>
                <w:rFonts w:ascii="Arial" w:cs="Arial" w:eastAsia="Arial" w:hAnsi="Arial"/>
                <w:sz w:val="18"/>
                <w:szCs w:val="18"/>
                <w:color w:val="auto"/>
              </w:rPr>
              <w:t>Director</w:t>
            </w:r>
          </w:p>
        </w:tc>
        <w:tc>
          <w:tcPr>
            <w:tcW w:w="60" w:type="dxa"/>
            <w:vAlign w:val="bottom"/>
          </w:tcPr>
          <w:p>
            <w:pPr>
              <w:spacing w:after="0"/>
              <w:rPr>
                <w:sz w:val="24"/>
                <w:szCs w:val="24"/>
                <w:color w:val="auto"/>
              </w:rPr>
            </w:pPr>
          </w:p>
        </w:tc>
        <w:tc>
          <w:tcPr>
            <w:tcW w:w="2660" w:type="dxa"/>
            <w:vAlign w:val="bottom"/>
            <w:vMerge w:val="restart"/>
          </w:tcPr>
          <w:p>
            <w:pPr>
              <w:ind w:left="40"/>
              <w:spacing w:after="0"/>
              <w:rPr>
                <w:sz w:val="20"/>
                <w:szCs w:val="20"/>
                <w:color w:val="auto"/>
              </w:rPr>
            </w:pPr>
            <w:r>
              <w:rPr>
                <w:rFonts w:ascii="Arial" w:cs="Arial" w:eastAsia="Arial" w:hAnsi="Arial"/>
                <w:sz w:val="18"/>
                <w:szCs w:val="18"/>
                <w:color w:val="auto"/>
              </w:rPr>
              <w:t>February 23, 2022</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Ken Fox</w:t>
            </w:r>
          </w:p>
        </w:tc>
        <w:tc>
          <w:tcPr>
            <w:tcW w:w="45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90"/>
        </w:trPr>
        <w:tc>
          <w:tcPr>
            <w:tcW w:w="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Damien Hooper-Campbell</w:t>
            </w:r>
          </w:p>
        </w:tc>
        <w:tc>
          <w:tcPr>
            <w:tcW w:w="4560" w:type="dxa"/>
            <w:vAlign w:val="bottom"/>
            <w:gridSpan w:val="2"/>
            <w:vMerge w:val="restart"/>
          </w:tcPr>
          <w:p>
            <w:pPr>
              <w:ind w:left="60"/>
              <w:spacing w:after="0"/>
              <w:rPr>
                <w:sz w:val="20"/>
                <w:szCs w:val="20"/>
                <w:color w:val="auto"/>
              </w:rPr>
            </w:pPr>
            <w:r>
              <w:rPr>
                <w:rFonts w:ascii="Arial" w:cs="Arial" w:eastAsia="Arial" w:hAnsi="Arial"/>
                <w:sz w:val="18"/>
                <w:szCs w:val="18"/>
                <w:color w:val="auto"/>
              </w:rPr>
              <w:t>Director</w:t>
            </w:r>
          </w:p>
        </w:tc>
        <w:tc>
          <w:tcPr>
            <w:tcW w:w="60" w:type="dxa"/>
            <w:vAlign w:val="bottom"/>
          </w:tcPr>
          <w:p>
            <w:pPr>
              <w:spacing w:after="0"/>
              <w:rPr>
                <w:sz w:val="24"/>
                <w:szCs w:val="24"/>
                <w:color w:val="auto"/>
              </w:rPr>
            </w:pPr>
          </w:p>
        </w:tc>
        <w:tc>
          <w:tcPr>
            <w:tcW w:w="2660" w:type="dxa"/>
            <w:vAlign w:val="bottom"/>
            <w:vMerge w:val="restart"/>
          </w:tcPr>
          <w:p>
            <w:pPr>
              <w:ind w:left="40"/>
              <w:spacing w:after="0"/>
              <w:rPr>
                <w:sz w:val="20"/>
                <w:szCs w:val="20"/>
                <w:color w:val="auto"/>
              </w:rPr>
            </w:pPr>
            <w:r>
              <w:rPr>
                <w:rFonts w:ascii="Arial" w:cs="Arial" w:eastAsia="Arial" w:hAnsi="Arial"/>
                <w:sz w:val="18"/>
                <w:szCs w:val="18"/>
                <w:color w:val="auto"/>
              </w:rPr>
              <w:t>February 23, 2022</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Damien Hooper-Campbell</w:t>
            </w:r>
          </w:p>
        </w:tc>
        <w:tc>
          <w:tcPr>
            <w:tcW w:w="45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90"/>
        </w:trPr>
        <w:tc>
          <w:tcPr>
            <w:tcW w:w="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Jim Lazone</w:t>
            </w:r>
          </w:p>
        </w:tc>
        <w:tc>
          <w:tcPr>
            <w:tcW w:w="4560" w:type="dxa"/>
            <w:vAlign w:val="bottom"/>
            <w:gridSpan w:val="2"/>
            <w:vMerge w:val="restart"/>
          </w:tcPr>
          <w:p>
            <w:pPr>
              <w:ind w:left="60"/>
              <w:spacing w:after="0"/>
              <w:rPr>
                <w:sz w:val="20"/>
                <w:szCs w:val="20"/>
                <w:color w:val="auto"/>
              </w:rPr>
            </w:pPr>
            <w:r>
              <w:rPr>
                <w:rFonts w:ascii="Arial" w:cs="Arial" w:eastAsia="Arial" w:hAnsi="Arial"/>
                <w:sz w:val="18"/>
                <w:szCs w:val="18"/>
                <w:color w:val="auto"/>
              </w:rPr>
              <w:t>Director</w:t>
            </w:r>
          </w:p>
        </w:tc>
        <w:tc>
          <w:tcPr>
            <w:tcW w:w="60" w:type="dxa"/>
            <w:vAlign w:val="bottom"/>
          </w:tcPr>
          <w:p>
            <w:pPr>
              <w:spacing w:after="0"/>
              <w:rPr>
                <w:sz w:val="24"/>
                <w:szCs w:val="24"/>
                <w:color w:val="auto"/>
              </w:rPr>
            </w:pPr>
          </w:p>
        </w:tc>
        <w:tc>
          <w:tcPr>
            <w:tcW w:w="2660" w:type="dxa"/>
            <w:vAlign w:val="bottom"/>
            <w:vMerge w:val="restart"/>
          </w:tcPr>
          <w:p>
            <w:pPr>
              <w:ind w:left="40"/>
              <w:spacing w:after="0"/>
              <w:rPr>
                <w:sz w:val="20"/>
                <w:szCs w:val="20"/>
                <w:color w:val="auto"/>
              </w:rPr>
            </w:pPr>
            <w:r>
              <w:rPr>
                <w:rFonts w:ascii="Arial" w:cs="Arial" w:eastAsia="Arial" w:hAnsi="Arial"/>
                <w:sz w:val="18"/>
                <w:szCs w:val="18"/>
                <w:color w:val="auto"/>
              </w:rPr>
              <w:t>February 23, 2022</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Jim Lazone</w:t>
            </w:r>
          </w:p>
        </w:tc>
        <w:tc>
          <w:tcPr>
            <w:tcW w:w="45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90"/>
        </w:trPr>
        <w:tc>
          <w:tcPr>
            <w:tcW w:w="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Gregg Renfrew</w:t>
            </w:r>
          </w:p>
        </w:tc>
        <w:tc>
          <w:tcPr>
            <w:tcW w:w="4560" w:type="dxa"/>
            <w:vAlign w:val="bottom"/>
            <w:gridSpan w:val="2"/>
            <w:vMerge w:val="restart"/>
          </w:tcPr>
          <w:p>
            <w:pPr>
              <w:ind w:left="60"/>
              <w:spacing w:after="0"/>
              <w:rPr>
                <w:sz w:val="20"/>
                <w:szCs w:val="20"/>
                <w:color w:val="auto"/>
              </w:rPr>
            </w:pPr>
            <w:r>
              <w:rPr>
                <w:rFonts w:ascii="Arial" w:cs="Arial" w:eastAsia="Arial" w:hAnsi="Arial"/>
                <w:sz w:val="18"/>
                <w:szCs w:val="18"/>
                <w:color w:val="auto"/>
              </w:rPr>
              <w:t>Director</w:t>
            </w:r>
          </w:p>
        </w:tc>
        <w:tc>
          <w:tcPr>
            <w:tcW w:w="60" w:type="dxa"/>
            <w:vAlign w:val="bottom"/>
          </w:tcPr>
          <w:p>
            <w:pPr>
              <w:spacing w:after="0"/>
              <w:rPr>
                <w:sz w:val="24"/>
                <w:szCs w:val="24"/>
                <w:color w:val="auto"/>
              </w:rPr>
            </w:pPr>
          </w:p>
        </w:tc>
        <w:tc>
          <w:tcPr>
            <w:tcW w:w="2660" w:type="dxa"/>
            <w:vAlign w:val="bottom"/>
            <w:vMerge w:val="restart"/>
          </w:tcPr>
          <w:p>
            <w:pPr>
              <w:ind w:left="40"/>
              <w:spacing w:after="0"/>
              <w:rPr>
                <w:sz w:val="20"/>
                <w:szCs w:val="20"/>
                <w:color w:val="auto"/>
              </w:rPr>
            </w:pPr>
            <w:r>
              <w:rPr>
                <w:rFonts w:ascii="Arial" w:cs="Arial" w:eastAsia="Arial" w:hAnsi="Arial"/>
                <w:sz w:val="18"/>
                <w:szCs w:val="18"/>
                <w:color w:val="auto"/>
              </w:rPr>
              <w:t>February 23, 2022</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Gregg Renfrew</w:t>
            </w:r>
          </w:p>
        </w:tc>
        <w:tc>
          <w:tcPr>
            <w:tcW w:w="45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90"/>
        </w:trPr>
        <w:tc>
          <w:tcPr>
            <w:tcW w:w="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Rajeev Singh</w:t>
            </w:r>
          </w:p>
        </w:tc>
        <w:tc>
          <w:tcPr>
            <w:tcW w:w="4560" w:type="dxa"/>
            <w:vAlign w:val="bottom"/>
            <w:gridSpan w:val="2"/>
            <w:vMerge w:val="restart"/>
          </w:tcPr>
          <w:p>
            <w:pPr>
              <w:ind w:left="60"/>
              <w:spacing w:after="0"/>
              <w:rPr>
                <w:sz w:val="20"/>
                <w:szCs w:val="20"/>
                <w:color w:val="auto"/>
              </w:rPr>
            </w:pPr>
            <w:r>
              <w:rPr>
                <w:rFonts w:ascii="Arial" w:cs="Arial" w:eastAsia="Arial" w:hAnsi="Arial"/>
                <w:sz w:val="18"/>
                <w:szCs w:val="18"/>
                <w:color w:val="auto"/>
              </w:rPr>
              <w:t>Director</w:t>
            </w:r>
          </w:p>
        </w:tc>
        <w:tc>
          <w:tcPr>
            <w:tcW w:w="60" w:type="dxa"/>
            <w:vAlign w:val="bottom"/>
          </w:tcPr>
          <w:p>
            <w:pPr>
              <w:spacing w:after="0"/>
              <w:rPr>
                <w:sz w:val="24"/>
                <w:szCs w:val="24"/>
                <w:color w:val="auto"/>
              </w:rPr>
            </w:pPr>
          </w:p>
        </w:tc>
        <w:tc>
          <w:tcPr>
            <w:tcW w:w="2660" w:type="dxa"/>
            <w:vAlign w:val="bottom"/>
            <w:vMerge w:val="restart"/>
          </w:tcPr>
          <w:p>
            <w:pPr>
              <w:ind w:left="40"/>
              <w:spacing w:after="0"/>
              <w:rPr>
                <w:sz w:val="20"/>
                <w:szCs w:val="20"/>
                <w:color w:val="auto"/>
              </w:rPr>
            </w:pPr>
            <w:r>
              <w:rPr>
                <w:rFonts w:ascii="Arial" w:cs="Arial" w:eastAsia="Arial" w:hAnsi="Arial"/>
                <w:sz w:val="18"/>
                <w:szCs w:val="18"/>
                <w:color w:val="auto"/>
              </w:rPr>
              <w:t>February 23, 2022</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Rajeev Singh</w:t>
            </w:r>
          </w:p>
        </w:tc>
        <w:tc>
          <w:tcPr>
            <w:tcW w:w="45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148"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4.5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the Company’s Securities Registered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 Section 12 of the Exchange Act of 1934</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description of our units, ordinary shares and warrants is a summary and does not purport to be complete. It is subject to and qualified in its entirety by reference to our amended and restated memorandum and articles of association and warrant agreement, each of which are incorporated by reference as an exhibit to the Annual Report on Form 10-K of which this Exhibit 4.5 is a part.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Each unit consists of one Class A ordinary share and one-fourth of one redeemable warrant. Each whole warrant entitles the holder thereof to purchase one share of our Class A ordinary share at a price of $11.50 per Unit, subject to adjustment as described below. Pursuant to the warrant agreement, a warrant holder may exercise its warrants only for a whole number of Class A ordinary shares. This means that only a whole warrant may be exercised at any given time by a warrant holder. No fractional warrants will be issued upon separation of the units and only whole warrants will trade. Accordingly, unless a holder purchases at least three units, they will not be able to receive or trade a whole warrant.</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Holders have the option to continue to hold units or separate their units into the component securities. Holders will need to have their brokers contact our transfer agent in order to separate the units into Class A ordinary shares and warrants.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Pursuant to our amended and restated memorandum and articles of association, our authorized capital stock consists of 500,000,000 Class A ordinary shares, $0.0001 par value, and 50,000,000 Class B ordinary shares, $0.0001 par value. As of December 31, 2021, there were 34,500,000 Class A ordinary shares, par value $0.0001 per share, and 8,625,000 shares of the Company’s Class B ordinary shares, par value $0.0001 per share, of the registrant issued and outstanding. 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our shareholders except as required by law. Unless specified in our amended and restated memorandum and articles of association, or as required by applicable provisions of the Companies Act (2020 Revision) of the Cayman Islands (the “Companies Act”) or applicable stock exchange rules, the affirmative vote of a majority of our ordinary shares that are voted is required to approve any such matter voted on by our shareholders. Approval of certain actions will require a special resolution under Cayman Islands law, being the affirmative vote of at least two-thirds of our ordinary shares that are voted, and pursuant to our amended and restated memorandum and articles of association; such actions include amending our amended and restated memorandum and articles of association and approving a statutory merger or consolidation with another company. Our board of directors is divided into three classes, each of which will generally serve for a term of three years with only one class of directors being appointed in each year. There is no cumulative voting with respect to the appointment of directors, with the result that the holders of more than 50% of the shares voted for the appointment of directors can appoint all of the directors. Our shareholders are entitled to receive ratable dividends when, as and if declared by the board of directors out of funds legally available therefor. Prior to our initial business combination, only holders of our founder shares will have the right to vote on the appointment of directors. Holders of our public shares will not be entitled to vote on the appointment of directors during such time. In addition, prior to the completion of an initial business combination, holders of a majority of our founder shares may remove a member of the board of directors for any reason. In addition, in a vote to continue the Company in a jurisdiction outside the Cayman Islands (which requires the approval of at least two thirds of the votes of all ordinary shares), holders of our Class B ordinary shares will have ten votes for every Class B ordinary share and holders of our Class A ordinary shares will have one vote for every Class A ordinary share. The provisions of our amended and restated memorandum and articles of association governing the appointment or removal of directors prior to our initial business combination and our continuation in a jurisdiction outside the Cayman Islands prior to our initial business combination may only be amended by a special resolution passed by not less than two-thirds of our ordinary shares who attend and vote at our general meeting which shall include the affirmative vote of a simple majority of our Class B ordinary shares.</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our amended and restated memorandum and articles of association authorize the issuance of up to 500,000,000 Class A ordinary shares, if we enter into a business combination, we may (depending on the terms of such a business combination) be required to increase the number of Class A ordinary shares which we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both"/>
        <w:spacing w:after="0" w:line="277" w:lineRule="auto"/>
        <w:rPr>
          <w:sz w:val="20"/>
          <w:szCs w:val="20"/>
          <w:color w:val="auto"/>
        </w:rPr>
      </w:pPr>
      <w:r>
        <w:rPr>
          <w:rFonts w:ascii="Arial" w:cs="Arial" w:eastAsia="Arial" w:hAnsi="Arial"/>
          <w:sz w:val="18"/>
          <w:szCs w:val="18"/>
          <w:color w:val="auto"/>
        </w:rPr>
        <w:t>authorized to issue at the same time as our shareholders vote on the business combination to the extent we seek shareholder approval in connection with our initial business combination.</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board of directors is divided into three classes with only one class of directors being appointed in each year and each class (except for those directors appointed prior to our first annual general meeting) serving a three-year term. In accordance with the New York Stock Exchange (the “NYSE”) corporate governance requirements, we are not required to hold an annual general meeting until one year after our first fiscal year end following our listing on the NYSE. There is no requirement under the Companies Act for us to hold annual or general meetings to appoint directors. We may not hold an annual general meeting to appoint new directors prior to the consummation of our initial business combination. 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spacing w:after="0" w:line="8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will provide our shareholders with the opportunity to redeem all or a portion of their public shares upon the completion of our initial business combination at a per-share price, payable in cash, equal to the aggregate amount then on deposit in the trust account as of two business days prior to the consummation of our initial business combination including interest earned on the funds held in the trust account and not previously released to us to pay our franchise and income taxes as well as expenses relating to the administration of the trust account, divided by the number of then outstanding public shares, subject to the limitations described herein. The per-share amount we will distribute to investors who properly redeem their shares will not be reduced by the deferred underwriting commissions we paid to the underwriters. 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law, if a shareholder vote is not required by law and we do not decide to hold a shareholder vote for business or other legal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requires these tender offer documents to contain substantially the same financial and other information about the initial business combination and the redemption rights as is required under the SEC’s proxy rules. If, however, shareholder approval of the transaction is required by law, or we decide to obtain shareholder approval for business or other legal reasons, we will, like many blank check companies, offer to redeem shares in conjunction with a proxy solicitation pursuant to the proxy rules and not pursuant to the tender offer rules. If we seek shareholder approval, we will complete our initial business combination only if a majority of the outstanding shares of ordinary shares voted are voted in favor of the business combination. If we seek shareholder approval, we will complete our initial business combination only if we obtain the approval of an ordinary resolution under Cayman Islands law, which requires the affirmative vote of a majority of the shareholders who attend and vote at a general meeting of the company. In such case, our sponsor and each member of our management team have agreed to vote their founder shares and public shares in favor of our initial business combination.</w:t>
      </w:r>
    </w:p>
    <w:p>
      <w:pPr>
        <w:spacing w:after="0" w:line="2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our initial public offering, which we refer to as the “Excess Shares,” without our prior consent.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15% and, in order to dispose such shares would be required to sell their shares in open market transactions, potentially at a loss.</w:t>
      </w:r>
    </w:p>
    <w:p>
      <w:pPr>
        <w:spacing w:after="0" w:line="6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Pursuant to our amended and restated memorandum and articles of association, if we have not completed our initial business combination within 24 months from the closing of the initial public offering, we will (i) cease all operations except for the purpose of winding up; (ii) as promptly as reasonably possible but not more than ten business days thereafter, redeem the public shares, at a per-share price, payable in cash, equal to the aggregate amount then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jc w:val="both"/>
        <w:spacing w:after="0" w:line="287" w:lineRule="auto"/>
        <w:rPr>
          <w:sz w:val="20"/>
          <w:szCs w:val="20"/>
          <w:color w:val="auto"/>
        </w:rPr>
      </w:pPr>
      <w:r>
        <w:rPr>
          <w:rFonts w:ascii="Arial" w:cs="Arial" w:eastAsia="Arial" w:hAnsi="Arial"/>
          <w:sz w:val="16"/>
          <w:szCs w:val="16"/>
          <w:color w:val="auto"/>
        </w:rPr>
        <w:t>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each case to our obligations under Cayman Islands law to provide for claims of creditors and the requirements of other applicable law. Our sponsor and each member of our management team have entered into an agreement with us, pursuant to which they have agreed to waive their rights to liquidating distributions from the trust account with respect to any founder shares they hold if we fail to consummate an initial business combination within 24 months from the closing of the initial public offering or during any Extension Period (although they will be entitled to liquidating distributions from the trust account with respect to any public shares they hold if we fail to complete our initial business combination within the prescribed time frame). Our amended and restated memorandum and articles of association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6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public shareholders with the opportunity to redeem their public shares for cash at a per share price equal to the aggregate amount then on deposit in the trust account, including interest earned on the funds held in the trust account and not previously released to us to pay our income taxes, if any, divided by the number of the then-outstanding public shares, upon the completion of our initial business combination, subject to the limitations described herein.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Warrants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whole warrant entitles the registered holder to purchase one Class A ordinary share at a price of $11.50 per whole share, subject to adjustment as discussed below, at any time commencing the initial public offering and 30 days after the completion of our initial business combination, except as discussed in the immediately succeeding paragraph. Pursuant to the warrant agreement, a warrant holder may exercise it warrants only for a whole number of Class A ordinary shares. This means only a whole warrant may be exercised at a given time by a warrant holder. No fractional warrants will be issued and only whole warrants will trade. Accordingly, unless you have purchased at least four units, you will not be able to receive or trade a whole warrant. The warrants will expire five years after the completion of our initial business combination, at 5:00 p.m., New York City time, or earlier upon redemption or liquidation.</w:t>
      </w:r>
    </w:p>
    <w:p>
      <w:pPr>
        <w:spacing w:after="0" w:line="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agreed that as soon as practicable, but in no event later than twenty business days after the closing of our initial business combination, we will use our commercially reasonable efforts to file with the SEC a post-effective amendment to the initial public offering registration statement or a new a registration statement for the registration, under the Securities Act, of the Class A ordinary shares issuable upon exercise of the warrants, and we will use our commercially reasonable efforts to cause the same to become effective within 60 business days after the closing of our initial business combination, and to maintain the effectiveness of such registration statement and a current prospectus relating to those Class A ordinary shares until the warrants expire or are redeemed, as specified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2" w:name="page73"/>
    <w:bookmarkEnd w:id="72"/>
    <w:p>
      <w:pPr>
        <w:jc w:val="both"/>
        <w:spacing w:after="0" w:line="268" w:lineRule="auto"/>
        <w:rPr>
          <w:sz w:val="20"/>
          <w:szCs w:val="20"/>
          <w:color w:val="auto"/>
        </w:rPr>
      </w:pPr>
      <w:r>
        <w:rPr>
          <w:rFonts w:ascii="Arial" w:cs="Arial" w:eastAsia="Arial" w:hAnsi="Arial"/>
          <w:sz w:val="17"/>
          <w:szCs w:val="17"/>
          <w:color w:val="auto"/>
        </w:rPr>
        <w:t>warrant agreement; provided that if our Class A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but we will use our commercially reasonably efforts to register or qualify the shares under applicable blue sky laws to the extent an exemption is not available. In such event, each holder would pay the exercise price by surrendering the warrants for that number of Class A ordinary shares equal to the lesser of (A) the quotient obtained by dividing (x) the product of the number of Class A ordinary shares underlying the warrants, multiplied by the excess of the “fair market value” (defined below) less the exercise price of the warrants by (y) the fair market value and (B) 0.361 per warrant. The “fair market value” as used in this paragraph shall mean the volume weighted average price of the Class A ordinary shares for the 10 trading days ending on the trading day prior to the date on which the notice of exercise is received by the warrant agent.</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Redemption of warrants when the price per share of Class A ordinary shares equals or exceeds $18.00. </w:t>
      </w:r>
      <w:r>
        <w:rPr>
          <w:rFonts w:ascii="Arial" w:cs="Arial" w:eastAsia="Arial" w:hAnsi="Arial"/>
          <w:sz w:val="18"/>
          <w:szCs w:val="18"/>
          <w:color w:val="auto"/>
        </w:rPr>
        <w:t>Once the warrants become exercisable, we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warrants (except as described herein with respect to the private placement warrants):</w:t>
      </w:r>
    </w:p>
    <w:p>
      <w:pPr>
        <w:spacing w:after="0" w:line="62" w:lineRule="exact"/>
        <w:rPr>
          <w:sz w:val="20"/>
          <w:szCs w:val="20"/>
          <w:color w:val="auto"/>
        </w:rPr>
      </w:pPr>
    </w:p>
    <w:p>
      <w:pPr>
        <w:ind w:left="860" w:hanging="424"/>
        <w:spacing w:after="0"/>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333" w:lineRule="exact"/>
        <w:rPr>
          <w:rFonts w:ascii="Arial" w:cs="Arial" w:eastAsia="Arial" w:hAnsi="Arial"/>
          <w:sz w:val="18"/>
          <w:szCs w:val="18"/>
          <w:color w:val="auto"/>
        </w:rPr>
      </w:pPr>
    </w:p>
    <w:p>
      <w:pPr>
        <w:ind w:left="860" w:hanging="424"/>
        <w:spacing w:after="0"/>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860" w:hanging="424"/>
        <w:spacing w:after="0"/>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(the “30-day redemption period”) to each warrant holder; and</w:t>
      </w:r>
    </w:p>
    <w:p>
      <w:pPr>
        <w:spacing w:after="0" w:line="333" w:lineRule="exact"/>
        <w:rPr>
          <w:rFonts w:ascii="Arial" w:cs="Arial" w:eastAsia="Arial" w:hAnsi="Arial"/>
          <w:sz w:val="18"/>
          <w:szCs w:val="18"/>
          <w:color w:val="auto"/>
        </w:rPr>
      </w:pPr>
    </w:p>
    <w:p>
      <w:pPr>
        <w:jc w:val="both"/>
        <w:ind w:left="860" w:right="20" w:hanging="424"/>
        <w:spacing w:after="0" w:line="263" w:lineRule="auto"/>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Class A ordinary shares equals or exceeds $18.00 per share (as adjusted for adjustments to the number of shares issuable upon exercise or the exercise price of warrant) on the trading day prior to the date we send the notice of redemption to the warrant holders.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not redeem the warrants as described above unless a registration statement under the Securities Act covering the issuance of the Class A ordinary shares issuable upon exercise of the warrants is then effective and a current prospectus relating to those shares of ordinary shares is available throughout the 30 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Any such exercise would not be done on a “cashless” basis and would require the exercising warrant holder to pay the exercise price for each warrant being exercised. However, the price of the Class A ordinary shares may fall below the $18.00 redemption trigger price (as adjusted for adjustments to the number of shares issuable upon exercise or the exercise price of a warrant) as well as the $11.50 (for whole shares) warrant exercise price after the redemption notice is issued.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Redemption of warrants when the price per share of Class A ordinary share equals or exceeds $10.00. </w:t>
      </w:r>
      <w:r>
        <w:rPr>
          <w:rFonts w:ascii="Arial" w:cs="Arial" w:eastAsia="Arial" w:hAnsi="Arial"/>
          <w:sz w:val="18"/>
          <w:szCs w:val="18"/>
          <w:color w:val="auto"/>
        </w:rPr>
        <w:t>Once the warrants become exercisable, we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warrants:</w:t>
      </w:r>
    </w:p>
    <w:p>
      <w:pPr>
        <w:spacing w:after="0" w:line="62" w:lineRule="exact"/>
        <w:rPr>
          <w:sz w:val="20"/>
          <w:szCs w:val="20"/>
          <w:color w:val="auto"/>
        </w:rPr>
      </w:pPr>
    </w:p>
    <w:p>
      <w:pPr>
        <w:ind w:left="860" w:hanging="424"/>
        <w:spacing w:after="0"/>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333" w:lineRule="exact"/>
        <w:rPr>
          <w:rFonts w:ascii="Arial" w:cs="Arial" w:eastAsia="Arial" w:hAnsi="Arial"/>
          <w:sz w:val="18"/>
          <w:szCs w:val="18"/>
          <w:color w:val="auto"/>
        </w:rPr>
      </w:pPr>
    </w:p>
    <w:p>
      <w:pPr>
        <w:jc w:val="both"/>
        <w:ind w:left="860" w:right="20" w:hanging="424"/>
        <w:spacing w:after="0" w:line="286" w:lineRule="auto"/>
        <w:tabs>
          <w:tab w:leader="none" w:pos="8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at $0.10 per warrant upon a minimum of 30 days’ prior written notice of redemption provided that holders will be able to exercise their warrants prior to redemption and receive that number of shares determined by reference to the table below, based on the redemption date and the “fair market value” of our Class A ordinary shares (as defined below) except as otherwise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238760</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3" w:name="page74"/>
    <w:bookmarkEnd w:id="73"/>
    <w:p>
      <w:pPr>
        <w:jc w:val="both"/>
        <w:ind w:left="860" w:right="40" w:hanging="424"/>
        <w:spacing w:after="0" w:line="311" w:lineRule="auto"/>
        <w:tabs>
          <w:tab w:leader="none" w:pos="8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and only if, the last reported sale price of our Class A ordinary shares equals or exceeds $10.00 per share (as adjusted for stock splits, stock dividends, reorganizations, reclassifications, recapitalizations and the like and for certain issuances of Class A ordinary shares and equity-linked securities as described above) on the trading day prior to the date on which we send the notice of redemption to the warrant holders; and</w:t>
      </w:r>
    </w:p>
    <w:p>
      <w:pPr>
        <w:spacing w:after="0" w:line="256" w:lineRule="exact"/>
        <w:rPr>
          <w:rFonts w:ascii="Arial" w:cs="Arial" w:eastAsia="Arial" w:hAnsi="Arial"/>
          <w:sz w:val="16"/>
          <w:szCs w:val="16"/>
          <w:color w:val="auto"/>
        </w:rPr>
      </w:pPr>
    </w:p>
    <w:p>
      <w:pPr>
        <w:jc w:val="both"/>
        <w:ind w:left="860" w:right="40" w:hanging="424"/>
        <w:spacing w:after="0" w:line="263" w:lineRule="auto"/>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and only if, the closing price of our Class A ordinary shares equals or exceeds $10.00 per public share (as adjusted for adjustments to the number of shares issuance upon exercise or the exercise price of a warrant) on the trading day prior to the date on which we send the notice of redemption to the warrant holders.</w:t>
      </w:r>
    </w:p>
    <w:p>
      <w:pPr>
        <w:spacing w:after="0" w:line="29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will not redeem the warrants as described above unless a registration statement under the Securities Act covering the issuance of the Class A ordinary shares issuable upon exercise of the warrants is then effective and a current prospectus relating to those Class A ordinary shares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295"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Beginning on the date the notice of redemption is given until the warrants are redeemed or exercised, holders may elect to exercise their warrants on a cashless basis. The numbers in the table below represent the number of Class A ordinary shares that a warrant holder will receive upon such cashless exercise in connection with a redemption by us pursuant to this redemption feature, based on the “fair market value” of our Class A ordinary shares on the corresponding redemption date (assuming holders elect to exercise their warrants and such warrants are not redeemed for $0.10 per warrant), determined for these purposes based on volume weighted average price of our Class A ordinary shares for the 10 trading days ending on the third trading day prior to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Pursuant to the warrant agreement, references above to Class A ordinary shares shall include a security other than Class A ordinary shares into which the Class A ordinary shares have been converted or exchanged for in the event we are not the surviving company in our initial business combination. The numbers in the table below will not be adjusted when determining the number of Class A ordinary shares to be issued upon exercise of the warrants if we are not the surviving entity following our initial business combination.</w:t>
      </w:r>
    </w:p>
    <w:p>
      <w:pPr>
        <w:spacing w:after="0" w:line="79"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The share prices set forth in the column headings of the table below will be adjusted as of any date on which the number of shares issuable upon exercise of a warrant or the exercise price of a warrant is adjusted. If the number of shares issuable upon exercise of a warrant is adjusted, the adjusted share prices in the column headings will equal the share prices immediately prior to such adjustment, multiplied by a fraction, the numerator of which is the exercise price of the warrant after such adjustment and the denominator of which is the price of the warrant immediately prior to such adjustment. In such an event, the number of shares in the table below shall be adjusted by multiplying such share amounts by a fraction, the numerator of which is the number of shares deliverable upon exercise of a warrant immediately prior to such adjustment and the denominator of which is the number of shares deliverable upon exercise of a warrant as so adjusted. If the exercise price of a warrant is adjusted, (a) in the case of an adjustment, the adjusted share prices in the column headings will equal the unadjusted share price multiplied by a fraction, the numerator of which is the higher of the Market Value and the Newly Issued Price and the denominator of which is $10.00 and (b) in the case of an adjustment, the adjusted share prices in the column headings will equal the unadjusted share price less the decrease in the exercise price of a warrant pursuant to such exercise price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3720" w:type="dxa"/>
            <w:vAlign w:val="bottom"/>
            <w:gridSpan w:val="4"/>
          </w:tcPr>
          <w:p>
            <w:pPr>
              <w:ind w:left="20"/>
              <w:spacing w:after="0"/>
              <w:rPr>
                <w:sz w:val="20"/>
                <w:szCs w:val="20"/>
                <w:color w:val="auto"/>
              </w:rPr>
            </w:pPr>
            <w:r>
              <w:rPr>
                <w:rFonts w:ascii="Arial" w:cs="Arial" w:eastAsia="Arial" w:hAnsi="Arial"/>
                <w:sz w:val="18"/>
                <w:szCs w:val="18"/>
                <w:b w:val="1"/>
                <w:bCs w:val="1"/>
                <w:color w:val="auto"/>
                <w:w w:val="96"/>
              </w:rPr>
              <w:t>Fair market value of Class A ordinary shares</w:t>
            </w: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Redemption date (period to</w:t>
            </w:r>
          </w:p>
        </w:tc>
        <w:tc>
          <w:tcPr>
            <w:tcW w:w="9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312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expiration of warrants)</w:t>
            </w: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&lt;10.00</w:t>
            </w:r>
          </w:p>
        </w:tc>
        <w:tc>
          <w:tcPr>
            <w:tcW w:w="940" w:type="dxa"/>
            <w:vAlign w:val="bottom"/>
          </w:tcPr>
          <w:p>
            <w:pPr>
              <w:ind w:left="260"/>
              <w:spacing w:after="0"/>
              <w:rPr>
                <w:sz w:val="20"/>
                <w:szCs w:val="20"/>
                <w:color w:val="auto"/>
              </w:rPr>
            </w:pPr>
            <w:r>
              <w:rPr>
                <w:rFonts w:ascii="Arial" w:cs="Arial" w:eastAsia="Arial" w:hAnsi="Arial"/>
                <w:sz w:val="18"/>
                <w:szCs w:val="18"/>
                <w:b w:val="1"/>
                <w:bCs w:val="1"/>
                <w:color w:val="auto"/>
              </w:rPr>
              <w:t>11.00</w:t>
            </w: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12.00</w:t>
            </w:r>
          </w:p>
        </w:tc>
        <w:tc>
          <w:tcPr>
            <w:tcW w:w="900" w:type="dxa"/>
            <w:vAlign w:val="bottom"/>
          </w:tcPr>
          <w:p>
            <w:pPr>
              <w:ind w:left="240"/>
              <w:spacing w:after="0"/>
              <w:rPr>
                <w:sz w:val="20"/>
                <w:szCs w:val="20"/>
                <w:color w:val="auto"/>
              </w:rPr>
            </w:pPr>
            <w:r>
              <w:rPr>
                <w:rFonts w:ascii="Arial" w:cs="Arial" w:eastAsia="Arial" w:hAnsi="Arial"/>
                <w:sz w:val="18"/>
                <w:szCs w:val="18"/>
                <w:b w:val="1"/>
                <w:bCs w:val="1"/>
                <w:color w:val="auto"/>
              </w:rPr>
              <w:t>13.00</w:t>
            </w: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rPr>
              <w:t>14.00</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15.00</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16.00</w:t>
            </w:r>
          </w:p>
        </w:tc>
        <w:tc>
          <w:tcPr>
            <w:tcW w:w="820" w:type="dxa"/>
            <w:vAlign w:val="bottom"/>
          </w:tcPr>
          <w:p>
            <w:pPr>
              <w:jc w:val="right"/>
              <w:ind w:right="90"/>
              <w:spacing w:after="0"/>
              <w:rPr>
                <w:sz w:val="20"/>
                <w:szCs w:val="20"/>
                <w:color w:val="auto"/>
              </w:rPr>
            </w:pPr>
            <w:r>
              <w:rPr>
                <w:rFonts w:ascii="Arial" w:cs="Arial" w:eastAsia="Arial" w:hAnsi="Arial"/>
                <w:sz w:val="18"/>
                <w:szCs w:val="18"/>
                <w:b w:val="1"/>
                <w:bCs w:val="1"/>
                <w:color w:val="auto"/>
              </w:rPr>
              <w:t>17.00</w:t>
            </w: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&gt;18.00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60 months</w:t>
            </w: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0.261</w:t>
            </w:r>
          </w:p>
        </w:tc>
        <w:tc>
          <w:tcPr>
            <w:tcW w:w="940" w:type="dxa"/>
            <w:vAlign w:val="bottom"/>
          </w:tcPr>
          <w:p>
            <w:pPr>
              <w:ind w:left="260"/>
              <w:spacing w:after="0"/>
              <w:rPr>
                <w:sz w:val="20"/>
                <w:szCs w:val="20"/>
                <w:color w:val="auto"/>
              </w:rPr>
            </w:pPr>
            <w:r>
              <w:rPr>
                <w:rFonts w:ascii="Arial" w:cs="Arial" w:eastAsia="Arial" w:hAnsi="Arial"/>
                <w:sz w:val="18"/>
                <w:szCs w:val="18"/>
                <w:b w:val="1"/>
                <w:bCs w:val="1"/>
                <w:color w:val="auto"/>
              </w:rPr>
              <w:t>0.281</w:t>
            </w: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0.297</w:t>
            </w:r>
          </w:p>
        </w:tc>
        <w:tc>
          <w:tcPr>
            <w:tcW w:w="900" w:type="dxa"/>
            <w:vAlign w:val="bottom"/>
          </w:tcPr>
          <w:p>
            <w:pPr>
              <w:ind w:left="240"/>
              <w:spacing w:after="0"/>
              <w:rPr>
                <w:sz w:val="20"/>
                <w:szCs w:val="20"/>
                <w:color w:val="auto"/>
              </w:rPr>
            </w:pPr>
            <w:r>
              <w:rPr>
                <w:rFonts w:ascii="Arial" w:cs="Arial" w:eastAsia="Arial" w:hAnsi="Arial"/>
                <w:sz w:val="18"/>
                <w:szCs w:val="18"/>
                <w:b w:val="1"/>
                <w:bCs w:val="1"/>
                <w:color w:val="auto"/>
              </w:rPr>
              <w:t>0.311</w:t>
            </w: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rPr>
              <w:t>0.324</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0.337</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0.348</w:t>
            </w:r>
          </w:p>
        </w:tc>
        <w:tc>
          <w:tcPr>
            <w:tcW w:w="820" w:type="dxa"/>
            <w:vAlign w:val="bottom"/>
          </w:tcPr>
          <w:p>
            <w:pPr>
              <w:jc w:val="right"/>
              <w:ind w:right="90"/>
              <w:spacing w:after="0"/>
              <w:rPr>
                <w:sz w:val="20"/>
                <w:szCs w:val="20"/>
                <w:color w:val="auto"/>
              </w:rPr>
            </w:pPr>
            <w:r>
              <w:rPr>
                <w:rFonts w:ascii="Arial" w:cs="Arial" w:eastAsia="Arial" w:hAnsi="Arial"/>
                <w:sz w:val="18"/>
                <w:szCs w:val="18"/>
                <w:b w:val="1"/>
                <w:bCs w:val="1"/>
                <w:color w:val="auto"/>
              </w:rPr>
              <w:t>0.348</w:t>
            </w:r>
          </w:p>
        </w:tc>
        <w:tc>
          <w:tcPr>
            <w:tcW w:w="960" w:type="dxa"/>
            <w:vAlign w:val="bottom"/>
            <w:tcBorders>
              <w:right w:val="single" w:sz="8" w:color="CCEEFF"/>
            </w:tcBorders>
          </w:tcPr>
          <w:p>
            <w:pPr>
              <w:jc w:val="right"/>
              <w:ind w:right="170"/>
              <w:spacing w:after="0"/>
              <w:rPr>
                <w:sz w:val="20"/>
                <w:szCs w:val="20"/>
                <w:color w:val="auto"/>
              </w:rPr>
            </w:pPr>
            <w:r>
              <w:rPr>
                <w:rFonts w:ascii="Arial" w:cs="Arial" w:eastAsia="Arial" w:hAnsi="Arial"/>
                <w:sz w:val="18"/>
                <w:szCs w:val="18"/>
                <w:b w:val="1"/>
                <w:bCs w:val="1"/>
                <w:color w:val="auto"/>
              </w:rPr>
              <w:t>0.361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3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CCEEFF"/>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57 months</w:t>
            </w: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0.257</w:t>
            </w:r>
          </w:p>
        </w:tc>
        <w:tc>
          <w:tcPr>
            <w:tcW w:w="94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0.277</w:t>
            </w:r>
          </w:p>
        </w:tc>
        <w:tc>
          <w:tcPr>
            <w:tcW w:w="9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0.294</w:t>
            </w: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0.310</w:t>
            </w: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0.324</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0.337</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0.348</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0.358</w:t>
            </w:r>
          </w:p>
        </w:tc>
        <w:tc>
          <w:tcPr>
            <w:tcW w:w="96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0.361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3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960" w:type="dxa"/>
            <w:vAlign w:val="bottom"/>
            <w:tcBorders>
              <w:right w:val="single" w:sz="8" w:color="CCEEFF"/>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54 months</w:t>
            </w: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0.252</w:t>
            </w:r>
          </w:p>
        </w:tc>
        <w:tc>
          <w:tcPr>
            <w:tcW w:w="940" w:type="dxa"/>
            <w:vAlign w:val="bottom"/>
          </w:tcPr>
          <w:p>
            <w:pPr>
              <w:ind w:left="260"/>
              <w:spacing w:after="0"/>
              <w:rPr>
                <w:sz w:val="20"/>
                <w:szCs w:val="20"/>
                <w:color w:val="auto"/>
              </w:rPr>
            </w:pPr>
            <w:r>
              <w:rPr>
                <w:rFonts w:ascii="Arial" w:cs="Arial" w:eastAsia="Arial" w:hAnsi="Arial"/>
                <w:sz w:val="18"/>
                <w:szCs w:val="18"/>
                <w:b w:val="1"/>
                <w:bCs w:val="1"/>
                <w:color w:val="auto"/>
              </w:rPr>
              <w:t>0.272</w:t>
            </w: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0.291</w:t>
            </w:r>
          </w:p>
        </w:tc>
        <w:tc>
          <w:tcPr>
            <w:tcW w:w="900" w:type="dxa"/>
            <w:vAlign w:val="bottom"/>
          </w:tcPr>
          <w:p>
            <w:pPr>
              <w:ind w:left="240"/>
              <w:spacing w:after="0"/>
              <w:rPr>
                <w:sz w:val="20"/>
                <w:szCs w:val="20"/>
                <w:color w:val="auto"/>
              </w:rPr>
            </w:pPr>
            <w:r>
              <w:rPr>
                <w:rFonts w:ascii="Arial" w:cs="Arial" w:eastAsia="Arial" w:hAnsi="Arial"/>
                <w:sz w:val="18"/>
                <w:szCs w:val="18"/>
                <w:b w:val="1"/>
                <w:bCs w:val="1"/>
                <w:color w:val="auto"/>
              </w:rPr>
              <w:t>0.307</w:t>
            </w: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rPr>
              <w:t>0.322</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0.335</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0.347</w:t>
            </w:r>
          </w:p>
        </w:tc>
        <w:tc>
          <w:tcPr>
            <w:tcW w:w="820" w:type="dxa"/>
            <w:vAlign w:val="bottom"/>
          </w:tcPr>
          <w:p>
            <w:pPr>
              <w:jc w:val="right"/>
              <w:ind w:right="90"/>
              <w:spacing w:after="0"/>
              <w:rPr>
                <w:sz w:val="20"/>
                <w:szCs w:val="20"/>
                <w:color w:val="auto"/>
              </w:rPr>
            </w:pPr>
            <w:r>
              <w:rPr>
                <w:rFonts w:ascii="Arial" w:cs="Arial" w:eastAsia="Arial" w:hAnsi="Arial"/>
                <w:sz w:val="18"/>
                <w:szCs w:val="18"/>
                <w:b w:val="1"/>
                <w:bCs w:val="1"/>
                <w:color w:val="auto"/>
              </w:rPr>
              <w:t>0.357</w:t>
            </w: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0.361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12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54"/>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51 months</w:t>
            </w:r>
          </w:p>
        </w:tc>
        <w:tc>
          <w:tcPr>
            <w:tcW w:w="164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0.246</w:t>
            </w:r>
          </w:p>
        </w:tc>
        <w:tc>
          <w:tcPr>
            <w:tcW w:w="10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0.268</w:t>
            </w:r>
          </w:p>
        </w:tc>
        <w:tc>
          <w:tcPr>
            <w:tcW w:w="120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0.287</w:t>
            </w:r>
          </w:p>
        </w:tc>
        <w:tc>
          <w:tcPr>
            <w:tcW w:w="11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0.304</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0.320</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0.333</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0.346</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0.357</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0.361</w:t>
            </w:r>
          </w:p>
        </w:tc>
      </w:tr>
      <w:tr>
        <w:trPr>
          <w:trHeight w:val="83"/>
        </w:trPr>
        <w:tc>
          <w:tcPr>
            <w:tcW w:w="1800" w:type="dxa"/>
            <w:vAlign w:val="bottom"/>
            <w:shd w:val="clear" w:color="auto" w:fill="CCEEFF"/>
          </w:tcPr>
          <w:p>
            <w:pPr>
              <w:spacing w:after="0"/>
              <w:rPr>
                <w:sz w:val="7"/>
                <w:szCs w:val="7"/>
                <w:color w:val="auto"/>
              </w:rPr>
            </w:pPr>
          </w:p>
        </w:tc>
        <w:tc>
          <w:tcPr>
            <w:tcW w:w="16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r>
      <w:tr>
        <w:trPr>
          <w:trHeight w:val="234"/>
        </w:trPr>
        <w:tc>
          <w:tcPr>
            <w:tcW w:w="1800" w:type="dxa"/>
            <w:vAlign w:val="bottom"/>
          </w:tcPr>
          <w:p>
            <w:pPr>
              <w:ind w:left="20"/>
              <w:spacing w:after="0"/>
              <w:rPr>
                <w:sz w:val="20"/>
                <w:szCs w:val="20"/>
                <w:color w:val="auto"/>
              </w:rPr>
            </w:pPr>
            <w:r>
              <w:rPr>
                <w:rFonts w:ascii="Arial" w:cs="Arial" w:eastAsia="Arial" w:hAnsi="Arial"/>
                <w:sz w:val="18"/>
                <w:szCs w:val="18"/>
                <w:b w:val="1"/>
                <w:bCs w:val="1"/>
                <w:color w:val="auto"/>
              </w:rPr>
              <w:t>48 months</w:t>
            </w:r>
          </w:p>
        </w:tc>
        <w:tc>
          <w:tcPr>
            <w:tcW w:w="1640" w:type="dxa"/>
            <w:vAlign w:val="bottom"/>
          </w:tcPr>
          <w:p>
            <w:pPr>
              <w:ind w:left="1000"/>
              <w:spacing w:after="0"/>
              <w:rPr>
                <w:sz w:val="20"/>
                <w:szCs w:val="20"/>
                <w:color w:val="auto"/>
              </w:rPr>
            </w:pPr>
            <w:r>
              <w:rPr>
                <w:rFonts w:ascii="Arial" w:cs="Arial" w:eastAsia="Arial" w:hAnsi="Arial"/>
                <w:sz w:val="18"/>
                <w:szCs w:val="18"/>
                <w:b w:val="1"/>
                <w:bCs w:val="1"/>
                <w:color w:val="auto"/>
              </w:rPr>
              <w:t>0.241</w:t>
            </w:r>
          </w:p>
        </w:tc>
        <w:tc>
          <w:tcPr>
            <w:tcW w:w="1060" w:type="dxa"/>
            <w:vAlign w:val="bottom"/>
          </w:tcPr>
          <w:p>
            <w:pPr>
              <w:ind w:left="280"/>
              <w:spacing w:after="0"/>
              <w:rPr>
                <w:sz w:val="20"/>
                <w:szCs w:val="20"/>
                <w:color w:val="auto"/>
              </w:rPr>
            </w:pPr>
            <w:r>
              <w:rPr>
                <w:rFonts w:ascii="Arial" w:cs="Arial" w:eastAsia="Arial" w:hAnsi="Arial"/>
                <w:sz w:val="18"/>
                <w:szCs w:val="18"/>
                <w:b w:val="1"/>
                <w:bCs w:val="1"/>
                <w:color w:val="auto"/>
              </w:rPr>
              <w:t>0.263</w:t>
            </w:r>
          </w:p>
        </w:tc>
        <w:tc>
          <w:tcPr>
            <w:tcW w:w="1200" w:type="dxa"/>
            <w:vAlign w:val="bottom"/>
          </w:tcPr>
          <w:p>
            <w:pPr>
              <w:ind w:left="460"/>
              <w:spacing w:after="0"/>
              <w:rPr>
                <w:sz w:val="20"/>
                <w:szCs w:val="20"/>
                <w:color w:val="auto"/>
              </w:rPr>
            </w:pPr>
            <w:r>
              <w:rPr>
                <w:rFonts w:ascii="Arial" w:cs="Arial" w:eastAsia="Arial" w:hAnsi="Arial"/>
                <w:sz w:val="18"/>
                <w:szCs w:val="18"/>
                <w:b w:val="1"/>
                <w:bCs w:val="1"/>
                <w:color w:val="auto"/>
              </w:rPr>
              <w:t>0.283</w:t>
            </w:r>
          </w:p>
        </w:tc>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0.301</w:t>
            </w: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0.317</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0.332</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0.344</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0.356</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0.361</w:t>
            </w:r>
          </w:p>
        </w:tc>
      </w:tr>
      <w:tr>
        <w:trPr>
          <w:trHeight w:val="103"/>
        </w:trPr>
        <w:tc>
          <w:tcPr>
            <w:tcW w:w="18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34"/>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45 months</w:t>
            </w:r>
          </w:p>
        </w:tc>
        <w:tc>
          <w:tcPr>
            <w:tcW w:w="164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0.235</w:t>
            </w:r>
          </w:p>
        </w:tc>
        <w:tc>
          <w:tcPr>
            <w:tcW w:w="10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0.258</w:t>
            </w:r>
          </w:p>
        </w:tc>
        <w:tc>
          <w:tcPr>
            <w:tcW w:w="120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0.279</w:t>
            </w:r>
          </w:p>
        </w:tc>
        <w:tc>
          <w:tcPr>
            <w:tcW w:w="11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0.298</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0.315</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0.330</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0.343</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0.356</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0.361</w:t>
            </w:r>
          </w:p>
        </w:tc>
      </w:tr>
      <w:tr>
        <w:trPr>
          <w:trHeight w:val="103"/>
        </w:trPr>
        <w:tc>
          <w:tcPr>
            <w:tcW w:w="180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r>
      <w:tr>
        <w:trPr>
          <w:trHeight w:val="234"/>
        </w:trPr>
        <w:tc>
          <w:tcPr>
            <w:tcW w:w="1800" w:type="dxa"/>
            <w:vAlign w:val="bottom"/>
          </w:tcPr>
          <w:p>
            <w:pPr>
              <w:ind w:left="20"/>
              <w:spacing w:after="0"/>
              <w:rPr>
                <w:sz w:val="20"/>
                <w:szCs w:val="20"/>
                <w:color w:val="auto"/>
              </w:rPr>
            </w:pPr>
            <w:r>
              <w:rPr>
                <w:rFonts w:ascii="Arial" w:cs="Arial" w:eastAsia="Arial" w:hAnsi="Arial"/>
                <w:sz w:val="18"/>
                <w:szCs w:val="18"/>
                <w:b w:val="1"/>
                <w:bCs w:val="1"/>
                <w:color w:val="auto"/>
              </w:rPr>
              <w:t>42 months</w:t>
            </w:r>
          </w:p>
        </w:tc>
        <w:tc>
          <w:tcPr>
            <w:tcW w:w="1640" w:type="dxa"/>
            <w:vAlign w:val="bottom"/>
          </w:tcPr>
          <w:p>
            <w:pPr>
              <w:ind w:left="1000"/>
              <w:spacing w:after="0"/>
              <w:rPr>
                <w:sz w:val="20"/>
                <w:szCs w:val="20"/>
                <w:color w:val="auto"/>
              </w:rPr>
            </w:pPr>
            <w:r>
              <w:rPr>
                <w:rFonts w:ascii="Arial" w:cs="Arial" w:eastAsia="Arial" w:hAnsi="Arial"/>
                <w:sz w:val="18"/>
                <w:szCs w:val="18"/>
                <w:b w:val="1"/>
                <w:bCs w:val="1"/>
                <w:color w:val="auto"/>
              </w:rPr>
              <w:t>0.228</w:t>
            </w:r>
          </w:p>
        </w:tc>
        <w:tc>
          <w:tcPr>
            <w:tcW w:w="1060" w:type="dxa"/>
            <w:vAlign w:val="bottom"/>
          </w:tcPr>
          <w:p>
            <w:pPr>
              <w:ind w:left="280"/>
              <w:spacing w:after="0"/>
              <w:rPr>
                <w:sz w:val="20"/>
                <w:szCs w:val="20"/>
                <w:color w:val="auto"/>
              </w:rPr>
            </w:pPr>
            <w:r>
              <w:rPr>
                <w:rFonts w:ascii="Arial" w:cs="Arial" w:eastAsia="Arial" w:hAnsi="Arial"/>
                <w:sz w:val="18"/>
                <w:szCs w:val="18"/>
                <w:b w:val="1"/>
                <w:bCs w:val="1"/>
                <w:color w:val="auto"/>
              </w:rPr>
              <w:t>0.252</w:t>
            </w:r>
          </w:p>
        </w:tc>
        <w:tc>
          <w:tcPr>
            <w:tcW w:w="1200" w:type="dxa"/>
            <w:vAlign w:val="bottom"/>
          </w:tcPr>
          <w:p>
            <w:pPr>
              <w:ind w:left="460"/>
              <w:spacing w:after="0"/>
              <w:rPr>
                <w:sz w:val="20"/>
                <w:szCs w:val="20"/>
                <w:color w:val="auto"/>
              </w:rPr>
            </w:pPr>
            <w:r>
              <w:rPr>
                <w:rFonts w:ascii="Arial" w:cs="Arial" w:eastAsia="Arial" w:hAnsi="Arial"/>
                <w:sz w:val="18"/>
                <w:szCs w:val="18"/>
                <w:b w:val="1"/>
                <w:bCs w:val="1"/>
                <w:color w:val="auto"/>
              </w:rPr>
              <w:t>0.274</w:t>
            </w:r>
          </w:p>
        </w:tc>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0.294</w:t>
            </w: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0.312</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0.328</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0.342</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0.355</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0.361</w:t>
            </w:r>
          </w:p>
        </w:tc>
      </w:tr>
      <w:tr>
        <w:trPr>
          <w:trHeight w:val="103"/>
        </w:trPr>
        <w:tc>
          <w:tcPr>
            <w:tcW w:w="18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34"/>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39 months</w:t>
            </w:r>
          </w:p>
        </w:tc>
        <w:tc>
          <w:tcPr>
            <w:tcW w:w="164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0.221</w:t>
            </w:r>
          </w:p>
        </w:tc>
        <w:tc>
          <w:tcPr>
            <w:tcW w:w="10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0.246</w:t>
            </w:r>
          </w:p>
        </w:tc>
        <w:tc>
          <w:tcPr>
            <w:tcW w:w="120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0.269</w:t>
            </w:r>
          </w:p>
        </w:tc>
        <w:tc>
          <w:tcPr>
            <w:tcW w:w="11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0.290</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0.309</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0.325</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0.340</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0.354</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0.361</w:t>
            </w:r>
          </w:p>
        </w:tc>
      </w:tr>
      <w:tr>
        <w:trPr>
          <w:trHeight w:val="103"/>
        </w:trPr>
        <w:tc>
          <w:tcPr>
            <w:tcW w:w="180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r>
      <w:tr>
        <w:trPr>
          <w:trHeight w:val="234"/>
        </w:trPr>
        <w:tc>
          <w:tcPr>
            <w:tcW w:w="1800" w:type="dxa"/>
            <w:vAlign w:val="bottom"/>
          </w:tcPr>
          <w:p>
            <w:pPr>
              <w:ind w:left="20"/>
              <w:spacing w:after="0"/>
              <w:rPr>
                <w:sz w:val="20"/>
                <w:szCs w:val="20"/>
                <w:color w:val="auto"/>
              </w:rPr>
            </w:pPr>
            <w:r>
              <w:rPr>
                <w:rFonts w:ascii="Arial" w:cs="Arial" w:eastAsia="Arial" w:hAnsi="Arial"/>
                <w:sz w:val="18"/>
                <w:szCs w:val="18"/>
                <w:b w:val="1"/>
                <w:bCs w:val="1"/>
                <w:color w:val="auto"/>
              </w:rPr>
              <w:t>36 months</w:t>
            </w:r>
          </w:p>
        </w:tc>
        <w:tc>
          <w:tcPr>
            <w:tcW w:w="1640" w:type="dxa"/>
            <w:vAlign w:val="bottom"/>
          </w:tcPr>
          <w:p>
            <w:pPr>
              <w:ind w:left="1000"/>
              <w:spacing w:after="0"/>
              <w:rPr>
                <w:sz w:val="20"/>
                <w:szCs w:val="20"/>
                <w:color w:val="auto"/>
              </w:rPr>
            </w:pPr>
            <w:r>
              <w:rPr>
                <w:rFonts w:ascii="Arial" w:cs="Arial" w:eastAsia="Arial" w:hAnsi="Arial"/>
                <w:sz w:val="18"/>
                <w:szCs w:val="18"/>
                <w:b w:val="1"/>
                <w:bCs w:val="1"/>
                <w:color w:val="auto"/>
              </w:rPr>
              <w:t>0.213</w:t>
            </w:r>
          </w:p>
        </w:tc>
        <w:tc>
          <w:tcPr>
            <w:tcW w:w="1060" w:type="dxa"/>
            <w:vAlign w:val="bottom"/>
          </w:tcPr>
          <w:p>
            <w:pPr>
              <w:ind w:left="280"/>
              <w:spacing w:after="0"/>
              <w:rPr>
                <w:sz w:val="20"/>
                <w:szCs w:val="20"/>
                <w:color w:val="auto"/>
              </w:rPr>
            </w:pPr>
            <w:r>
              <w:rPr>
                <w:rFonts w:ascii="Arial" w:cs="Arial" w:eastAsia="Arial" w:hAnsi="Arial"/>
                <w:sz w:val="18"/>
                <w:szCs w:val="18"/>
                <w:b w:val="1"/>
                <w:bCs w:val="1"/>
                <w:color w:val="auto"/>
              </w:rPr>
              <w:t>0.239</w:t>
            </w:r>
          </w:p>
        </w:tc>
        <w:tc>
          <w:tcPr>
            <w:tcW w:w="1200" w:type="dxa"/>
            <w:vAlign w:val="bottom"/>
          </w:tcPr>
          <w:p>
            <w:pPr>
              <w:ind w:left="460"/>
              <w:spacing w:after="0"/>
              <w:rPr>
                <w:sz w:val="20"/>
                <w:szCs w:val="20"/>
                <w:color w:val="auto"/>
              </w:rPr>
            </w:pPr>
            <w:r>
              <w:rPr>
                <w:rFonts w:ascii="Arial" w:cs="Arial" w:eastAsia="Arial" w:hAnsi="Arial"/>
                <w:sz w:val="18"/>
                <w:szCs w:val="18"/>
                <w:b w:val="1"/>
                <w:bCs w:val="1"/>
                <w:color w:val="auto"/>
              </w:rPr>
              <w:t>0.263</w:t>
            </w:r>
          </w:p>
        </w:tc>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0.285</w:t>
            </w: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0.305</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0.323</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0.339</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0.353</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0.361</w:t>
            </w:r>
          </w:p>
        </w:tc>
      </w:tr>
      <w:tr>
        <w:trPr>
          <w:trHeight w:val="103"/>
        </w:trPr>
        <w:tc>
          <w:tcPr>
            <w:tcW w:w="18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34"/>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33 months</w:t>
            </w:r>
          </w:p>
        </w:tc>
        <w:tc>
          <w:tcPr>
            <w:tcW w:w="164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0.205</w:t>
            </w:r>
          </w:p>
        </w:tc>
        <w:tc>
          <w:tcPr>
            <w:tcW w:w="10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0.232</w:t>
            </w:r>
          </w:p>
        </w:tc>
        <w:tc>
          <w:tcPr>
            <w:tcW w:w="120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0.257</w:t>
            </w:r>
          </w:p>
        </w:tc>
        <w:tc>
          <w:tcPr>
            <w:tcW w:w="11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0.280</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0.301</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0.320</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0.337</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0.352</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0.361</w:t>
            </w:r>
          </w:p>
        </w:tc>
      </w:tr>
      <w:tr>
        <w:trPr>
          <w:trHeight w:val="103"/>
        </w:trPr>
        <w:tc>
          <w:tcPr>
            <w:tcW w:w="180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r>
      <w:tr>
        <w:trPr>
          <w:trHeight w:val="234"/>
        </w:trPr>
        <w:tc>
          <w:tcPr>
            <w:tcW w:w="1800" w:type="dxa"/>
            <w:vAlign w:val="bottom"/>
          </w:tcPr>
          <w:p>
            <w:pPr>
              <w:ind w:left="20"/>
              <w:spacing w:after="0"/>
              <w:rPr>
                <w:sz w:val="20"/>
                <w:szCs w:val="20"/>
                <w:color w:val="auto"/>
              </w:rPr>
            </w:pPr>
            <w:r>
              <w:rPr>
                <w:rFonts w:ascii="Arial" w:cs="Arial" w:eastAsia="Arial" w:hAnsi="Arial"/>
                <w:sz w:val="18"/>
                <w:szCs w:val="18"/>
                <w:b w:val="1"/>
                <w:bCs w:val="1"/>
                <w:color w:val="auto"/>
              </w:rPr>
              <w:t>30 months</w:t>
            </w:r>
          </w:p>
        </w:tc>
        <w:tc>
          <w:tcPr>
            <w:tcW w:w="1640" w:type="dxa"/>
            <w:vAlign w:val="bottom"/>
          </w:tcPr>
          <w:p>
            <w:pPr>
              <w:ind w:left="1000"/>
              <w:spacing w:after="0"/>
              <w:rPr>
                <w:sz w:val="20"/>
                <w:szCs w:val="20"/>
                <w:color w:val="auto"/>
              </w:rPr>
            </w:pPr>
            <w:r>
              <w:rPr>
                <w:rFonts w:ascii="Arial" w:cs="Arial" w:eastAsia="Arial" w:hAnsi="Arial"/>
                <w:sz w:val="18"/>
                <w:szCs w:val="18"/>
                <w:b w:val="1"/>
                <w:bCs w:val="1"/>
                <w:color w:val="auto"/>
              </w:rPr>
              <w:t>0.196</w:t>
            </w:r>
          </w:p>
        </w:tc>
        <w:tc>
          <w:tcPr>
            <w:tcW w:w="1060" w:type="dxa"/>
            <w:vAlign w:val="bottom"/>
          </w:tcPr>
          <w:p>
            <w:pPr>
              <w:ind w:left="280"/>
              <w:spacing w:after="0"/>
              <w:rPr>
                <w:sz w:val="20"/>
                <w:szCs w:val="20"/>
                <w:color w:val="auto"/>
              </w:rPr>
            </w:pPr>
            <w:r>
              <w:rPr>
                <w:rFonts w:ascii="Arial" w:cs="Arial" w:eastAsia="Arial" w:hAnsi="Arial"/>
                <w:sz w:val="18"/>
                <w:szCs w:val="18"/>
                <w:b w:val="1"/>
                <w:bCs w:val="1"/>
                <w:color w:val="auto"/>
              </w:rPr>
              <w:t>0.224</w:t>
            </w:r>
          </w:p>
        </w:tc>
        <w:tc>
          <w:tcPr>
            <w:tcW w:w="1200" w:type="dxa"/>
            <w:vAlign w:val="bottom"/>
          </w:tcPr>
          <w:p>
            <w:pPr>
              <w:ind w:left="460"/>
              <w:spacing w:after="0"/>
              <w:rPr>
                <w:sz w:val="20"/>
                <w:szCs w:val="20"/>
                <w:color w:val="auto"/>
              </w:rPr>
            </w:pPr>
            <w:r>
              <w:rPr>
                <w:rFonts w:ascii="Arial" w:cs="Arial" w:eastAsia="Arial" w:hAnsi="Arial"/>
                <w:sz w:val="18"/>
                <w:szCs w:val="18"/>
                <w:b w:val="1"/>
                <w:bCs w:val="1"/>
                <w:color w:val="auto"/>
              </w:rPr>
              <w:t>0.250</w:t>
            </w:r>
          </w:p>
        </w:tc>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0.274</w:t>
            </w: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0.297</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0.316</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0.335</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0.351</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0.361</w:t>
            </w:r>
          </w:p>
        </w:tc>
      </w:tr>
      <w:tr>
        <w:trPr>
          <w:trHeight w:val="103"/>
        </w:trPr>
        <w:tc>
          <w:tcPr>
            <w:tcW w:w="18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34"/>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27 months</w:t>
            </w:r>
          </w:p>
        </w:tc>
        <w:tc>
          <w:tcPr>
            <w:tcW w:w="164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0.185</w:t>
            </w:r>
          </w:p>
        </w:tc>
        <w:tc>
          <w:tcPr>
            <w:tcW w:w="10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0.214</w:t>
            </w:r>
          </w:p>
        </w:tc>
        <w:tc>
          <w:tcPr>
            <w:tcW w:w="120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0.242</w:t>
            </w:r>
          </w:p>
        </w:tc>
        <w:tc>
          <w:tcPr>
            <w:tcW w:w="11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0.268</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0.291</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0.313</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0.332</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0.350</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0.361</w:t>
            </w:r>
          </w:p>
        </w:tc>
      </w:tr>
      <w:tr>
        <w:trPr>
          <w:trHeight w:val="103"/>
        </w:trPr>
        <w:tc>
          <w:tcPr>
            <w:tcW w:w="180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r>
      <w:tr>
        <w:trPr>
          <w:trHeight w:val="234"/>
        </w:trPr>
        <w:tc>
          <w:tcPr>
            <w:tcW w:w="1800" w:type="dxa"/>
            <w:vAlign w:val="bottom"/>
          </w:tcPr>
          <w:p>
            <w:pPr>
              <w:ind w:left="20"/>
              <w:spacing w:after="0"/>
              <w:rPr>
                <w:sz w:val="20"/>
                <w:szCs w:val="20"/>
                <w:color w:val="auto"/>
              </w:rPr>
            </w:pPr>
            <w:r>
              <w:rPr>
                <w:rFonts w:ascii="Arial" w:cs="Arial" w:eastAsia="Arial" w:hAnsi="Arial"/>
                <w:sz w:val="18"/>
                <w:szCs w:val="18"/>
                <w:b w:val="1"/>
                <w:bCs w:val="1"/>
                <w:color w:val="auto"/>
              </w:rPr>
              <w:t>24 months</w:t>
            </w:r>
          </w:p>
        </w:tc>
        <w:tc>
          <w:tcPr>
            <w:tcW w:w="1640" w:type="dxa"/>
            <w:vAlign w:val="bottom"/>
          </w:tcPr>
          <w:p>
            <w:pPr>
              <w:ind w:left="1000"/>
              <w:spacing w:after="0"/>
              <w:rPr>
                <w:sz w:val="20"/>
                <w:szCs w:val="20"/>
                <w:color w:val="auto"/>
              </w:rPr>
            </w:pPr>
            <w:r>
              <w:rPr>
                <w:rFonts w:ascii="Arial" w:cs="Arial" w:eastAsia="Arial" w:hAnsi="Arial"/>
                <w:sz w:val="18"/>
                <w:szCs w:val="18"/>
                <w:b w:val="1"/>
                <w:bCs w:val="1"/>
                <w:color w:val="auto"/>
              </w:rPr>
              <w:t>0.173</w:t>
            </w:r>
          </w:p>
        </w:tc>
        <w:tc>
          <w:tcPr>
            <w:tcW w:w="1060" w:type="dxa"/>
            <w:vAlign w:val="bottom"/>
          </w:tcPr>
          <w:p>
            <w:pPr>
              <w:ind w:left="280"/>
              <w:spacing w:after="0"/>
              <w:rPr>
                <w:sz w:val="20"/>
                <w:szCs w:val="20"/>
                <w:color w:val="auto"/>
              </w:rPr>
            </w:pPr>
            <w:r>
              <w:rPr>
                <w:rFonts w:ascii="Arial" w:cs="Arial" w:eastAsia="Arial" w:hAnsi="Arial"/>
                <w:sz w:val="18"/>
                <w:szCs w:val="18"/>
                <w:b w:val="1"/>
                <w:bCs w:val="1"/>
                <w:color w:val="auto"/>
              </w:rPr>
              <w:t>0.204</w:t>
            </w:r>
          </w:p>
        </w:tc>
        <w:tc>
          <w:tcPr>
            <w:tcW w:w="1200" w:type="dxa"/>
            <w:vAlign w:val="bottom"/>
          </w:tcPr>
          <w:p>
            <w:pPr>
              <w:ind w:left="460"/>
              <w:spacing w:after="0"/>
              <w:rPr>
                <w:sz w:val="20"/>
                <w:szCs w:val="20"/>
                <w:color w:val="auto"/>
              </w:rPr>
            </w:pPr>
            <w:r>
              <w:rPr>
                <w:rFonts w:ascii="Arial" w:cs="Arial" w:eastAsia="Arial" w:hAnsi="Arial"/>
                <w:sz w:val="18"/>
                <w:szCs w:val="18"/>
                <w:b w:val="1"/>
                <w:bCs w:val="1"/>
                <w:color w:val="auto"/>
              </w:rPr>
              <w:t>0.233</w:t>
            </w:r>
          </w:p>
        </w:tc>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0.260</w:t>
            </w: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0.285</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0.308</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0.329</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0.348</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0.361</w:t>
            </w:r>
          </w:p>
        </w:tc>
      </w:tr>
      <w:tr>
        <w:trPr>
          <w:trHeight w:val="103"/>
        </w:trPr>
        <w:tc>
          <w:tcPr>
            <w:tcW w:w="18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34"/>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21 months</w:t>
            </w:r>
          </w:p>
        </w:tc>
        <w:tc>
          <w:tcPr>
            <w:tcW w:w="164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0.161</w:t>
            </w:r>
          </w:p>
        </w:tc>
        <w:tc>
          <w:tcPr>
            <w:tcW w:w="10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0.193</w:t>
            </w:r>
          </w:p>
        </w:tc>
        <w:tc>
          <w:tcPr>
            <w:tcW w:w="120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0.223</w:t>
            </w:r>
          </w:p>
        </w:tc>
        <w:tc>
          <w:tcPr>
            <w:tcW w:w="11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0.252</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0.279</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0.304</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0.326</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0.347</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0.361</w:t>
            </w:r>
          </w:p>
        </w:tc>
      </w:tr>
      <w:tr>
        <w:trPr>
          <w:trHeight w:val="103"/>
        </w:trPr>
        <w:tc>
          <w:tcPr>
            <w:tcW w:w="180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r>
      <w:tr>
        <w:trPr>
          <w:trHeight w:val="234"/>
        </w:trPr>
        <w:tc>
          <w:tcPr>
            <w:tcW w:w="1800" w:type="dxa"/>
            <w:vAlign w:val="bottom"/>
          </w:tcPr>
          <w:p>
            <w:pPr>
              <w:ind w:left="20"/>
              <w:spacing w:after="0"/>
              <w:rPr>
                <w:sz w:val="20"/>
                <w:szCs w:val="20"/>
                <w:color w:val="auto"/>
              </w:rPr>
            </w:pPr>
            <w:r>
              <w:rPr>
                <w:rFonts w:ascii="Arial" w:cs="Arial" w:eastAsia="Arial" w:hAnsi="Arial"/>
                <w:sz w:val="18"/>
                <w:szCs w:val="18"/>
                <w:b w:val="1"/>
                <w:bCs w:val="1"/>
                <w:color w:val="auto"/>
              </w:rPr>
              <w:t>18 months</w:t>
            </w:r>
          </w:p>
        </w:tc>
        <w:tc>
          <w:tcPr>
            <w:tcW w:w="1640" w:type="dxa"/>
            <w:vAlign w:val="bottom"/>
          </w:tcPr>
          <w:p>
            <w:pPr>
              <w:ind w:left="1000"/>
              <w:spacing w:after="0"/>
              <w:rPr>
                <w:sz w:val="20"/>
                <w:szCs w:val="20"/>
                <w:color w:val="auto"/>
              </w:rPr>
            </w:pPr>
            <w:r>
              <w:rPr>
                <w:rFonts w:ascii="Arial" w:cs="Arial" w:eastAsia="Arial" w:hAnsi="Arial"/>
                <w:sz w:val="18"/>
                <w:szCs w:val="18"/>
                <w:b w:val="1"/>
                <w:bCs w:val="1"/>
                <w:color w:val="auto"/>
              </w:rPr>
              <w:t>0.146</w:t>
            </w:r>
          </w:p>
        </w:tc>
        <w:tc>
          <w:tcPr>
            <w:tcW w:w="1060" w:type="dxa"/>
            <w:vAlign w:val="bottom"/>
          </w:tcPr>
          <w:p>
            <w:pPr>
              <w:ind w:left="280"/>
              <w:spacing w:after="0"/>
              <w:rPr>
                <w:sz w:val="20"/>
                <w:szCs w:val="20"/>
                <w:color w:val="auto"/>
              </w:rPr>
            </w:pPr>
            <w:r>
              <w:rPr>
                <w:rFonts w:ascii="Arial" w:cs="Arial" w:eastAsia="Arial" w:hAnsi="Arial"/>
                <w:sz w:val="18"/>
                <w:szCs w:val="18"/>
                <w:b w:val="1"/>
                <w:bCs w:val="1"/>
                <w:color w:val="auto"/>
              </w:rPr>
              <w:t>0.179</w:t>
            </w:r>
          </w:p>
        </w:tc>
        <w:tc>
          <w:tcPr>
            <w:tcW w:w="1200" w:type="dxa"/>
            <w:vAlign w:val="bottom"/>
          </w:tcPr>
          <w:p>
            <w:pPr>
              <w:ind w:left="460"/>
              <w:spacing w:after="0"/>
              <w:rPr>
                <w:sz w:val="20"/>
                <w:szCs w:val="20"/>
                <w:color w:val="auto"/>
              </w:rPr>
            </w:pPr>
            <w:r>
              <w:rPr>
                <w:rFonts w:ascii="Arial" w:cs="Arial" w:eastAsia="Arial" w:hAnsi="Arial"/>
                <w:sz w:val="18"/>
                <w:szCs w:val="18"/>
                <w:b w:val="1"/>
                <w:bCs w:val="1"/>
                <w:color w:val="auto"/>
              </w:rPr>
              <w:t>0.211</w:t>
            </w:r>
          </w:p>
        </w:tc>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0.242</w:t>
            </w: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0.271</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0.298</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0.322</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0.345</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0.361</w:t>
            </w:r>
          </w:p>
        </w:tc>
      </w:tr>
      <w:tr>
        <w:trPr>
          <w:trHeight w:val="103"/>
        </w:trPr>
        <w:tc>
          <w:tcPr>
            <w:tcW w:w="18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34"/>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15 months</w:t>
            </w:r>
          </w:p>
        </w:tc>
        <w:tc>
          <w:tcPr>
            <w:tcW w:w="164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0.130</w:t>
            </w:r>
          </w:p>
        </w:tc>
        <w:tc>
          <w:tcPr>
            <w:tcW w:w="10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0.164</w:t>
            </w:r>
          </w:p>
        </w:tc>
        <w:tc>
          <w:tcPr>
            <w:tcW w:w="120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0.197</w:t>
            </w:r>
          </w:p>
        </w:tc>
        <w:tc>
          <w:tcPr>
            <w:tcW w:w="11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0.230</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0.262</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0.291</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0.317</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0.342</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0.361</w:t>
            </w:r>
          </w:p>
        </w:tc>
      </w:tr>
      <w:tr>
        <w:trPr>
          <w:trHeight w:val="103"/>
        </w:trPr>
        <w:tc>
          <w:tcPr>
            <w:tcW w:w="180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r>
      <w:tr>
        <w:trPr>
          <w:trHeight w:val="234"/>
        </w:trPr>
        <w:tc>
          <w:tcPr>
            <w:tcW w:w="1800" w:type="dxa"/>
            <w:vAlign w:val="bottom"/>
          </w:tcPr>
          <w:p>
            <w:pPr>
              <w:ind w:left="20"/>
              <w:spacing w:after="0"/>
              <w:rPr>
                <w:sz w:val="20"/>
                <w:szCs w:val="20"/>
                <w:color w:val="auto"/>
              </w:rPr>
            </w:pPr>
            <w:r>
              <w:rPr>
                <w:rFonts w:ascii="Arial" w:cs="Arial" w:eastAsia="Arial" w:hAnsi="Arial"/>
                <w:sz w:val="18"/>
                <w:szCs w:val="18"/>
                <w:b w:val="1"/>
                <w:bCs w:val="1"/>
                <w:color w:val="auto"/>
              </w:rPr>
              <w:t>12 months</w:t>
            </w:r>
          </w:p>
        </w:tc>
        <w:tc>
          <w:tcPr>
            <w:tcW w:w="1640" w:type="dxa"/>
            <w:vAlign w:val="bottom"/>
          </w:tcPr>
          <w:p>
            <w:pPr>
              <w:ind w:left="1000"/>
              <w:spacing w:after="0"/>
              <w:rPr>
                <w:sz w:val="20"/>
                <w:szCs w:val="20"/>
                <w:color w:val="auto"/>
              </w:rPr>
            </w:pPr>
            <w:r>
              <w:rPr>
                <w:rFonts w:ascii="Arial" w:cs="Arial" w:eastAsia="Arial" w:hAnsi="Arial"/>
                <w:sz w:val="18"/>
                <w:szCs w:val="18"/>
                <w:b w:val="1"/>
                <w:bCs w:val="1"/>
                <w:color w:val="auto"/>
              </w:rPr>
              <w:t>0.111</w:t>
            </w:r>
          </w:p>
        </w:tc>
        <w:tc>
          <w:tcPr>
            <w:tcW w:w="1060" w:type="dxa"/>
            <w:vAlign w:val="bottom"/>
          </w:tcPr>
          <w:p>
            <w:pPr>
              <w:ind w:left="260"/>
              <w:spacing w:after="0"/>
              <w:rPr>
                <w:sz w:val="20"/>
                <w:szCs w:val="20"/>
                <w:color w:val="auto"/>
              </w:rPr>
            </w:pPr>
            <w:r>
              <w:rPr>
                <w:rFonts w:ascii="Arial" w:cs="Arial" w:eastAsia="Arial" w:hAnsi="Arial"/>
                <w:sz w:val="18"/>
                <w:szCs w:val="18"/>
                <w:b w:val="1"/>
                <w:bCs w:val="1"/>
                <w:color w:val="auto"/>
              </w:rPr>
              <w:t>0.146</w:t>
            </w:r>
          </w:p>
        </w:tc>
        <w:tc>
          <w:tcPr>
            <w:tcW w:w="1200" w:type="dxa"/>
            <w:vAlign w:val="bottom"/>
          </w:tcPr>
          <w:p>
            <w:pPr>
              <w:ind w:left="400"/>
              <w:spacing w:after="0"/>
              <w:rPr>
                <w:sz w:val="20"/>
                <w:szCs w:val="20"/>
                <w:color w:val="auto"/>
              </w:rPr>
            </w:pPr>
            <w:r>
              <w:rPr>
                <w:rFonts w:ascii="Arial" w:cs="Arial" w:eastAsia="Arial" w:hAnsi="Arial"/>
                <w:sz w:val="18"/>
                <w:szCs w:val="18"/>
                <w:b w:val="1"/>
                <w:bCs w:val="1"/>
                <w:color w:val="auto"/>
              </w:rPr>
              <w:t>0.181</w:t>
            </w:r>
          </w:p>
        </w:tc>
        <w:tc>
          <w:tcPr>
            <w:tcW w:w="1100" w:type="dxa"/>
            <w:vAlign w:val="bottom"/>
          </w:tcPr>
          <w:p>
            <w:pPr>
              <w:ind w:left="340"/>
              <w:spacing w:after="0"/>
              <w:rPr>
                <w:sz w:val="20"/>
                <w:szCs w:val="20"/>
                <w:color w:val="auto"/>
              </w:rPr>
            </w:pPr>
            <w:r>
              <w:rPr>
                <w:rFonts w:ascii="Arial" w:cs="Arial" w:eastAsia="Arial" w:hAnsi="Arial"/>
                <w:sz w:val="18"/>
                <w:szCs w:val="18"/>
                <w:b w:val="1"/>
                <w:bCs w:val="1"/>
                <w:color w:val="auto"/>
              </w:rPr>
              <w:t>0.216</w:t>
            </w: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0.250</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0.282</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0.312</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0.339</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0.361</w:t>
            </w:r>
          </w:p>
        </w:tc>
      </w:tr>
      <w:tr>
        <w:trPr>
          <w:trHeight w:val="103"/>
        </w:trPr>
        <w:tc>
          <w:tcPr>
            <w:tcW w:w="18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34"/>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9 months</w:t>
            </w:r>
          </w:p>
        </w:tc>
        <w:tc>
          <w:tcPr>
            <w:tcW w:w="164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0.090</w:t>
            </w:r>
          </w:p>
        </w:tc>
        <w:tc>
          <w:tcPr>
            <w:tcW w:w="1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0.125</w:t>
            </w:r>
          </w:p>
        </w:tc>
        <w:tc>
          <w:tcPr>
            <w:tcW w:w="12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0.162</w:t>
            </w:r>
          </w:p>
        </w:tc>
        <w:tc>
          <w:tcPr>
            <w:tcW w:w="11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0.199</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0.237</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0.272</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0.305</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0.336</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0.361</w:t>
            </w:r>
          </w:p>
        </w:tc>
      </w:tr>
      <w:tr>
        <w:trPr>
          <w:trHeight w:val="103"/>
        </w:trPr>
        <w:tc>
          <w:tcPr>
            <w:tcW w:w="180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r>
      <w:tr>
        <w:trPr>
          <w:trHeight w:val="234"/>
        </w:trPr>
        <w:tc>
          <w:tcPr>
            <w:tcW w:w="1800" w:type="dxa"/>
            <w:vAlign w:val="bottom"/>
          </w:tcPr>
          <w:p>
            <w:pPr>
              <w:ind w:left="20"/>
              <w:spacing w:after="0"/>
              <w:rPr>
                <w:sz w:val="20"/>
                <w:szCs w:val="20"/>
                <w:color w:val="auto"/>
              </w:rPr>
            </w:pPr>
            <w:r>
              <w:rPr>
                <w:rFonts w:ascii="Arial" w:cs="Arial" w:eastAsia="Arial" w:hAnsi="Arial"/>
                <w:sz w:val="18"/>
                <w:szCs w:val="18"/>
                <w:b w:val="1"/>
                <w:bCs w:val="1"/>
                <w:color w:val="auto"/>
              </w:rPr>
              <w:t>6 months</w:t>
            </w:r>
          </w:p>
        </w:tc>
        <w:tc>
          <w:tcPr>
            <w:tcW w:w="1640" w:type="dxa"/>
            <w:vAlign w:val="bottom"/>
          </w:tcPr>
          <w:p>
            <w:pPr>
              <w:ind w:left="1000"/>
              <w:spacing w:after="0"/>
              <w:rPr>
                <w:sz w:val="20"/>
                <w:szCs w:val="20"/>
                <w:color w:val="auto"/>
              </w:rPr>
            </w:pPr>
            <w:r>
              <w:rPr>
                <w:rFonts w:ascii="Arial" w:cs="Arial" w:eastAsia="Arial" w:hAnsi="Arial"/>
                <w:sz w:val="18"/>
                <w:szCs w:val="18"/>
                <w:b w:val="1"/>
                <w:bCs w:val="1"/>
                <w:color w:val="auto"/>
              </w:rPr>
              <w:t>0.065</w:t>
            </w:r>
          </w:p>
        </w:tc>
        <w:tc>
          <w:tcPr>
            <w:tcW w:w="1060" w:type="dxa"/>
            <w:vAlign w:val="bottom"/>
          </w:tcPr>
          <w:p>
            <w:pPr>
              <w:ind w:left="260"/>
              <w:spacing w:after="0"/>
              <w:rPr>
                <w:sz w:val="20"/>
                <w:szCs w:val="20"/>
                <w:color w:val="auto"/>
              </w:rPr>
            </w:pPr>
            <w:r>
              <w:rPr>
                <w:rFonts w:ascii="Arial" w:cs="Arial" w:eastAsia="Arial" w:hAnsi="Arial"/>
                <w:sz w:val="18"/>
                <w:szCs w:val="18"/>
                <w:b w:val="1"/>
                <w:bCs w:val="1"/>
                <w:color w:val="auto"/>
              </w:rPr>
              <w:t>0.099</w:t>
            </w:r>
          </w:p>
        </w:tc>
        <w:tc>
          <w:tcPr>
            <w:tcW w:w="1200" w:type="dxa"/>
            <w:vAlign w:val="bottom"/>
          </w:tcPr>
          <w:p>
            <w:pPr>
              <w:ind w:left="400"/>
              <w:spacing w:after="0"/>
              <w:rPr>
                <w:sz w:val="20"/>
                <w:szCs w:val="20"/>
                <w:color w:val="auto"/>
              </w:rPr>
            </w:pPr>
            <w:r>
              <w:rPr>
                <w:rFonts w:ascii="Arial" w:cs="Arial" w:eastAsia="Arial" w:hAnsi="Arial"/>
                <w:sz w:val="18"/>
                <w:szCs w:val="18"/>
                <w:b w:val="1"/>
                <w:bCs w:val="1"/>
                <w:color w:val="auto"/>
              </w:rPr>
              <w:t>0.137</w:t>
            </w:r>
          </w:p>
        </w:tc>
        <w:tc>
          <w:tcPr>
            <w:tcW w:w="1100" w:type="dxa"/>
            <w:vAlign w:val="bottom"/>
          </w:tcPr>
          <w:p>
            <w:pPr>
              <w:ind w:left="340"/>
              <w:spacing w:after="0"/>
              <w:rPr>
                <w:sz w:val="20"/>
                <w:szCs w:val="20"/>
                <w:color w:val="auto"/>
              </w:rPr>
            </w:pPr>
            <w:r>
              <w:rPr>
                <w:rFonts w:ascii="Arial" w:cs="Arial" w:eastAsia="Arial" w:hAnsi="Arial"/>
                <w:sz w:val="18"/>
                <w:szCs w:val="18"/>
                <w:b w:val="1"/>
                <w:bCs w:val="1"/>
                <w:color w:val="auto"/>
              </w:rPr>
              <w:t>0.178</w:t>
            </w: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0.219</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0.259</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0.296</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0.331</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0.361</w:t>
            </w:r>
          </w:p>
        </w:tc>
      </w:tr>
      <w:tr>
        <w:trPr>
          <w:trHeight w:val="103"/>
        </w:trPr>
        <w:tc>
          <w:tcPr>
            <w:tcW w:w="18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34"/>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3 months</w:t>
            </w:r>
          </w:p>
        </w:tc>
        <w:tc>
          <w:tcPr>
            <w:tcW w:w="164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0.034</w:t>
            </w:r>
          </w:p>
        </w:tc>
        <w:tc>
          <w:tcPr>
            <w:tcW w:w="1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0.065</w:t>
            </w:r>
          </w:p>
        </w:tc>
        <w:tc>
          <w:tcPr>
            <w:tcW w:w="12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0.104</w:t>
            </w:r>
          </w:p>
        </w:tc>
        <w:tc>
          <w:tcPr>
            <w:tcW w:w="11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0.150</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0.197</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0.243</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0.286</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0.326</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0.361</w:t>
            </w:r>
          </w:p>
        </w:tc>
      </w:tr>
      <w:tr>
        <w:trPr>
          <w:trHeight w:val="103"/>
        </w:trPr>
        <w:tc>
          <w:tcPr>
            <w:tcW w:w="180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r>
      <w:tr>
        <w:trPr>
          <w:trHeight w:val="234"/>
        </w:trPr>
        <w:tc>
          <w:tcPr>
            <w:tcW w:w="1800" w:type="dxa"/>
            <w:vAlign w:val="bottom"/>
          </w:tcPr>
          <w:p>
            <w:pPr>
              <w:ind w:left="20"/>
              <w:spacing w:after="0"/>
              <w:rPr>
                <w:sz w:val="20"/>
                <w:szCs w:val="20"/>
                <w:color w:val="auto"/>
              </w:rPr>
            </w:pPr>
            <w:r>
              <w:rPr>
                <w:rFonts w:ascii="Arial" w:cs="Arial" w:eastAsia="Arial" w:hAnsi="Arial"/>
                <w:sz w:val="18"/>
                <w:szCs w:val="18"/>
                <w:b w:val="1"/>
                <w:bCs w:val="1"/>
                <w:color w:val="auto"/>
              </w:rPr>
              <w:t>0 months</w:t>
            </w:r>
          </w:p>
        </w:tc>
        <w:tc>
          <w:tcPr>
            <w:tcW w:w="1640" w:type="dxa"/>
            <w:vAlign w:val="bottom"/>
          </w:tcPr>
          <w:p>
            <w:pPr>
              <w:ind w:left="100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ind w:left="400"/>
              <w:spacing w:after="0"/>
              <w:rPr>
                <w:sz w:val="20"/>
                <w:szCs w:val="20"/>
                <w:color w:val="auto"/>
              </w:rPr>
            </w:pPr>
            <w:r>
              <w:rPr>
                <w:rFonts w:ascii="Arial" w:cs="Arial" w:eastAsia="Arial" w:hAnsi="Arial"/>
                <w:sz w:val="18"/>
                <w:szCs w:val="18"/>
                <w:b w:val="1"/>
                <w:bCs w:val="1"/>
                <w:color w:val="auto"/>
              </w:rPr>
              <w:t>0.042</w:t>
            </w:r>
          </w:p>
        </w:tc>
        <w:tc>
          <w:tcPr>
            <w:tcW w:w="1100" w:type="dxa"/>
            <w:vAlign w:val="bottom"/>
          </w:tcPr>
          <w:p>
            <w:pPr>
              <w:ind w:left="340"/>
              <w:spacing w:after="0"/>
              <w:rPr>
                <w:sz w:val="20"/>
                <w:szCs w:val="20"/>
                <w:color w:val="auto"/>
              </w:rPr>
            </w:pPr>
            <w:r>
              <w:rPr>
                <w:rFonts w:ascii="Arial" w:cs="Arial" w:eastAsia="Arial" w:hAnsi="Arial"/>
                <w:sz w:val="18"/>
                <w:szCs w:val="18"/>
                <w:b w:val="1"/>
                <w:bCs w:val="1"/>
                <w:color w:val="auto"/>
              </w:rPr>
              <w:t>0.115</w:t>
            </w: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0.179</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0.233</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0.281</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0.323</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0.361</w:t>
            </w:r>
          </w:p>
        </w:tc>
      </w:tr>
    </w:tbl>
    <w:p>
      <w:pPr>
        <w:spacing w:after="0" w:line="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exact fair market value and redemption date may not be set forth in the table above, in which case, if the fair market value is between two values in the table or the redemption date is between two redemption dates in the table, the number of Class A ordinary shares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our Class A ordinary shares for the 10 trading days ending on the third trading day prior to the date on which the notice of redemption is sent to the holders of the warrants is $11.00 per share, and at such time there are 57 months until the expiration of the warrants, holders may choose to, in connection with this redemption feature, exercise their warrants for 0.277 Class A ordinary shares for each whole warrant. For an example where the exact fair market value and redemption date are not as set forth in the table above, if the volume weighted average price of our Class A ordinary shares for the 10 trading days ending on the third trading day prior to the date on which the notice of redemption is sent to the holders of the warrants is $13.50 per share, and at such time there are 38 months until the expiration of the warrants, holders may choose to, in connection with this redemption feature, exercise their warrants for 0.298 Class A ordinary shares for each whole warrant. In no event will the warrants be exercisable on a cashless basis in connection with this redemption feature for more than 0.361 Class A ordinary shares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Class A ordinary shares.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redemption feature differs from the typical warrant redemption features used in many other blank check offerings, which typically only provide for a redemption of warrants for cash (other than the private placement warrants) when the trading price for the Class A ordinary shares exceeds $18.00 per share for a specified period of time. This redemption feature is structured to allow for all of the outstanding warrants to be redeemed when the Class A ordinary shares are trading at or above $10.00 per public share, which may be at a time when the trading price of our Class A ordinary shares is below the exercise price of the warrants. We have established this redemption feature to provide us with the flexibility to redeem the warrants without the warrants having to reach the $18.00 per share threshold.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jc w:val="both"/>
        <w:spacing w:after="0" w:line="254" w:lineRule="auto"/>
        <w:rPr>
          <w:sz w:val="20"/>
          <w:szCs w:val="20"/>
          <w:color w:val="auto"/>
        </w:rPr>
      </w:pPr>
      <w:r>
        <w:rPr>
          <w:rFonts w:ascii="Arial" w:cs="Arial" w:eastAsia="Arial" w:hAnsi="Arial"/>
          <w:sz w:val="18"/>
          <w:szCs w:val="18"/>
          <w:color w:val="auto"/>
        </w:rPr>
        <w:t>choosing to exercise their warrants in connection with a redemption pursuant to this feature will, in effect, receive a number of shares for their warrants based on an option pricing model with a fixed volatility input.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stated above, we can redeem the warrants when the Class A ordinary shares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Class A ordinary shares are trading at a price below the exercise price of the warrants, this could result in the warrant holders receiving fewer Class A ordinary shares than they would have received if they had chosen to wait to exercise their warrants for Class A ordinary shares if and when such Class A ordinary shares were trading at a price higher than the exercise price of $11.50.</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 fractional Class A ordinary shares will be issued upon exercise. If, upon exercise, a holder would be entitled to receive a fractional interest in a share, we will round down to the nearest whole number of the number of Class A ordinary shares to be issued to the holder. If, at the time of redemption, the warrants are exercisable for a security other than the Class A ordinary shares pursuant to the warrant agreement (for instance, if we are not the surviving company in our initial business combination), the warrants may be exercised for such security. At such time as the warrants become exercisable for a security other than the Class A ordinary shares, the Company (or surviving company) will use its commercially reasonable efforts to register under the Securities Act the security issuable upon the exercise of the warrants.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procedures.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Class A ordinary shares issued and outstanding immediately after giving effect to such exercise.</w:t>
      </w:r>
    </w:p>
    <w:p>
      <w:pPr>
        <w:spacing w:after="0" w:line="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Anti-dilution Adjustments. </w:t>
      </w:r>
      <w:r>
        <w:rPr>
          <w:rFonts w:ascii="Arial" w:cs="Arial" w:eastAsia="Arial" w:hAnsi="Arial"/>
          <w:sz w:val="16"/>
          <w:szCs w:val="16"/>
          <w:color w:val="auto"/>
        </w:rPr>
        <w:t>If the number of outstanding Class A ordinary shares is increased by a capitalization or share dividend payable in Class A</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shares, or by a sub-division of ordinary shares or other similar event, then, on the effective date of such capitalization or share dividend, sub-division or similar event, the number of Class A ordinary shares issuable on exercise of each warrant will be increased in proportion to such increase in the outstanding ordinary shares. A rights offering made to all or substantially all holders of ordinary shares entitling holders to purchase Class A ordinary shares at a price less than the “historical fair market value” (as defined below) will be deemed a share dividend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one minus the quotient of (x) the price per Class A ordinary share paid in such rights offering and (y) the historical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“historical fair market value” means the volume weighted average price of Class A ordinary shares as reported during the 10 trading day period ending on the trading day prior to the first date on which the Class A ordinary shares trade on the applicable exchange or in the applicable market, regular way, without the right to receive such rights.</w:t>
      </w:r>
    </w:p>
    <w:p>
      <w:pPr>
        <w:spacing w:after="0" w:line="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if we, at any time while the warrants are outstanding and unexpired, pay a dividend or make a distribution in cash, securities or other assets to all or substantially all of the holders of the Class A ordinary shares on account of such Class A ordinary shares (or other securities into which the warrants are convertible), other than (a) as described above, (b) any cash dividends or cash distributions which, when combined on a per share basis with all other cash dividends and cash distributions paid on the Class A ordinary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6" w:name="page77"/>
    <w:bookmarkEnd w:id="76"/>
    <w:p>
      <w:pPr>
        <w:jc w:val="both"/>
        <w:spacing w:after="0" w:line="289" w:lineRule="auto"/>
        <w:rPr>
          <w:sz w:val="20"/>
          <w:szCs w:val="20"/>
          <w:color w:val="auto"/>
        </w:rPr>
      </w:pPr>
      <w:r>
        <w:rPr>
          <w:rFonts w:ascii="Arial" w:cs="Arial" w:eastAsia="Arial" w:hAnsi="Arial"/>
          <w:sz w:val="16"/>
          <w:szCs w:val="16"/>
          <w:color w:val="auto"/>
        </w:rPr>
        <w:t>to the number of Class A ordinary shares issuable on exercise of each warrant) but only with respect to the amount of the aggregate cash dividends or cash distributions equal to or less than $0.50 per share, (c) to satisfy the redemption rights of the holders of Class A ordinary shares in connection with a proposed initial business combination, (d) to satisfy the redemption rights of the holders of Class A ordinary shares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the initial public offering or (B) with respect to any other provision relating to the rights of holders of our Class A ordinary shares,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the number of outstanding Class A ordinary shares is decreased by a consolidation, combination or reclassification of Class A ordinary shares or other similar event, then, on the effective date of such consolidation, combination, reclassification or similar event, the number of Class A ordinary shares issuable on exercise of each warrant will be decreased in proportion to such decrease in outstanding Class A ordinary shares.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warrants immediately prior to such adjustment and (y) the denominator of which will be the number of Class A ordinary shares so purchasable immediately thereafter.</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if (x) we issue additional Class A ordinary shares or equity-linked securities for capital raising purposes in connection with the closing of our initial business combination at an issue price or effective issue price of less than $9.20 per ordinary share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ordinary shares during the 20 trading day period starting on the trading day prior to the day on which we consummate our initial business combination (such price, the “Market Value”) is below $9.20 per share, the exercise price of the warrants will be adjusted (to the nearest cent) to be equal to 115% of the higher of the Market Value and the Newly Issued Price, the $18.00 per share redemption trigger price described above under “—Redemption of warrants when the price per Class A ordinary share equals or exceeds $18.00” and “—Redemption of warrants when the price per Class A ordinary shares equals or exceeds $10.00” will be adjusted (to the nearest cent) to be equal to 180% of the higher of the Market Value and the Newly Issued Price, and the $10.00 per share redemption trigger price described above under “—Redemption of warrants when the price per Class A ordinary share equals or exceeds $10.00” will be adjusted (to the nearest cent) to be equal to the higher of the Market Value and the Newly Issued Price.</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case of any reclassification or reorganization of the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outstanding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ordinary shares immediately theretofore purchasable and receivable upon the exercise of the rights represented thereby, the kind and amount of Class A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264795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jc w:val="both"/>
        <w:spacing w:after="0" w:line="284" w:lineRule="auto"/>
        <w:rPr>
          <w:sz w:val="20"/>
          <w:szCs w:val="20"/>
          <w:color w:val="auto"/>
        </w:rPr>
      </w:pPr>
      <w:r>
        <w:rPr>
          <w:rFonts w:ascii="Arial" w:cs="Arial" w:eastAsia="Arial" w:hAnsi="Arial"/>
          <w:sz w:val="16"/>
          <w:szCs w:val="16"/>
          <w:color w:val="auto"/>
        </w:rPr>
        <w:t>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shareholders of the company as provided for in the company’s amended and restated memorandum and articles of association or as a result of the redemption of Class A ordinary shares by the company if a proposed initial business combination is presented to the shareholders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Class A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Class A ordinary shares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holders of Class A ordinary shares in such a transaction is payable in the form of Class A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warrants have been issued in registered form under a warrant agreement between American Stock Transfer &amp; Trust Company, as warrant agent, and us. The warrant agreement provides that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herein, or defective provision (ii) amending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You should review a copy of the warrant agreement, which is filed as an exhibit to the Form 10-K, for a complete description of the terms and conditions applicable to the warrants.</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paid any cash dividends on our ordinary shares to date and do not intend to pay cash dividends prior to the completion of our initial business combination. The payment of cash dividends in the future will be 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8" w:name="page79"/>
    <w:bookmarkEnd w:id="78"/>
    <w:p>
      <w:pPr>
        <w:jc w:val="both"/>
        <w:spacing w:after="0" w:line="259" w:lineRule="auto"/>
        <w:rPr>
          <w:sz w:val="20"/>
          <w:szCs w:val="20"/>
          <w:color w:val="auto"/>
        </w:rPr>
      </w:pPr>
      <w:r>
        <w:rPr>
          <w:rFonts w:ascii="Arial" w:cs="Arial" w:eastAsia="Arial" w:hAnsi="Arial"/>
          <w:sz w:val="18"/>
          <w:szCs w:val="18"/>
          <w:color w:val="auto"/>
        </w:rPr>
        <w:t>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Further, if we incur any indebtedness in connection with a business combination, our ability to declare dividends may be limited by restrictive covenants we may agree to in connection therewith.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Amended and Restated Memorandum and Articles of Association</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amended and restated memorandum and articles of association contain provisions designed to provide certain rights and protections relating to the initial public offering that will apply to us until the completion of our initial business combination. These provisions cannot be amended without a special resolution under Cayman Islands law. As a matter of Cayman Islands law, a resolution is deemed to be a special resolution where it has been approved by either (i) the affirmative vote of at least two-thirds (or any higher threshold specified in a company’s articles of association) of a company’s shareholders entitled to vote and so voting at a general meeting for which notice specifying the intention to propose the resolution as a special resolution has been given; or (ii) if so authorized by a company’s articles of association, by a unanimous written resolution of all of the company’s shareholders. Other than as described above, our amended and restated memorandum and articles of association provide that special resolutions must be approved either by at least two-thirds of our shareholders who attend and vote at a general meeting of the company (i.e., the lowest threshold permissible under Cayman Islands law), or by a unanimous written resolution of all of our shareholders.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sponsor and its permitted transferees, if any, who collectively beneficially own 20% of our ordinary shares, will participate in any vote to amend our amended and restated memorandum and articles of association and will have the discretion to vote in any manner they choose. Specifically, our amended and restated memorandum and articles of association provide, among other things, that:</w:t>
      </w:r>
    </w:p>
    <w:p>
      <w:pPr>
        <w:spacing w:after="0" w:line="3" w:lineRule="exact"/>
        <w:rPr>
          <w:sz w:val="20"/>
          <w:szCs w:val="20"/>
          <w:color w:val="auto"/>
        </w:rPr>
      </w:pPr>
    </w:p>
    <w:p>
      <w:pPr>
        <w:jc w:val="both"/>
        <w:ind w:left="1440" w:right="20" w:hanging="1359"/>
        <w:spacing w:after="0" w:line="286" w:lineRule="auto"/>
        <w:tabs>
          <w:tab w:leader="none" w:pos="14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If we have not completed our initial business combination within 24 months from the closing of the initial public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that were paid by us or are payable by us,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each case to our obligations under Cayman Islands law to provide for claims of creditors and the requirements of other applicable law;</w:t>
      </w:r>
    </w:p>
    <w:p>
      <w:pPr>
        <w:spacing w:after="0" w:line="388" w:lineRule="exact"/>
        <w:rPr>
          <w:sz w:val="20"/>
          <w:szCs w:val="20"/>
          <w:color w:val="auto"/>
        </w:rPr>
      </w:pPr>
    </w:p>
    <w:p>
      <w:pPr>
        <w:jc w:val="both"/>
        <w:ind w:left="1380" w:right="20" w:hanging="512"/>
        <w:spacing w:after="0" w:line="255" w:lineRule="auto"/>
        <w:tabs>
          <w:tab w:leader="none" w:pos="1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Prior to or in connection with our initial business combination, we may not issue additional securities that would entitle the holders thereof to (i) receive funds from the trust account or (ii) vote as a class with our public shares (a) on our initial business combination or on any other proposal presented to shareholders prior to or in connection with the completion of an initial business combination or (b) to approve an amendment to our amended and restated memorandum and articles of association to (x) extend the time we have to consummate a business combination beyond 24 months from the closing of the initial public offering or (y) amend the foregoing provisions;</w:t>
      </w: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jc w:val="both"/>
        <w:ind w:left="1380" w:right="20" w:hanging="512"/>
        <w:spacing w:after="0" w:line="301" w:lineRule="auto"/>
        <w:tabs>
          <w:tab w:leader="none" w:pos="13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Although we do not intend to enter into a business combination with a target business that is affiliated with our sponsor, our directors or our officers, we are not prohibited from doing so. In the event we enter into such a transaction, we, or a committee of independent directors, will obtain an opinion from independent investment banking firm that is a member of FINRA or another independent entity that commonly renders valuation opinions that such a business combination is fair to our company from a financial point of view;</w:t>
      </w:r>
    </w:p>
    <w:p>
      <w:pPr>
        <w:spacing w:after="0" w:line="373" w:lineRule="exact"/>
        <w:rPr>
          <w:rFonts w:ascii="Arial" w:cs="Arial" w:eastAsia="Arial" w:hAnsi="Arial"/>
          <w:sz w:val="16"/>
          <w:szCs w:val="16"/>
          <w:color w:val="auto"/>
        </w:rPr>
      </w:pPr>
    </w:p>
    <w:p>
      <w:pPr>
        <w:jc w:val="both"/>
        <w:ind w:left="1380" w:right="20" w:hanging="512"/>
        <w:spacing w:after="0" w:line="275" w:lineRule="auto"/>
        <w:tabs>
          <w:tab w:leader="none" w:pos="13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a shareholder vote on our initial business combination is not required by applicable law or stock exchange listing requirements and we do not decide to hold a shareholder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jc w:val="both"/>
        <w:ind w:left="1380" w:right="20" w:hanging="512"/>
        <w:spacing w:after="0" w:line="259" w:lineRule="auto"/>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 long as our securities are then listed on the NYSE, our initial business combination must occur with one or more target businesses that together have an aggregate fair market value of at least 80% of the assets held in the trust account (excluding the amount of deferred underwriting discounts held in trust and taxes payable on the income earned on the trust account) at the time of the agreement to enter into the initial business combination;</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jc w:val="both"/>
        <w:ind w:left="1400" w:right="20" w:hanging="518"/>
        <w:spacing w:after="0" w:line="284" w:lineRule="auto"/>
        <w:tabs>
          <w:tab w:leader="none" w:pos="14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If our shareholders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the initial public offering or (B) with respect to any other provision relating to the rights of holders of our Class A ordinary shares, we will provide our public shareholders with the opportunity to redeem all or a portion of their ordinary shares upon such approval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subject to the limitations described herein; and</w:t>
      </w:r>
    </w:p>
    <w:p>
      <w:pPr>
        <w:ind w:left="1400" w:right="20" w:hanging="518"/>
        <w:spacing w:after="0" w:line="260" w:lineRule="auto"/>
        <w:tabs>
          <w:tab w:leader="none" w:pos="14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solely with another blank check company or a similar company with nominal operations.</w:t>
      </w:r>
    </w:p>
    <w:p>
      <w:pPr>
        <w:spacing w:after="0" w:line="18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addition, our amended and restated memorandum and articles of association provide that under no circumstances will we redeem our public shares in an amount that would cause our net tangible assets, after payment of the deferred underwriting commissions, to be less than $5,000,001.</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Companies Act permits a company incorporated in the Cayman Islands to amend its memorandum and articles of association with the approval of a special resolution which requires the approval of the holders of at least two-thirds of such company’s issued and outstanding ordinary shares who attend and vote at a general meeting or by way of unanimous written resolution. A company’s articles of association may specify that the approval of a higher majority is required but, provided the approval of the required majority is obtained, any Cayman Islands exempted company may amend its memorandum and articles of association regardless of whether its memorandum and articles of association provide otherwise.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our Amended and Restated Memorandum and Articles of Association</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amended and restated memorandum and articles of association provide that our board of directors is classified into three classes of directors. As a result, in most circumstances, a person can gain control of our board only by successfully engaging in a proxy contest at two or more annual general meetings.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authorized but unissued Class A ordinary shares and preference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preference shares could render more difficult or discourage an attempt to obtain control of us by means of a proxy contest, tender offer, merger or otherwise.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units trade on the NYSE under the symbol “SNII.U”. The ordinary shares and warrants trade on NYSE under the symbols “SNII” and “SNII WS,” respectively.</w:t>
      </w:r>
    </w:p>
    <w:p>
      <w:pPr>
        <w:sectPr>
          <w:pgSz w:w="11900" w:h="16838" w:orient="portrait"/>
          <w:cols w:equalWidth="0" w:num="1">
            <w:col w:w="11240"/>
          </w:cols>
          <w:pgMar w:left="320" w:top="557"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 Robert D. Reid, certify that:</w:t>
      </w:r>
    </w:p>
    <w:p>
      <w:pPr>
        <w:spacing w:after="0" w:line="185" w:lineRule="exact"/>
        <w:rPr>
          <w:sz w:val="20"/>
          <w:szCs w:val="20"/>
          <w:color w:val="auto"/>
        </w:rPr>
      </w:pPr>
    </w:p>
    <w:p>
      <w:pPr>
        <w:ind w:left="1660" w:hanging="788"/>
        <w:spacing w:after="0"/>
        <w:tabs>
          <w:tab w:leader="none" w:pos="1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Supernova Partners Acquisition Company II, Ltd.;</w:t>
      </w:r>
    </w:p>
    <w:p>
      <w:pPr>
        <w:spacing w:after="0" w:line="184" w:lineRule="exact"/>
        <w:rPr>
          <w:rFonts w:ascii="Arial" w:cs="Arial" w:eastAsia="Arial" w:hAnsi="Arial"/>
          <w:sz w:val="18"/>
          <w:szCs w:val="18"/>
          <w:color w:val="auto"/>
        </w:rPr>
      </w:pPr>
    </w:p>
    <w:p>
      <w:pPr>
        <w:ind w:firstLine="872"/>
        <w:spacing w:after="0" w:line="263" w:lineRule="auto"/>
        <w:tabs>
          <w:tab w:leader="none" w:pos="16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right="600" w:firstLine="872"/>
        <w:spacing w:after="0" w:line="342" w:lineRule="auto"/>
        <w:tabs>
          <w:tab w:leader="none" w:pos="1646"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right="200" w:firstLine="872"/>
        <w:spacing w:after="0" w:line="342" w:lineRule="auto"/>
        <w:tabs>
          <w:tab w:leader="none" w:pos="1646" w:val="left"/>
        </w:tabs>
        <w:numPr>
          <w:ilvl w:val="0"/>
          <w:numId w:val="45"/>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3" w:lineRule="exact"/>
        <w:rPr>
          <w:rFonts w:ascii="Arial" w:cs="Arial" w:eastAsia="Arial" w:hAnsi="Arial"/>
          <w:sz w:val="16"/>
          <w:szCs w:val="16"/>
          <w:color w:val="auto"/>
        </w:rPr>
      </w:pPr>
    </w:p>
    <w:p>
      <w:pPr>
        <w:ind w:left="880" w:right="40" w:firstLine="789"/>
        <w:spacing w:after="0" w:line="286" w:lineRule="auto"/>
        <w:tabs>
          <w:tab w:leader="none" w:pos="2525"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ind w:left="880" w:right="120" w:firstLine="789"/>
        <w:spacing w:after="0" w:line="263" w:lineRule="auto"/>
        <w:tabs>
          <w:tab w:leader="none" w:pos="253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880" w:right="180" w:firstLine="789"/>
        <w:spacing w:after="0" w:line="263" w:lineRule="auto"/>
        <w:tabs>
          <w:tab w:leader="none" w:pos="2525"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880" w:right="220" w:firstLine="789"/>
        <w:spacing w:after="0" w:line="263" w:lineRule="auto"/>
        <w:tabs>
          <w:tab w:leader="none" w:pos="253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reporting;and</w:t>
      </w:r>
    </w:p>
    <w:p>
      <w:pPr>
        <w:spacing w:after="0" w:line="156" w:lineRule="exact"/>
        <w:rPr>
          <w:rFonts w:ascii="Arial" w:cs="Arial" w:eastAsia="Arial" w:hAnsi="Arial"/>
          <w:sz w:val="18"/>
          <w:szCs w:val="18"/>
          <w:color w:val="auto"/>
        </w:rPr>
      </w:pPr>
    </w:p>
    <w:p>
      <w:pPr>
        <w:ind w:right="120" w:firstLine="872"/>
        <w:spacing w:after="0" w:line="277" w:lineRule="auto"/>
        <w:tabs>
          <w:tab w:leader="none" w:pos="16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ind w:left="880" w:right="100" w:firstLine="789"/>
        <w:spacing w:after="0" w:line="263" w:lineRule="auto"/>
        <w:tabs>
          <w:tab w:leader="none" w:pos="2525"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880" w:right="360" w:firstLine="789"/>
        <w:spacing w:after="0" w:line="277" w:lineRule="auto"/>
        <w:tabs>
          <w:tab w:leader="none" w:pos="2535"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February 23, 2022</w:t>
            </w:r>
          </w:p>
        </w:tc>
        <w:tc>
          <w:tcPr>
            <w:tcW w:w="2820" w:type="dxa"/>
            <w:vAlign w:val="bottom"/>
          </w:tcPr>
          <w:p>
            <w:pPr>
              <w:ind w:left="21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D. Reid</w:t>
            </w:r>
          </w:p>
        </w:tc>
      </w:tr>
      <w:tr>
        <w:trPr>
          <w:trHeight w:val="209"/>
        </w:trPr>
        <w:tc>
          <w:tcPr>
            <w:tcW w:w="3480" w:type="dxa"/>
            <w:vAlign w:val="bottom"/>
          </w:tcPr>
          <w:p>
            <w:pPr>
              <w:spacing w:after="0"/>
              <w:rPr>
                <w:sz w:val="18"/>
                <w:szCs w:val="18"/>
                <w:color w:val="auto"/>
              </w:rPr>
            </w:pPr>
          </w:p>
        </w:tc>
        <w:tc>
          <w:tcPr>
            <w:tcW w:w="2820" w:type="dxa"/>
            <w:vAlign w:val="bottom"/>
          </w:tcPr>
          <w:p>
            <w:pPr>
              <w:ind w:left="2140"/>
              <w:spacing w:after="0"/>
              <w:rPr>
                <w:sz w:val="20"/>
                <w:szCs w:val="20"/>
                <w:color w:val="auto"/>
              </w:rPr>
            </w:pPr>
            <w:r>
              <w:rPr>
                <w:rFonts w:ascii="Arial" w:cs="Arial" w:eastAsia="Arial" w:hAnsi="Arial"/>
                <w:sz w:val="18"/>
                <w:szCs w:val="18"/>
                <w:color w:val="auto"/>
              </w:rPr>
              <w:t>Name:</w:t>
            </w:r>
          </w:p>
        </w:tc>
        <w:tc>
          <w:tcPr>
            <w:tcW w:w="4940" w:type="dxa"/>
            <w:vAlign w:val="bottom"/>
          </w:tcPr>
          <w:p>
            <w:pPr>
              <w:spacing w:after="0"/>
              <w:rPr>
                <w:sz w:val="20"/>
                <w:szCs w:val="20"/>
                <w:color w:val="auto"/>
              </w:rPr>
            </w:pPr>
            <w:r>
              <w:rPr>
                <w:rFonts w:ascii="Arial" w:cs="Arial" w:eastAsia="Arial" w:hAnsi="Arial"/>
                <w:sz w:val="18"/>
                <w:szCs w:val="18"/>
                <w:color w:val="auto"/>
              </w:rPr>
              <w:t>Robert D. Reid</w:t>
            </w:r>
          </w:p>
        </w:tc>
      </w:tr>
      <w:tr>
        <w:trPr>
          <w:trHeight w:val="230"/>
        </w:trPr>
        <w:tc>
          <w:tcPr>
            <w:tcW w:w="3480" w:type="dxa"/>
            <w:vAlign w:val="bottom"/>
          </w:tcPr>
          <w:p>
            <w:pPr>
              <w:spacing w:after="0"/>
              <w:rPr>
                <w:sz w:val="20"/>
                <w:szCs w:val="20"/>
                <w:color w:val="auto"/>
              </w:rPr>
            </w:pPr>
          </w:p>
        </w:tc>
        <w:tc>
          <w:tcPr>
            <w:tcW w:w="2820" w:type="dxa"/>
            <w:vAlign w:val="bottom"/>
          </w:tcPr>
          <w:p>
            <w:pPr>
              <w:ind w:left="21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w w:val="95"/>
              </w:rPr>
              <w:t xml:space="preserve">Chief Executive Officer and Director </w:t>
            </w:r>
            <w:r>
              <w:rPr>
                <w:rFonts w:ascii="Arial" w:cs="Arial" w:eastAsia="Arial" w:hAnsi="Arial"/>
                <w:sz w:val="18"/>
                <w:szCs w:val="18"/>
                <w:i w:val="1"/>
                <w:iCs w:val="1"/>
                <w:color w:val="auto"/>
                <w:w w:val="95"/>
              </w:rPr>
              <w:t>(Principal Executive Officer)</w:t>
            </w:r>
          </w:p>
        </w:tc>
      </w:tr>
    </w:tbl>
    <w:p>
      <w:pPr>
        <w:sectPr>
          <w:pgSz w:w="11900" w:h="16838" w:orient="portrait"/>
          <w:cols w:equalWidth="0" w:num="1">
            <w:col w:w="11240"/>
          </w:cols>
          <w:pgMar w:left="320" w:top="35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 Michael S. Clifton, certify that:</w:t>
      </w:r>
    </w:p>
    <w:p>
      <w:pPr>
        <w:spacing w:after="0" w:line="185" w:lineRule="exact"/>
        <w:rPr>
          <w:sz w:val="20"/>
          <w:szCs w:val="20"/>
          <w:color w:val="auto"/>
        </w:rPr>
      </w:pPr>
    </w:p>
    <w:p>
      <w:pPr>
        <w:ind w:left="1660" w:hanging="788"/>
        <w:spacing w:after="0"/>
        <w:tabs>
          <w:tab w:leader="none" w:pos="1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Supernova Partners Acquisition Company II, Ltd.;</w:t>
      </w:r>
    </w:p>
    <w:p>
      <w:pPr>
        <w:spacing w:after="0" w:line="184" w:lineRule="exact"/>
        <w:rPr>
          <w:rFonts w:ascii="Arial" w:cs="Arial" w:eastAsia="Arial" w:hAnsi="Arial"/>
          <w:sz w:val="18"/>
          <w:szCs w:val="18"/>
          <w:color w:val="auto"/>
        </w:rPr>
      </w:pPr>
    </w:p>
    <w:p>
      <w:pPr>
        <w:ind w:firstLine="872"/>
        <w:spacing w:after="0" w:line="263" w:lineRule="auto"/>
        <w:tabs>
          <w:tab w:leader="none" w:pos="16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right="600" w:firstLine="872"/>
        <w:spacing w:after="0" w:line="342" w:lineRule="auto"/>
        <w:tabs>
          <w:tab w:leader="none" w:pos="1646"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right="200" w:firstLine="872"/>
        <w:spacing w:after="0" w:line="342" w:lineRule="auto"/>
        <w:tabs>
          <w:tab w:leader="none" w:pos="1646" w:val="left"/>
        </w:tabs>
        <w:numPr>
          <w:ilvl w:val="0"/>
          <w:numId w:val="46"/>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3" w:lineRule="exact"/>
        <w:rPr>
          <w:rFonts w:ascii="Arial" w:cs="Arial" w:eastAsia="Arial" w:hAnsi="Arial"/>
          <w:sz w:val="16"/>
          <w:szCs w:val="16"/>
          <w:color w:val="auto"/>
        </w:rPr>
      </w:pPr>
    </w:p>
    <w:p>
      <w:pPr>
        <w:ind w:left="880" w:right="40" w:firstLine="789"/>
        <w:spacing w:after="0" w:line="286" w:lineRule="auto"/>
        <w:tabs>
          <w:tab w:leader="none" w:pos="2525"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ind w:left="880" w:right="120" w:firstLine="789"/>
        <w:spacing w:after="0" w:line="263" w:lineRule="auto"/>
        <w:tabs>
          <w:tab w:leader="none" w:pos="2535"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880" w:right="180" w:firstLine="789"/>
        <w:spacing w:after="0" w:line="263" w:lineRule="auto"/>
        <w:tabs>
          <w:tab w:leader="none" w:pos="2525"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880" w:right="220" w:firstLine="789"/>
        <w:spacing w:after="0" w:line="263" w:lineRule="auto"/>
        <w:tabs>
          <w:tab w:leader="none" w:pos="2535"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right="120" w:firstLine="872"/>
        <w:spacing w:after="0" w:line="277" w:lineRule="auto"/>
        <w:tabs>
          <w:tab w:leader="none" w:pos="16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ind w:left="880" w:right="100" w:firstLine="789"/>
        <w:spacing w:after="0" w:line="263" w:lineRule="auto"/>
        <w:tabs>
          <w:tab w:leader="none" w:pos="2525"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880" w:right="360" w:firstLine="789"/>
        <w:spacing w:after="0" w:line="277" w:lineRule="auto"/>
        <w:tabs>
          <w:tab w:leader="none" w:pos="2535"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February 23, 2022</w:t>
            </w:r>
          </w:p>
        </w:tc>
        <w:tc>
          <w:tcPr>
            <w:tcW w:w="2820" w:type="dxa"/>
            <w:vAlign w:val="bottom"/>
          </w:tcPr>
          <w:p>
            <w:pPr>
              <w:ind w:left="21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Clifton</w:t>
            </w:r>
          </w:p>
        </w:tc>
      </w:tr>
      <w:tr>
        <w:trPr>
          <w:trHeight w:val="195"/>
        </w:trPr>
        <w:tc>
          <w:tcPr>
            <w:tcW w:w="3480" w:type="dxa"/>
            <w:vAlign w:val="bottom"/>
          </w:tcPr>
          <w:p>
            <w:pPr>
              <w:spacing w:after="0"/>
              <w:rPr>
                <w:sz w:val="16"/>
                <w:szCs w:val="16"/>
                <w:color w:val="auto"/>
              </w:rPr>
            </w:pPr>
          </w:p>
        </w:tc>
        <w:tc>
          <w:tcPr>
            <w:tcW w:w="282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Michael S. Clifton</w:t>
            </w:r>
          </w:p>
        </w:tc>
      </w:tr>
      <w:tr>
        <w:trPr>
          <w:trHeight w:val="230"/>
        </w:trPr>
        <w:tc>
          <w:tcPr>
            <w:tcW w:w="3480" w:type="dxa"/>
            <w:vAlign w:val="bottom"/>
          </w:tcPr>
          <w:p>
            <w:pPr>
              <w:spacing w:after="0"/>
              <w:rPr>
                <w:sz w:val="20"/>
                <w:szCs w:val="20"/>
                <w:color w:val="auto"/>
              </w:rPr>
            </w:pPr>
          </w:p>
        </w:tc>
        <w:tc>
          <w:tcPr>
            <w:tcW w:w="2820" w:type="dxa"/>
            <w:vAlign w:val="bottom"/>
          </w:tcPr>
          <w:p>
            <w:pPr>
              <w:ind w:left="21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35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100" w:firstLine="864"/>
        <w:spacing w:after="0" w:line="263" w:lineRule="auto"/>
        <w:rPr>
          <w:sz w:val="20"/>
          <w:szCs w:val="20"/>
          <w:color w:val="auto"/>
        </w:rPr>
      </w:pPr>
      <w:r>
        <w:rPr>
          <w:rFonts w:ascii="Arial" w:cs="Arial" w:eastAsia="Arial" w:hAnsi="Arial"/>
          <w:sz w:val="18"/>
          <w:szCs w:val="18"/>
          <w:color w:val="auto"/>
        </w:rPr>
        <w:t>In connection with the Annual Report on Form 10-K of Supernova Partners Acquisition Company II, Ltd. (the “Company”) for the year ended December 31, 2021, as filed with the Securities and Exchange Commission (the “Report”), I, Robert D. Reid, Chief Executive Officer of the Company, certify, pursuant to 18 U.S.C. §1350, as adopted pursuant to Section 906 of the Sarbanes-Oxley Act of 2002, that:</w:t>
      </w:r>
    </w:p>
    <w:p>
      <w:pPr>
        <w:spacing w:after="0" w:line="143" w:lineRule="exact"/>
        <w:rPr>
          <w:sz w:val="20"/>
          <w:szCs w:val="20"/>
          <w:color w:val="auto"/>
        </w:rPr>
      </w:pPr>
    </w:p>
    <w:p>
      <w:pPr>
        <w:ind w:left="1660" w:hanging="788"/>
        <w:spacing w:after="0"/>
        <w:tabs>
          <w:tab w:leader="none" w:pos="1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right="40" w:firstLine="872"/>
        <w:spacing w:after="0" w:line="277" w:lineRule="auto"/>
        <w:tabs>
          <w:tab w:leader="none" w:pos="164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February 23, 2022</w:t>
            </w:r>
          </w:p>
        </w:tc>
        <w:tc>
          <w:tcPr>
            <w:tcW w:w="2820" w:type="dxa"/>
            <w:vAlign w:val="bottom"/>
          </w:tcPr>
          <w:p>
            <w:pPr>
              <w:ind w:left="214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D. Reid</w:t>
            </w:r>
          </w:p>
        </w:tc>
      </w:tr>
      <w:tr>
        <w:trPr>
          <w:trHeight w:val="195"/>
        </w:trPr>
        <w:tc>
          <w:tcPr>
            <w:tcW w:w="3460" w:type="dxa"/>
            <w:vAlign w:val="bottom"/>
          </w:tcPr>
          <w:p>
            <w:pPr>
              <w:spacing w:after="0"/>
              <w:rPr>
                <w:sz w:val="16"/>
                <w:szCs w:val="16"/>
                <w:color w:val="auto"/>
              </w:rPr>
            </w:pPr>
          </w:p>
        </w:tc>
        <w:tc>
          <w:tcPr>
            <w:tcW w:w="282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Robert D. Reid</w:t>
            </w:r>
          </w:p>
        </w:tc>
      </w:tr>
      <w:tr>
        <w:trPr>
          <w:trHeight w:val="230"/>
        </w:trPr>
        <w:tc>
          <w:tcPr>
            <w:tcW w:w="3460" w:type="dxa"/>
            <w:vAlign w:val="bottom"/>
          </w:tcPr>
          <w:p>
            <w:pPr>
              <w:spacing w:after="0"/>
              <w:rPr>
                <w:sz w:val="20"/>
                <w:szCs w:val="20"/>
                <w:color w:val="auto"/>
              </w:rPr>
            </w:pPr>
          </w:p>
        </w:tc>
        <w:tc>
          <w:tcPr>
            <w:tcW w:w="2820" w:type="dxa"/>
            <w:vAlign w:val="bottom"/>
          </w:tcPr>
          <w:p>
            <w:pPr>
              <w:ind w:left="214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w w:val="96"/>
              </w:rPr>
              <w:t xml:space="preserve">Chief Executive Officer and Director </w:t>
            </w:r>
            <w:r>
              <w:rPr>
                <w:rFonts w:ascii="Arial" w:cs="Arial" w:eastAsia="Arial" w:hAnsi="Arial"/>
                <w:sz w:val="18"/>
                <w:szCs w:val="18"/>
                <w:i w:val="1"/>
                <w:iCs w:val="1"/>
                <w:color w:val="auto"/>
                <w:w w:val="96"/>
              </w:rPr>
              <w:t>(Principal Executive Officer)</w:t>
            </w:r>
          </w:p>
        </w:tc>
      </w:tr>
    </w:tbl>
    <w:p>
      <w:pPr>
        <w:sectPr>
          <w:pgSz w:w="11900" w:h="16838" w:orient="portrait"/>
          <w:cols w:equalWidth="0" w:num="1">
            <w:col w:w="11240"/>
          </w:cols>
          <w:pgMar w:left="320" w:top="756"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100" w:firstLine="864"/>
        <w:spacing w:after="0" w:line="263" w:lineRule="auto"/>
        <w:rPr>
          <w:sz w:val="20"/>
          <w:szCs w:val="20"/>
          <w:color w:val="auto"/>
        </w:rPr>
      </w:pPr>
      <w:r>
        <w:rPr>
          <w:rFonts w:ascii="Arial" w:cs="Arial" w:eastAsia="Arial" w:hAnsi="Arial"/>
          <w:sz w:val="18"/>
          <w:szCs w:val="18"/>
          <w:color w:val="auto"/>
        </w:rPr>
        <w:t>In connection with the Annual Report on Form 10-K of Supernova Partners Acquisition Company II, Ltd. (the “Company”) for the year ended December 31, 2021, as filed with the Securities and Exchange Commission (the “Report”), I, Michael S. Clifton, Chief Financial Officer of the Company, certify, pursuant to 18 U.S.C. §1350, as adopted pursuant to Section 906 of the Sarbanes-Oxley Act of 2002, that:</w:t>
      </w:r>
    </w:p>
    <w:p>
      <w:pPr>
        <w:spacing w:after="0" w:line="143" w:lineRule="exact"/>
        <w:rPr>
          <w:sz w:val="20"/>
          <w:szCs w:val="20"/>
          <w:color w:val="auto"/>
        </w:rPr>
      </w:pPr>
    </w:p>
    <w:p>
      <w:pPr>
        <w:ind w:left="1660" w:hanging="788"/>
        <w:spacing w:after="0"/>
        <w:tabs>
          <w:tab w:leader="none" w:pos="1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07" w:lineRule="exact"/>
        <w:rPr>
          <w:rFonts w:ascii="Arial" w:cs="Arial" w:eastAsia="Arial" w:hAnsi="Arial"/>
          <w:sz w:val="16"/>
          <w:szCs w:val="16"/>
          <w:color w:val="auto"/>
        </w:rPr>
      </w:pPr>
    </w:p>
    <w:p>
      <w:pPr>
        <w:ind w:right="40" w:firstLine="872"/>
        <w:spacing w:after="0" w:line="277" w:lineRule="auto"/>
        <w:tabs>
          <w:tab w:leader="none" w:pos="164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February 23, 2022</w:t>
            </w:r>
          </w:p>
        </w:tc>
        <w:tc>
          <w:tcPr>
            <w:tcW w:w="2820" w:type="dxa"/>
            <w:vAlign w:val="bottom"/>
          </w:tcPr>
          <w:p>
            <w:pPr>
              <w:ind w:left="214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Clifton</w:t>
            </w:r>
          </w:p>
        </w:tc>
      </w:tr>
      <w:tr>
        <w:trPr>
          <w:trHeight w:val="195"/>
        </w:trPr>
        <w:tc>
          <w:tcPr>
            <w:tcW w:w="3460" w:type="dxa"/>
            <w:vAlign w:val="bottom"/>
          </w:tcPr>
          <w:p>
            <w:pPr>
              <w:spacing w:after="0"/>
              <w:rPr>
                <w:sz w:val="16"/>
                <w:szCs w:val="16"/>
                <w:color w:val="auto"/>
              </w:rPr>
            </w:pPr>
          </w:p>
        </w:tc>
        <w:tc>
          <w:tcPr>
            <w:tcW w:w="282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Michael S. Clifton</w:t>
            </w:r>
          </w:p>
        </w:tc>
      </w:tr>
      <w:tr>
        <w:trPr>
          <w:trHeight w:val="230"/>
        </w:trPr>
        <w:tc>
          <w:tcPr>
            <w:tcW w:w="3460" w:type="dxa"/>
            <w:vAlign w:val="bottom"/>
          </w:tcPr>
          <w:p>
            <w:pPr>
              <w:spacing w:after="0"/>
              <w:rPr>
                <w:sz w:val="20"/>
                <w:szCs w:val="20"/>
                <w:color w:val="auto"/>
              </w:rPr>
            </w:pPr>
          </w:p>
        </w:tc>
        <w:tc>
          <w:tcPr>
            <w:tcW w:w="2820" w:type="dxa"/>
            <w:vAlign w:val="bottom"/>
          </w:tcPr>
          <w:p>
            <w:pPr>
              <w:ind w:left="214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lvl w:ilvl="1">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lowerRoman"/>
      <w:start w:val="1"/>
    </w:lvl>
  </w:abstractNum>
  <w:abstractNum w:abstractNumId="5">
    <w:nsid w:val="54E49EB4"/>
    <w:multiLevelType w:val="hybridMultilevel"/>
    <w:lvl w:ilvl="0">
      <w:lvlJc w:val="left"/>
      <w:lvlText w:val="(%1)"/>
      <w:numFmt w:val="lowerRoman"/>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1)"/>
      <w:numFmt w:val="lowerRoman"/>
      <w:start w:val="2"/>
    </w:lvl>
  </w:abstractNum>
  <w:abstractNum w:abstractNumId="15">
    <w:nsid w:val="6CEAF087"/>
    <w:multiLevelType w:val="hybridMultilevel"/>
    <w:lvl w:ilvl="0">
      <w:lvlJc w:val="left"/>
      <w:lvlText w:val="(%1)"/>
      <w:numFmt w:val="decimal"/>
      <w:start w:val="16"/>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upperLetter"/>
      <w:start w:val="61"/>
    </w:lvl>
  </w:abstractNum>
  <w:abstractNum w:abstractNumId="18">
    <w:nsid w:val="3006C83E"/>
    <w:multiLevelType w:val="hybridMultilevel"/>
    <w:lvl w:ilvl="0">
      <w:lvlJc w:val="left"/>
      <w:lvlText w:val="%1."/>
      <w:numFmt w:val="upperLetter"/>
      <w:start w:val="6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decimal"/>
      <w:start w:val="3"/>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1)"/>
      <w:numFmt w:val="decimal"/>
      <w:start w:val="3"/>
    </w:lvl>
  </w:abstractNum>
  <w:abstractNum w:abstractNumId="29">
    <w:nsid w:val="5E884ADC"/>
    <w:multiLevelType w:val="hybridMultilevel"/>
    <w:lvl w:ilvl="0">
      <w:lvlJc w:val="left"/>
      <w:lvlText w:val="%1)"/>
      <w:numFmt w:val="decimal"/>
      <w:start w:val="5"/>
    </w:lvl>
  </w:abstractNum>
  <w:abstractNum w:abstractNumId="30">
    <w:nsid w:val="51EAD36B"/>
    <w:multiLevelType w:val="hybridMultilevel"/>
    <w:lvl w:ilvl="0">
      <w:lvlJc w:val="left"/>
      <w:lvlText w:val="(%1)"/>
      <w:numFmt w:val="lowerRoman"/>
      <w:start w:val="5"/>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lvl w:ilvl="1">
      <w:lvlJc w:val="left"/>
      <w:lvlText w:val="%2"/>
      <w:numFmt w:val="decimal"/>
      <w:start w:val="104"/>
    </w:lvl>
  </w:abstractNum>
  <w:abstractNum w:abstractNumId="36">
    <w:nsid w:val="6A2342EC"/>
    <w:multiLevelType w:val="hybridMultilevel"/>
    <w:lvl w:ilvl="0">
      <w:lvlJc w:val="left"/>
      <w:lvlText w:val="**"/>
      <w:numFmt w:val="bullet"/>
      <w:start w:val="1"/>
    </w:lvl>
    <w:lvl w:ilvl="1">
      <w:lvlJc w:val="left"/>
      <w:lvlText w:val="%2"/>
      <w:numFmt w:val="decimal"/>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2"/>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lvl w:ilvl="1">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85" Type="http://schemas.openxmlformats.org/officeDocument/2006/relationships/hyperlink" Target="http://www.sec.gov/Archives/edgar/data/1838359/000119312521069319/d107027dex11.htm" TargetMode="External"/><Relationship Id="rId86" Type="http://schemas.openxmlformats.org/officeDocument/2006/relationships/hyperlink" Target="http://www.sec.gov/Archives/edgar/data/1838359/000119312521292696/d228756dex21.htm" TargetMode="External"/><Relationship Id="rId87" Type="http://schemas.openxmlformats.org/officeDocument/2006/relationships/hyperlink" Target="http://www.sec.gov/Archives/edgar/data/1838359/000119312521366325/d260312dex21.htm" TargetMode="External"/><Relationship Id="rId88" Type="http://schemas.openxmlformats.org/officeDocument/2006/relationships/hyperlink" Target="http://www.sec.gov/Archives/edgar/data/1838359/000119312522005796/d254318dex21.htm" TargetMode="External"/><Relationship Id="rId89" Type="http://schemas.openxmlformats.org/officeDocument/2006/relationships/hyperlink" Target="http://www.sec.gov/Archives/edgar/data/1838359/000119312521069319/d107027dex31.htm" TargetMode="External"/><Relationship Id="rId90" Type="http://schemas.openxmlformats.org/officeDocument/2006/relationships/hyperlink" Target="http://www.sec.gov/Archives/edgar/data/1838359/000119312521051065/d272787dex41.htm" TargetMode="External"/><Relationship Id="rId91" Type="http://schemas.openxmlformats.org/officeDocument/2006/relationships/hyperlink" Target="http://www.sec.gov/Archives/edgar/data/1838359/000119312521051065/d272787dex42.htm" TargetMode="External"/><Relationship Id="rId92" Type="http://schemas.openxmlformats.org/officeDocument/2006/relationships/hyperlink" Target="http://www.sec.gov/Archives/edgar/data/1838359/000119312521051065/d272787dex43.htm" TargetMode="External"/><Relationship Id="rId93" Type="http://schemas.openxmlformats.org/officeDocument/2006/relationships/hyperlink" Target="http://www.sec.gov/Archives/edgar/data/1838359/000119312521051065/d272787dex44.htm" TargetMode="External"/><Relationship Id="rId94" Type="http://schemas.openxmlformats.org/officeDocument/2006/relationships/hyperlink" Target="http://www.sec.gov/Archives/edgar/data/1838359/000119312521051065/d272787dex101.htm" TargetMode="External"/><Relationship Id="rId95" Type="http://schemas.openxmlformats.org/officeDocument/2006/relationships/hyperlink" Target="http://www.sec.gov/Archives/edgar/data/1838359/000119312521069319/d107027dex102.htm" TargetMode="External"/><Relationship Id="rId96" Type="http://schemas.openxmlformats.org/officeDocument/2006/relationships/hyperlink" Target="http://www.sec.gov/Archives/edgar/data/1838359/000119312521069319/d107027dex104.htm" TargetMode="External"/><Relationship Id="rId97" Type="http://schemas.openxmlformats.org/officeDocument/2006/relationships/hyperlink" Target="http://www.sec.gov/Archives/edgar/data/1838359/000119312521069319/d107027dex103.htm" TargetMode="External"/><Relationship Id="rId98" Type="http://schemas.openxmlformats.org/officeDocument/2006/relationships/hyperlink" Target="http://www.sec.gov/Archives/edgar/data/1838359/000119312521292696/d228756dex102.htm" TargetMode="External"/><Relationship Id="rId99" Type="http://schemas.openxmlformats.org/officeDocument/2006/relationships/hyperlink" Target="http://www.sec.gov/Archives/edgar/data/1838359/000119312521292696/d228756dex103.htm" TargetMode="External"/><Relationship Id="rId100" Type="http://schemas.openxmlformats.org/officeDocument/2006/relationships/hyperlink" Target="http://www.sec.gov/Archives/edgar/data/1838359/000119312521292696/d228756dex104.htm" TargetMode="External"/><Relationship Id="rId101" Type="http://schemas.openxmlformats.org/officeDocument/2006/relationships/hyperlink" Target="http://www.sec.gov/Archives/edgar/data/1838359/000119312521036476/d272787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2022-02-23T16:34:16Z</dcterms:created>
  <dcterms:modified xsi:type="dcterms:W3CDTF">2022-02-23T16:34:16Z</dcterms:modified>
</cp:coreProperties>
</file>