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Bestwick Andrew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RIGETTI COMPUTING,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775 HEINZ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BERKELEY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94710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Rigetti Computing, Inc.</w:t>
              </w:r>
            </w:hyperlink>
            <w:r>
              <w:rPr/>
              <w:t xml:space="preserve"> [ </w:t>
            </w:r>
            <w:r>
              <w:rPr>
                <w:rFonts w:ascii="Times;serif" w:hAnsi="Times;serif"/>
                <w:color w:val="0000FF"/>
                <w:sz w:val="24"/>
                <w:shd w:fill="FFFFFF" w:val="clear"/>
              </w:rPr>
              <w:t>RGTI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1049"/>
        <w:gridCol w:w="420"/>
        <w:gridCol w:w="984"/>
        <w:gridCol w:w="1242"/>
        <w:gridCol w:w="960"/>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750,000</w:t>
            </w:r>
            <w:r>
              <w:rPr>
                <w:rFonts w:ascii="Times;serif" w:hAnsi="Times;serif"/>
                <w:color w:val="008000"/>
                <w:position w:val="7"/>
                <w:sz w:val="16"/>
                <w:sz w:val="20"/>
                <w:shd w:fill="FFFFFF" w:val="clear"/>
              </w:rPr>
              <w:t>(1)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1,041,912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5,791</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16.8053</w:t>
            </w:r>
            <w:r>
              <w:rPr>
                <w:rFonts w:ascii="Times;serif" w:hAnsi="Times;serif"/>
                <w:color w:val="008000"/>
                <w:position w:val="7"/>
                <w:sz w:val="16"/>
                <w:sz w:val="20"/>
                <w:shd w:fill="FFFFFF" w:val="clear"/>
              </w:rPr>
              <w:t>(3)</w:t>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1,036,121</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RSUs. Each RSU represents a contingent right to receive one share of the Issuer's common stock upon settlement. One-sixteenth (1/16th) of the total number of RSUs (rounded down, except for the final scheduled vesting installment) will vest on the 20th day of the middle month of each quarter (i.e., February 20, May 20, August 20 and November 20) commencing on November 20, 2026, subject to the Reporting Person's continuous service with the Issuer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row represent nondiscretionary sales of shares required to be sold by the Reporting Person pursuant to sell to cover transactions to satisfy tax withholding obligations in connection with the settlement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$16.63 to $16.965,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Bertelsen,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9948" TargetMode="External"/><Relationship Id="rId5" Type="http://schemas.openxmlformats.org/officeDocument/2006/relationships/hyperlink" Target="http://www.sec.gov/cgi-bin/browse-edgar?action=getcompany&amp;CIK=00018383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769</Words>
  <Characters>4163</Characters>
  <CharactersWithSpaces>4854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