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7048500" cy="4776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776470"/>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Kulkarni Subodh K</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RIGETTI COMPUTING,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775 HEINZ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Rigetti Computing,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RGTI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05/20/2025</w:t>
      </w:r>
    </w:p>
    <w:p>
      <w:pPr>
        <w:spacing w:after="0" w:line="20" w:lineRule="exact"/>
        <w:rPr>
          <w:sz w:val="24"/>
          <w:szCs w:val="24"/>
          <w:color w:val="auto"/>
        </w:rPr>
      </w:pPr>
      <w:r>
        <w:rPr>
          <w:sz w:val="24"/>
          <w:szCs w:val="24"/>
          <w:color w:val="auto"/>
        </w:rPr>
        <w:br w:type="column"/>
      </w:r>
    </w:p>
    <w:p>
      <w:pPr>
        <w:ind w:right="720"/>
        <w:spacing w:after="0" w:line="286"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524" w:lineRule="exact"/>
        <w:rPr>
          <w:sz w:val="24"/>
          <w:szCs w:val="24"/>
          <w:color w:val="auto"/>
        </w:rPr>
      </w:pPr>
    </w:p>
    <w:p>
      <w:pPr>
        <w:sectPr>
          <w:pgSz w:w="11900" w:h="16838" w:orient="portrait"/>
          <w:cols w:equalWidth="0" w:num="3">
            <w:col w:w="3180" w:space="720"/>
            <w:col w:w="3100" w:space="720"/>
            <w:col w:w="3360"/>
          </w:cols>
          <w:pgMar w:left="460" w:top="214" w:right="359" w:bottom="1440" w:gutter="0" w:footer="0" w:header="0"/>
          <w:type w:val="continuous"/>
        </w:sectPr>
      </w:pP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5"/>
          </w:tcPr>
          <w:p>
            <w:pPr>
              <w:jc w:val="center"/>
              <w:ind w:right="38"/>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0"/>
          </w:tcPr>
          <w:p>
            <w:pPr>
              <w:ind w:left="4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BERKELEY</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94710</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7"/>
          </w:tcPr>
          <w:p>
            <w:pPr>
              <w:ind w:left="100"/>
              <w:spacing w:after="0" w:line="132"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32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2"/>
          </w:tcPr>
          <w:p>
            <w:pPr>
              <w:jc w:val="center"/>
              <w:ind w:left="69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(D) (Instr. 3, 4 and 5)</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40" w:type="dxa"/>
            <w:vAlign w:val="bottom"/>
            <w:gridSpan w:val="3"/>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0000FF"/>
              </w:rPr>
              <w:t>05/20/2025</w:t>
            </w:r>
          </w:p>
        </w:tc>
        <w:tc>
          <w:tcPr>
            <w:tcW w:w="98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Pr>
          <w:p>
            <w:pPr>
              <w:ind w:left="100"/>
              <w:spacing w:after="0"/>
              <w:rPr>
                <w:sz w:val="20"/>
                <w:szCs w:val="20"/>
                <w:color w:val="auto"/>
              </w:rPr>
            </w:pPr>
            <w:r>
              <w:rPr>
                <w:rFonts w:ascii="Times New Roman" w:cs="Times New Roman" w:eastAsia="Times New Roman" w:hAnsi="Times New Roman"/>
                <w:sz w:val="16"/>
                <w:szCs w:val="16"/>
                <w:color w:val="0000FF"/>
                <w:w w:val="99"/>
              </w:rPr>
              <w:t>1,000,000</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0.9638</w:t>
            </w:r>
          </w:p>
        </w:tc>
        <w:tc>
          <w:tcPr>
            <w:tcW w:w="60" w:type="dxa"/>
            <w:vAlign w:val="bottom"/>
          </w:tcPr>
          <w:p>
            <w:pPr>
              <w:spacing w:after="0"/>
              <w:rPr>
                <w:sz w:val="21"/>
                <w:szCs w:val="21"/>
                <w:color w:val="auto"/>
              </w:rPr>
            </w:pPr>
          </w:p>
        </w:tc>
        <w:tc>
          <w:tcPr>
            <w:tcW w:w="1240" w:type="dxa"/>
            <w:vAlign w:val="bottom"/>
            <w:gridSpan w:val="3"/>
          </w:tcPr>
          <w:p>
            <w:pPr>
              <w:jc w:val="right"/>
              <w:ind w:right="243"/>
              <w:spacing w:after="0"/>
              <w:rPr>
                <w:sz w:val="20"/>
                <w:szCs w:val="20"/>
                <w:color w:val="auto"/>
              </w:rPr>
            </w:pPr>
            <w:r>
              <w:rPr>
                <w:rFonts w:ascii="Times New Roman" w:cs="Times New Roman" w:eastAsia="Times New Roman" w:hAnsi="Times New Roman"/>
                <w:sz w:val="16"/>
                <w:szCs w:val="16"/>
                <w:color w:val="0000FF"/>
              </w:rPr>
              <w:t>1,000,000</w:t>
            </w:r>
          </w:p>
        </w:tc>
        <w:tc>
          <w:tcPr>
            <w:tcW w:w="28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6"/>
                <w:szCs w:val="16"/>
                <w:color w:val="0000FF"/>
              </w:rPr>
              <w:t>05/20/2025</w:t>
            </w:r>
          </w:p>
        </w:tc>
        <w:tc>
          <w:tcPr>
            <w:tcW w:w="9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w w:val="99"/>
              </w:rPr>
              <w:t>1,000,000</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ind w:left="40"/>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12.0044</w:t>
            </w:r>
            <w:r>
              <w:rPr>
                <w:rFonts w:ascii="Times New Roman" w:cs="Times New Roman" w:eastAsia="Times New Roman" w:hAnsi="Times New Roman"/>
                <w:sz w:val="20"/>
                <w:szCs w:val="20"/>
                <w:color w:val="008000"/>
                <w:w w:val="96"/>
                <w:vertAlign w:val="superscript"/>
              </w:rPr>
              <w:t>(1)</w:t>
            </w:r>
          </w:p>
        </w:tc>
        <w:tc>
          <w:tcPr>
            <w:tcW w:w="6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1"/>
          </w:tcPr>
          <w:p>
            <w:pPr>
              <w:jc w:val="right"/>
              <w:ind w:right="26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9"/>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4"/>
                <w:szCs w:val="14"/>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   Derivative</w:t>
            </w:r>
          </w:p>
        </w:tc>
        <w:tc>
          <w:tcPr>
            <w:tcW w:w="15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9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9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(2)</w:t>
            </w:r>
          </w:p>
        </w:tc>
        <w:tc>
          <w:tcPr>
            <w:tcW w:w="76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1,000,000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ind w:left="1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0.9638</w:t>
            </w:r>
          </w:p>
        </w:tc>
        <w:tc>
          <w:tcPr>
            <w:tcW w:w="120" w:type="dxa"/>
            <w:vAlign w:val="bottom"/>
          </w:tcPr>
          <w:p>
            <w:pPr>
              <w:spacing w:after="0"/>
              <w:rPr>
                <w:sz w:val="10"/>
                <w:szCs w:val="10"/>
                <w:color w:val="auto"/>
              </w:rPr>
            </w:pPr>
          </w:p>
        </w:tc>
        <w:tc>
          <w:tcPr>
            <w:tcW w:w="1040" w:type="dxa"/>
            <w:vAlign w:val="bottom"/>
          </w:tcPr>
          <w:p>
            <w:pPr>
              <w:jc w:val="right"/>
              <w:ind w:right="178"/>
              <w:spacing w:after="0" w:line="125" w:lineRule="exact"/>
              <w:rPr>
                <w:sz w:val="20"/>
                <w:szCs w:val="20"/>
                <w:color w:val="auto"/>
              </w:rPr>
            </w:pPr>
            <w:r>
              <w:rPr>
                <w:rFonts w:ascii="Times New Roman" w:cs="Times New Roman" w:eastAsia="Times New Roman" w:hAnsi="Times New Roman"/>
                <w:sz w:val="12"/>
                <w:szCs w:val="12"/>
                <w:color w:val="0000FF"/>
              </w:rPr>
              <w:t>05/20/2025</w:t>
            </w:r>
          </w:p>
        </w:tc>
        <w:tc>
          <w:tcPr>
            <w:tcW w:w="1060" w:type="dxa"/>
            <w:vAlign w:val="bottom"/>
          </w:tcPr>
          <w:p>
            <w:pPr>
              <w:spacing w:after="0"/>
              <w:rPr>
                <w:sz w:val="10"/>
                <w:szCs w:val="10"/>
                <w:color w:val="auto"/>
              </w:rPr>
            </w:pPr>
          </w:p>
        </w:tc>
        <w:tc>
          <w:tcPr>
            <w:tcW w:w="680" w:type="dxa"/>
            <w:vAlign w:val="bottom"/>
            <w:gridSpan w:val="2"/>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980" w:type="dxa"/>
            <w:vAlign w:val="bottom"/>
          </w:tcPr>
          <w:p>
            <w:pPr>
              <w:ind w:left="460"/>
              <w:spacing w:after="0" w:line="125" w:lineRule="exact"/>
              <w:rPr>
                <w:sz w:val="20"/>
                <w:szCs w:val="20"/>
                <w:color w:val="auto"/>
              </w:rPr>
            </w:pPr>
            <w:r>
              <w:rPr>
                <w:rFonts w:ascii="Times New Roman" w:cs="Times New Roman" w:eastAsia="Times New Roman" w:hAnsi="Times New Roman"/>
                <w:sz w:val="12"/>
                <w:szCs w:val="12"/>
                <w:color w:val="0000FF"/>
              </w:rPr>
              <w:t>1,000,000</w:t>
            </w:r>
          </w:p>
        </w:tc>
        <w:tc>
          <w:tcPr>
            <w:tcW w:w="780" w:type="dxa"/>
            <w:vAlign w:val="bottom"/>
            <w:vMerge w:val="continue"/>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color w:val="0000FF"/>
              </w:rPr>
              <w:t>12/11/2032</w:t>
            </w:r>
          </w:p>
        </w:tc>
        <w:tc>
          <w:tcPr>
            <w:tcW w:w="5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62"/>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line="125" w:lineRule="exact"/>
              <w:rPr>
                <w:sz w:val="20"/>
                <w:szCs w:val="20"/>
                <w:color w:val="auto"/>
              </w:rPr>
            </w:pPr>
            <w:r>
              <w:rPr>
                <w:rFonts w:ascii="Times New Roman" w:cs="Times New Roman" w:eastAsia="Times New Roman" w:hAnsi="Times New Roman"/>
                <w:sz w:val="12"/>
                <w:szCs w:val="12"/>
                <w:color w:val="0000FF"/>
              </w:rPr>
              <w:t>250,000</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jc w:val="both"/>
        <w:ind w:left="40" w:right="340" w:hanging="3"/>
        <w:spacing w:after="0" w:line="267"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$11.85 to $12.265,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55" w:lineRule="exact"/>
        <w:rPr>
          <w:rFonts w:ascii="Times New Roman" w:cs="Times New Roman" w:eastAsia="Times New Roman" w:hAnsi="Times New Roman"/>
          <w:sz w:val="12"/>
          <w:szCs w:val="12"/>
          <w:color w:val="008000"/>
        </w:rPr>
      </w:pPr>
    </w:p>
    <w:p>
      <w:pPr>
        <w:ind w:left="40" w:right="64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One-third (1/3rd) of this option vested and became exercisable on December 12, 2023, with the remainder vesting in twenty-four (24) equal monthly installments thereafter, subject to the Reporting Person's continuous service with the Issuer on each such vesting date.</w:t>
      </w: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24 - Power of Attorney</w:t>
      </w:r>
    </w:p>
    <w:p>
      <w:pPr>
        <w:spacing w:after="0" w:line="6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Jeffrey Bertelsen, Attorney-</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05/21/2025</w:t>
            </w:r>
          </w:p>
        </w:tc>
        <w:tc>
          <w:tcPr>
            <w:tcW w:w="0" w:type="dxa"/>
            <w:vAlign w:val="bottom"/>
          </w:tcPr>
          <w:p>
            <w:pPr>
              <w:spacing w:after="0"/>
              <w:rPr>
                <w:sz w:val="1"/>
                <w:szCs w:val="1"/>
                <w:color w:val="auto"/>
              </w:rPr>
            </w:pPr>
          </w:p>
        </w:tc>
      </w:tr>
      <w:tr>
        <w:trPr>
          <w:trHeight w:val="80"/>
        </w:trPr>
        <w:tc>
          <w:tcPr>
            <w:tcW w:w="46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6"/>
              </w:rPr>
              <w:t>in-Fact</w:t>
            </w:r>
          </w:p>
        </w:tc>
        <w:tc>
          <w:tcPr>
            <w:tcW w:w="1540" w:type="dxa"/>
            <w:vAlign w:val="bottom"/>
            <w:tcBorders>
              <w:top w:val="single" w:sz="8" w:color="auto"/>
            </w:tcBorders>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60" w:type="dxa"/>
            <w:vAlign w:val="bottom"/>
            <w:tcBorders>
              <w:top w:val="single" w:sz="8" w:color="auto"/>
              <w:bottom w:val="single" w:sz="8" w:color="auto"/>
            </w:tcBorders>
            <w:vMerge w:val="continue"/>
          </w:tcPr>
          <w:p>
            <w:pPr>
              <w:spacing w:after="0"/>
              <w:rPr>
                <w:sz w:val="6"/>
                <w:szCs w:val="6"/>
                <w:color w:val="auto"/>
              </w:rPr>
            </w:pPr>
          </w:p>
        </w:tc>
        <w:tc>
          <w:tcPr>
            <w:tcW w:w="1540" w:type="dxa"/>
            <w:vAlign w:val="bottom"/>
            <w:tcBorders>
              <w:top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20" w:lineRule="exact"/>
        <w:rPr>
          <w:sz w:val="20"/>
          <w:szCs w:val="20"/>
          <w:color w:val="auto"/>
        </w:rPr>
      </w:pPr>
    </w:p>
    <w:p>
      <w:pPr>
        <w:jc w:val="both"/>
        <w:ind w:firstLine="763"/>
        <w:spacing w:after="0" w:line="25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Subodh Kulkarni, Jeffrey Bertelsen, Luke Kuipers and Janelle Del Rosso of Rigetti Computing,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76" w:lineRule="exact"/>
        <w:rPr>
          <w:sz w:val="20"/>
          <w:szCs w:val="20"/>
          <w:color w:val="auto"/>
        </w:rPr>
      </w:pPr>
    </w:p>
    <w:p>
      <w:pPr>
        <w:jc w:val="both"/>
        <w:ind w:left="1060" w:hanging="297"/>
        <w:spacing w:after="0" w:line="245"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187" w:lineRule="exact"/>
        <w:rPr>
          <w:rFonts w:ascii="Times New Roman" w:cs="Times New Roman" w:eastAsia="Times New Roman" w:hAnsi="Times New Roman"/>
          <w:sz w:val="20"/>
          <w:szCs w:val="20"/>
          <w:color w:val="auto"/>
        </w:rPr>
      </w:pPr>
    </w:p>
    <w:p>
      <w:pPr>
        <w:jc w:val="both"/>
        <w:ind w:left="1060" w:hanging="297"/>
        <w:spacing w:after="0" w:line="256"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Forms 3, 4 or 5 (including amendments thereto and joint filing agreements in connection therewith) and file such forms with the SEC and any stock exchange, self-regulatory association or any similar authority; and</w:t>
      </w:r>
    </w:p>
    <w:p>
      <w:pPr>
        <w:spacing w:after="0" w:line="188" w:lineRule="exact"/>
        <w:rPr>
          <w:rFonts w:ascii="Times New Roman" w:cs="Times New Roman" w:eastAsia="Times New Roman" w:hAnsi="Times New Roman"/>
          <w:sz w:val="20"/>
          <w:szCs w:val="20"/>
          <w:color w:val="auto"/>
        </w:rPr>
      </w:pPr>
    </w:p>
    <w:p>
      <w:pPr>
        <w:jc w:val="both"/>
        <w:ind w:left="1060" w:hanging="297"/>
        <w:spacing w:after="0" w:line="245" w:lineRule="auto"/>
        <w:tabs>
          <w:tab w:leader="none" w:pos="10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98" w:lineRule="exact"/>
        <w:rPr>
          <w:sz w:val="20"/>
          <w:szCs w:val="20"/>
          <w:color w:val="auto"/>
        </w:rPr>
      </w:pPr>
    </w:p>
    <w:p>
      <w:pPr>
        <w:jc w:val="both"/>
        <w:ind w:firstLine="600"/>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87" w:lineRule="exact"/>
        <w:rPr>
          <w:sz w:val="20"/>
          <w:szCs w:val="20"/>
          <w:color w:val="auto"/>
        </w:rPr>
      </w:pPr>
    </w:p>
    <w:p>
      <w:pPr>
        <w:jc w:val="both"/>
        <w:ind w:firstLine="763"/>
        <w:spacing w:after="0" w:line="249"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-10160</wp:posOffset>
            </wp:positionV>
            <wp:extent cx="317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750" cy="7620"/>
                    </a:xfrm>
                    <a:prstGeom prst="rect">
                      <a:avLst/>
                    </a:prstGeom>
                    <a:noFill/>
                  </pic:spPr>
                </pic:pic>
              </a:graphicData>
            </a:graphic>
          </wp:anchor>
        </w:drawing>
      </w:r>
    </w:p>
    <w:p>
      <w:pPr>
        <w:spacing w:after="0" w:line="12"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20"/>
          <w:szCs w:val="20"/>
          <w:color w:val="auto"/>
        </w:rPr>
        <w:t>/s/ Subodh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-10160</wp:posOffset>
            </wp:positionV>
            <wp:extent cx="13398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9850" cy="7620"/>
                    </a:xfrm>
                    <a:prstGeom prst="rect">
                      <a:avLst/>
                    </a:prstGeom>
                    <a:noFill/>
                  </pic:spPr>
                </pic:pic>
              </a:graphicData>
            </a:graphic>
          </wp:anchor>
        </w:drawing>
      </w:r>
    </w:p>
    <w:p>
      <w:pPr>
        <w:spacing w:after="0" w:line="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20"/>
          <w:szCs w:val="20"/>
          <w:color w:val="auto"/>
        </w:rPr>
        <w:t>Name: Subodh Kulkarni</w:t>
      </w: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8191" TargetMode="External"/><Relationship Id="rId14" Type="http://schemas.openxmlformats.org/officeDocument/2006/relationships/hyperlink" Target="http://www.sec.gov/cgi-bin/browse-edgar?action=getcompany&amp;CIK=0001838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2025-05-21T15:33:15Z</dcterms:created>
  <dcterms:modified xsi:type="dcterms:W3CDTF">2025-05-21T15:33:15Z</dcterms:modified>
</cp:coreProperties>
</file>