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rgti-20251231x10k.htm"/>
        <w:bookmarkStart w:id="1" w:name="ksrgti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b174cb2f_3805_46ac_9a5f_df670ac463b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(Mark One)</w:t>
      </w:r>
    </w:p>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40"/>
              <w:jc w:val="left"/>
              <w:rPr/>
            </w:pPr>
            <w:r>
              <w:rPr/>
              <w:t>☒</w:t>
            </w:r>
          </w:p>
        </w:tc>
        <w:tc>
          <w:tcPr>
            <w:tcW w:w="8341" w:type="dxa"/>
            <w:tcBorders/>
            <w:vAlign w:val="center"/>
          </w:tcPr>
          <w:p>
            <w:pPr>
              <w:pStyle w:val="TableContents"/>
              <w:bidi w:val="0"/>
              <w:spacing w:before="0" w:after="4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For the fiscal year ended December 31, 2025</w:t>
      </w:r>
    </w:p>
    <w:p>
      <w:pPr>
        <w:pStyle w:val="TextBody"/>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40"/>
              <w:jc w:val="left"/>
              <w:rPr/>
            </w:pPr>
            <w:r>
              <w:rPr/>
              <w:t>☐</w:t>
            </w:r>
          </w:p>
        </w:tc>
        <w:tc>
          <w:tcPr>
            <w:tcW w:w="9874" w:type="dxa"/>
            <w:tcBorders/>
            <w:vAlign w:val="center"/>
          </w:tcPr>
          <w:p>
            <w:pPr>
              <w:pStyle w:val="TableContents"/>
              <w:bidi w:val="0"/>
              <w:spacing w:before="0" w:after="4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 FOR THE TRANSITION PERIOD FROM              TO</w:t>
            </w:r>
          </w:p>
        </w:tc>
      </w:tr>
    </w:tbl>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Commission File Number 001-40140</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RIGETTI COMPUTING, INC.</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(Exact name of Registrant as specified in its Charter)</w:t>
      </w:r>
    </w:p>
    <w:p>
      <w:pPr>
        <w:pStyle w:val="Normal"/>
        <w:bidi w:val="0"/>
        <w:spacing w:before="0" w:after="0"/>
        <w:jc w:val="left"/>
        <w:rPr>
          <w:sz w:val="4"/>
          <w:szCs w:val="4"/>
        </w:rPr>
      </w:pPr>
      <w:r>
        <w:rPr>
          <w:sz w:val="4"/>
          <w:szCs w:val="4"/>
        </w:rPr>
      </w:r>
      <w:bookmarkStart w:id="3" w:name="Tc_Pn5IE9rWYkOkij_OuMH0TA_4_1"/>
      <w:bookmarkStart w:id="4" w:name="Tc_o7DGjMud7EChRUC-tvFXNw_4_0"/>
      <w:bookmarkStart w:id="5" w:name="Tc_84MGZKeIE0WcXaYFVaSjwA_3_0"/>
      <w:bookmarkStart w:id="6" w:name="Tc_a0YCY3xNSUqBZe6ufwqCaQ_1_1"/>
      <w:bookmarkStart w:id="7" w:name="Tc_lqGw5Z172kiAWufwrUH7rw_1_0"/>
      <w:bookmarkStart w:id="8" w:name="_1d318248_3c44_41ee_89d6_0bcf6703d14b"/>
      <w:bookmarkStart w:id="9" w:name="Tc_Pn5IE9rWYkOkij_OuMH0TA_4_1"/>
      <w:bookmarkStart w:id="10" w:name="Tc_o7DGjMud7EChRUC-tvFXNw_4_0"/>
      <w:bookmarkStart w:id="11" w:name="Tc_84MGZKeIE0WcXaYFVaSjwA_3_0"/>
      <w:bookmarkStart w:id="12" w:name="Tc_a0YCY3xNSUqBZe6ufwqCaQ_1_1"/>
      <w:bookmarkStart w:id="13" w:name="Tc_lqGw5Z172kiAWufwrUH7rw_1_0"/>
      <w:bookmarkStart w:id="14" w:name="_1d318248_3c44_41ee_89d6_0bcf6703d14b"/>
      <w:bookmarkEnd w:id="9"/>
      <w:bookmarkEnd w:id="10"/>
      <w:bookmarkEnd w:id="11"/>
      <w:bookmarkEnd w:id="12"/>
      <w:bookmarkEnd w:id="13"/>
      <w:bookmarkEnd w:id="14"/>
    </w:p>
    <w:tbl>
      <w:tblPr>
        <w:tblW w:w="3242" w:type="dxa"/>
        <w:jc w:val="left"/>
        <w:tblInd w:w="0" w:type="dxa"/>
        <w:tblLayout w:type="fixed"/>
        <w:tblCellMar>
          <w:top w:w="0" w:type="dxa"/>
          <w:left w:w="0" w:type="dxa"/>
          <w:bottom w:w="0" w:type="dxa"/>
          <w:right w:w="0" w:type="dxa"/>
        </w:tblCellMar>
      </w:tblPr>
      <w:tblGrid>
        <w:gridCol w:w="2146"/>
        <w:gridCol w:w="1096"/>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Delaware</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88-0950636</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incorporation or organization)</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Identification No.)</w:t>
            </w:r>
          </w:p>
        </w:tc>
      </w:tr>
      <w:tr>
        <w:trPr/>
        <w:tc>
          <w:tcPr>
            <w:tcW w:w="2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left"/>
              <w:rPr/>
            </w:pPr>
            <w:r>
              <w:rPr/>
              <w:t>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775 Heinz Avenue</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Berkeley, CA</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94710</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 (510) 210-5550</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 w:name="Tc_IxPxLQ3NqU6gnMznwRDgGg_2_4"/>
      <w:bookmarkStart w:id="16" w:name="Tc_nftzKxKXoEa2lLxqOvDzwg_1_4"/>
      <w:bookmarkStart w:id="17" w:name="Tc_91K34FTAlE-xZqX0N__--g_0_4"/>
      <w:bookmarkStart w:id="18" w:name="Tc_uB-Z5N-0WUacVNeakfz65Q_0_2"/>
      <w:bookmarkStart w:id="19" w:name="Tc_M0hzCN2xK0ua3jLOnt7s6A_0_0"/>
      <w:bookmarkStart w:id="20" w:name="_4c24f8eb_0b61_4dac_8cac_cb3fee081e1e"/>
      <w:bookmarkStart w:id="21" w:name="Tc_IxPxLQ3NqU6gnMznwRDgGg_2_4"/>
      <w:bookmarkStart w:id="22" w:name="Tc_nftzKxKXoEa2lLxqOvDzwg_1_4"/>
      <w:bookmarkStart w:id="23" w:name="Tc_91K34FTAlE-xZqX0N__--g_0_4"/>
      <w:bookmarkStart w:id="24" w:name="Tc_uB-Z5N-0WUacVNeakfz65Q_0_2"/>
      <w:bookmarkStart w:id="25" w:name="Tc_M0hzCN2xK0ua3jLOnt7s6A_0_0"/>
      <w:bookmarkStart w:id="26" w:name="_4c24f8eb_0b61_4dac_8cac_cb3fee081e1e"/>
      <w:bookmarkEnd w:id="21"/>
      <w:bookmarkEnd w:id="22"/>
      <w:bookmarkEnd w:id="23"/>
      <w:bookmarkEnd w:id="24"/>
      <w:bookmarkEnd w:id="25"/>
      <w:bookmarkEnd w:id="26"/>
    </w:p>
    <w:tbl>
      <w:tblPr>
        <w:tblW w:w="10205" w:type="dxa"/>
        <w:jc w:val="left"/>
        <w:tblInd w:w="0" w:type="dxa"/>
        <w:tblLayout w:type="fixed"/>
        <w:tblCellMar>
          <w:top w:w="0" w:type="dxa"/>
          <w:left w:w="0" w:type="dxa"/>
          <w:bottom w:w="28" w:type="dxa"/>
          <w:right w:w="0" w:type="dxa"/>
        </w:tblCellMar>
      </w:tblPr>
      <w:tblGrid>
        <w:gridCol w:w="6046"/>
        <w:gridCol w:w="346"/>
        <w:gridCol w:w="1050"/>
        <w:gridCol w:w="346"/>
        <w:gridCol w:w="2417"/>
      </w:tblGrid>
      <w:tr>
        <w:trPr/>
        <w:tc>
          <w:tcPr>
            <w:tcW w:w="604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1050"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Symbol(s)</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241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604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 $0.0001 par value per share</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105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RGTI</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2417"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2"/>
              </w:rPr>
              <w:t>The Nasdaq</w:t>
            </w:r>
            <w:r>
              <w:rPr>
                <w:rFonts w:ascii="Times New Roman;Times;serif" w:hAnsi="Times New Roman;Times;serif"/>
                <w:sz w:val="20"/>
              </w:rPr>
              <w:t xml:space="preserve"> </w:t>
            </w:r>
            <w:r>
              <w:rPr>
                <w:rFonts w:ascii="Times New Roman;Times;serif" w:hAnsi="Times New Roman;Times;serif"/>
                <w:b/>
                <w:sz w:val="12"/>
              </w:rPr>
              <w:t>Capital Market</w:t>
            </w:r>
          </w:p>
        </w:tc>
      </w:tr>
      <w:tr>
        <w:trPr/>
        <w:tc>
          <w:tcPr>
            <w:tcW w:w="6046"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Warrants, each whole warrant exercisable for one share of Common Stock at an exercise price of $11.50 per share</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105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RGTW</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241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2"/>
              </w:rPr>
              <w:t>The Nasdaq</w:t>
            </w:r>
            <w:r>
              <w:rPr>
                <w:rFonts w:ascii="Times New Roman;Times;serif" w:hAnsi="Times New Roman;Times;serif"/>
                <w:sz w:val="20"/>
              </w:rPr>
              <w:t xml:space="preserve"> </w:t>
            </w:r>
            <w:r>
              <w:rPr>
                <w:rFonts w:ascii="Times New Roman;Times;serif" w:hAnsi="Times New Roman;Times;serif"/>
                <w:b/>
                <w:sz w:val="12"/>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Securities registered pursuant to Section 12(g) of the Act: None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if the Registrant is a well-known seasoned issuer, as defined in Rule 405 of the Securities Act.   Yes</w:t>
      </w:r>
      <w:r>
        <w:rPr>
          <w:rFonts w:ascii="Times New Roman;Times;serif" w:hAnsi="Times New Roman;Times;serif"/>
          <w:sz w:val="20"/>
        </w:rPr>
        <w:t>  ☒    </w:t>
      </w:r>
      <w:r>
        <w:rPr>
          <w:rFonts w:ascii="Times New Roman;Times;serif" w:hAnsi="Times New Roman;Times;serif"/>
          <w:sz w:val="12"/>
        </w:rPr>
        <w:t xml:space="preserve">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if the Registrant is not required to file reports pursuant to Section 13 or 15(d) of the Act.   Yes  </w:t>
      </w:r>
      <w:r>
        <w:rPr>
          <w:rFonts w:ascii="Times New Roman;Times;serif" w:hAnsi="Times New Roman;Times;serif"/>
          <w:sz w:val="20"/>
        </w:rPr>
        <w:t>☐    </w:t>
      </w:r>
      <w:r>
        <w:rPr>
          <w:rFonts w:ascii="Times New Roman;Times;serif" w:hAnsi="Times New Roman;Times;serif"/>
          <w:sz w:val="12"/>
        </w:rPr>
        <w:t>No</w:t>
      </w:r>
      <w:r>
        <w:rPr>
          <w:rFonts w:ascii="Times New Roman;Times;serif" w:hAnsi="Times New Roman;Times;serif"/>
          <w:sz w:val="20"/>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2"/>
        </w:rPr>
      </w:pPr>
      <w:r>
        <w:rPr>
          <w:rFonts w:ascii="Times New Roman;Times;serif" w:hAnsi="Times New Roman;Times;serif"/>
          <w:sz w:val="12"/>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7" w:name="Tc_iisn5KwGG0iKFuIfy9HDFw_2_4"/>
      <w:bookmarkStart w:id="28" w:name="Tc_ebe3qQEuVUOmWIrcjjGx8Q_2_2"/>
      <w:bookmarkStart w:id="29" w:name="Tc_89vObEPVzEuFyNzqTrqbEw_0_7"/>
      <w:bookmarkStart w:id="30" w:name="Tc_kI8EsmguE0u7JjhbCfV4JA_0_5"/>
      <w:bookmarkStart w:id="31" w:name="Tc_-b1D7Za9_kW6eipJ4gZwfw_0_4"/>
      <w:bookmarkStart w:id="32" w:name="Tc_Ws89wGgXbUG2VVaCdV_WLA_0_2"/>
      <w:bookmarkStart w:id="33" w:name="Tc_zb1ymVPoEkGyO-hbdHIswA_0_1"/>
      <w:bookmarkStart w:id="34" w:name="_9aae5b60_3db8_4af7_a725_0af2f986e912"/>
      <w:bookmarkStart w:id="35" w:name="Tc_iisn5KwGG0iKFuIfy9HDFw_2_4"/>
      <w:bookmarkStart w:id="36" w:name="Tc_ebe3qQEuVUOmWIrcjjGx8Q_2_2"/>
      <w:bookmarkStart w:id="37" w:name="Tc_89vObEPVzEuFyNzqTrqbEw_0_7"/>
      <w:bookmarkStart w:id="38" w:name="Tc_kI8EsmguE0u7JjhbCfV4JA_0_5"/>
      <w:bookmarkStart w:id="39" w:name="Tc_-b1D7Za9_kW6eipJ4gZwfw_0_4"/>
      <w:bookmarkStart w:id="40" w:name="Tc_Ws89wGgXbUG2VVaCdV_WLA_0_2"/>
      <w:bookmarkStart w:id="41" w:name="Tc_zb1ymVPoEkGyO-hbdHIswA_0_1"/>
      <w:bookmarkStart w:id="42" w:name="_9aae5b60_3db8_4af7_a725_0af2f986e912"/>
      <w:bookmarkEnd w:id="35"/>
      <w:bookmarkEnd w:id="36"/>
      <w:bookmarkEnd w:id="37"/>
      <w:bookmarkEnd w:id="38"/>
      <w:bookmarkEnd w:id="39"/>
      <w:bookmarkEnd w:id="40"/>
      <w:bookmarkEnd w:id="41"/>
      <w:bookmarkEnd w:id="42"/>
    </w:p>
    <w:tbl>
      <w:tblPr>
        <w:tblW w:w="5735" w:type="dxa"/>
        <w:jc w:val="left"/>
        <w:tblInd w:w="0" w:type="dxa"/>
        <w:tblLayout w:type="fixed"/>
        <w:tblCellMar>
          <w:top w:w="0" w:type="dxa"/>
          <w:left w:w="0" w:type="dxa"/>
          <w:bottom w:w="0" w:type="dxa"/>
          <w:right w:w="0" w:type="dxa"/>
        </w:tblCellMar>
      </w:tblPr>
      <w:tblGrid>
        <w:gridCol w:w="161"/>
        <w:gridCol w:w="1261"/>
        <w:gridCol w:w="316"/>
        <w:gridCol w:w="146"/>
        <w:gridCol w:w="1441"/>
        <w:gridCol w:w="316"/>
        <w:gridCol w:w="146"/>
        <w:gridCol w:w="1441"/>
        <w:gridCol w:w="316"/>
        <w:gridCol w:w="191"/>
      </w:tblGrid>
      <w:tr>
        <w:trPr/>
        <w:tc>
          <w:tcPr>
            <w:tcW w:w="1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Emerging growth company</w:t>
            </w:r>
          </w:p>
        </w:tc>
        <w:tc>
          <w:tcPr>
            <w:tcW w:w="3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Smaller reporting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2"/>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2"/>
        </w:rPr>
        <w:t xml:space="preserve">If securities are registered pursuant to Section 12(b) of the Act, indicate by check mark whether the financial statements of the registrant included in the filing reflect the correction of error to previously issued financial statements.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2"/>
        </w:rPr>
      </w:pPr>
      <w:r>
        <w:rPr>
          <w:rFonts w:ascii="Times New Roman;Times;serif" w:hAnsi="Times New Roman;Times;serif"/>
          <w:sz w:val="12"/>
        </w:rPr>
        <w:t>Indicate by check mark whether any of those corrections are restatements the required a recovery analysis of incentive-based compensation received by any of the registrant’s executive officers during the recovery period pursuant to §240.10D-1(b).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2"/>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12"/>
        </w:rPr>
      </w:pPr>
      <w:r>
        <w:rPr>
          <w:rFonts w:ascii="Times New Roman;Times;serif" w:hAnsi="Times New Roman;Times;serif"/>
          <w:sz w:val="12"/>
        </w:rPr>
        <w:t>The aggregate market value of the voting and non-voting common equity held by non-affiliates of the Registrant, based on the closing price of $11.86 per share of the Registrant’s common stock on The Nasdaq Capital Market on June 30,2025, the last business day of the registrant’s most recently completed second fiscal quarter, was $3.82 billion. This calculation excludes shares of the Registrant’s common stock held by current executive officers, directors and stockholders that the Registrant has concluded are affiliates of the Registrant. This determination of affiliate status is not a determination for other purposes. The number of shares of Registrant’s Common Stock outstanding as of March 1, 2026 was 332,150,557.</w:t>
      </w:r>
    </w:p>
    <w:p>
      <w:pPr>
        <w:pStyle w:val="TextBody"/>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DOCUMENTS INCORPORATED BY REFERENCE</w:t>
      </w:r>
    </w:p>
    <w:p>
      <w:pPr>
        <w:pStyle w:val="TextBody"/>
        <w:bidi w:val="0"/>
        <w:spacing w:before="0" w:after="240"/>
        <w:ind w:left="0" w:right="0" w:hanging="0"/>
        <w:jc w:val="center"/>
        <w:rPr/>
      </w:pPr>
      <w:r>
        <w:rPr/>
        <w:t>​</w:t>
      </w:r>
    </w:p>
    <w:p>
      <w:pPr>
        <w:pStyle w:val="TextBody"/>
        <w:bidi w:val="0"/>
        <w:spacing w:before="0" w:after="40"/>
        <w:ind w:left="0" w:right="0" w:hanging="0"/>
        <w:jc w:val="both"/>
        <w:rPr>
          <w:rFonts w:ascii="Times New Roman;Times;serif" w:hAnsi="Times New Roman;Times;serif"/>
          <w:sz w:val="12"/>
        </w:rPr>
      </w:pPr>
      <w:r>
        <w:rPr>
          <w:rFonts w:ascii="Times New Roman;Times;serif" w:hAnsi="Times New Roman;Times;serif"/>
          <w:sz w:val="12"/>
        </w:rPr>
        <w:t>Part III of this Annual Report incorporates by reference information from the definitive Proxy Statement for the registrant’s 2026 Annual Meeting of Stockholders, which is expected to be filed with the Securities and Exchange Commission not later than 120 days after the registrant’s fiscal year ended December 31, 2025.</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_9354aab8_ca09_4eb8_bb4f_bc693dadba8c"/>
      <w:bookmarkStart w:id="44" w:name="TOC"/>
      <w:bookmarkEnd w:id="43"/>
      <w:bookmarkEnd w:id="44"/>
      <w:r>
        <w:rPr>
          <w:rFonts w:ascii="Times New Roman;Times;serif" w:hAnsi="Times New Roman;Times;serif"/>
          <w:b/>
          <w:sz w:val="20"/>
        </w:rPr>
        <w:t>TABLE OF CONTENTS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Heading"/>
              <w:bidi w:val="0"/>
              <w:spacing w:before="0" w:after="283"/>
              <w:ind w:left="0" w:right="0" w:hanging="0"/>
              <w:rPr>
                <w:sz w:val="4"/>
                <w:szCs w:val="4"/>
              </w:rPr>
            </w:pPr>
            <w:r>
              <w:rPr>
                <w:sz w:val="4"/>
                <w:szCs w:val="4"/>
              </w:rPr>
            </w:r>
          </w:p>
        </w:tc>
        <w:tc>
          <w:tcPr>
            <w:tcW w:w="8823" w:type="dxa"/>
            <w:tcBorders/>
            <w:vAlign w:val="center"/>
          </w:tcPr>
          <w:p>
            <w:pPr>
              <w:pStyle w:val="TableHeading"/>
              <w:bidi w:val="0"/>
              <w:spacing w:before="0" w:after="283"/>
              <w:ind w:left="0" w:right="0" w:hanging="0"/>
              <w:rPr>
                <w:sz w:val="4"/>
                <w:szCs w:val="4"/>
              </w:rPr>
            </w:pPr>
            <w:r>
              <w:rPr>
                <w:sz w:val="4"/>
                <w:szCs w:val="4"/>
              </w:rPr>
            </w:r>
          </w:p>
        </w:tc>
        <w:tc>
          <w:tcPr>
            <w:tcW w:w="57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1" w:type="dxa"/>
            <w:tcBorders/>
            <w:vAlign w:val="center"/>
          </w:tcPr>
          <w:p>
            <w:pPr>
              <w:pStyle w:val="TableHeading"/>
              <w:bidi w:val="0"/>
              <w:spacing w:before="0" w:after="0"/>
              <w:ind w:left="0" w:right="0" w:hanging="0"/>
              <w:jc w:val="left"/>
              <w:rPr/>
            </w:pPr>
            <w:r>
              <w:rPr/>
              <w:t>​</w:t>
            </w:r>
          </w:p>
        </w:tc>
        <w:tc>
          <w:tcPr>
            <w:tcW w:w="8823" w:type="dxa"/>
            <w:tcBorders/>
            <w:vAlign w:val="center"/>
          </w:tcPr>
          <w:p>
            <w:pPr>
              <w:pStyle w:val="TableHeading"/>
              <w:bidi w:val="0"/>
              <w:spacing w:before="0" w:after="0"/>
              <w:ind w:left="0" w:right="0" w:hanging="0"/>
              <w:jc w:val="left"/>
              <w:rPr/>
            </w:pPr>
            <w:r>
              <w:rPr/>
              <w:t>​</w:t>
            </w:r>
          </w:p>
        </w:tc>
        <w:tc>
          <w:tcPr>
            <w:tcW w:w="571" w:type="dxa"/>
            <w:tcBorders/>
            <w:vAlign w:val="center"/>
          </w:tcPr>
          <w:p>
            <w:pPr>
              <w:pStyle w:val="TableHeading"/>
              <w:bidi w:val="0"/>
              <w:spacing w:before="0" w:after="0"/>
              <w:ind w:left="0" w:right="0" w:hanging="0"/>
              <w:jc w:val="center"/>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_683696">
              <w:r>
                <w:rPr>
                  <w:rStyle w:val="InternetLink"/>
                  <w:rFonts w:ascii="Times New Roman;Times;serif" w:hAnsi="Times New Roman;Times;serif"/>
                  <w:b w:val="false"/>
                  <w:i w:val="false"/>
                  <w:caps w:val="false"/>
                  <w:smallCaps w:val="false"/>
                  <w:sz w:val="20"/>
                </w:rPr>
                <w:t>PART I</w:t>
              </w:r>
            </w:hyperlink>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_Item_1._BUSINESS">
              <w:r>
                <w:rPr>
                  <w:rStyle w:val="InternetLink"/>
                  <w:rFonts w:ascii="Times New Roman;Times;serif" w:hAnsi="Times New Roman;Times;serif"/>
                  <w:b w:val="false"/>
                  <w:i w:val="false"/>
                  <w:caps w:val="false"/>
                  <w:smallCaps w:val="false"/>
                  <w:sz w:val="20"/>
                </w:rPr>
                <w:t>Item 1.</w:t>
              </w:r>
            </w:hyperlink>
          </w:p>
        </w:tc>
        <w:tc>
          <w:tcPr>
            <w:tcW w:w="8823" w:type="dxa"/>
            <w:tcBorders/>
            <w:vAlign w:val="center"/>
          </w:tcPr>
          <w:p>
            <w:pPr>
              <w:pStyle w:val="TableContents"/>
              <w:bidi w:val="0"/>
              <w:spacing w:before="0" w:after="0"/>
              <w:ind w:left="0" w:right="0" w:hanging="0"/>
              <w:jc w:val="left"/>
              <w:rPr/>
            </w:pPr>
            <w:hyperlink w:anchor="_Item_1._BUSINESS">
              <w:r>
                <w:rPr>
                  <w:rStyle w:val="InternetLink"/>
                  <w:rFonts w:ascii="Times New Roman;Times;serif" w:hAnsi="Times New Roman;Times;serif"/>
                  <w:b w:val="false"/>
                  <w:i w:val="false"/>
                  <w:caps w:val="false"/>
                  <w:smallCaps w:val="false"/>
                  <w:sz w:val="20"/>
                </w:rPr>
                <w:t>Business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before="0" w:after="0"/>
              <w:ind w:left="0" w:right="0" w:hanging="0"/>
              <w:jc w:val="left"/>
              <w:rPr/>
            </w:pPr>
            <w:hyperlink w:anchor="Risk">
              <w:r>
                <w:rPr>
                  <w:rStyle w:val="InternetLink"/>
                  <w:rFonts w:ascii="Times New Roman;Times;serif" w:hAnsi="Times New Roman;Times;serif"/>
                  <w:b w:val="false"/>
                  <w:i w:val="false"/>
                  <w:caps w:val="false"/>
                  <w:smallCaps w:val="false"/>
                  <w:sz w:val="20"/>
                </w:rPr>
                <w:t>Item 1A.</w:t>
              </w:r>
            </w:hyperlink>
          </w:p>
        </w:tc>
        <w:tc>
          <w:tcPr>
            <w:tcW w:w="8823"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pBdr/>
              <w:bidi w:val="0"/>
              <w:spacing w:before="0" w:after="0"/>
              <w:ind w:left="0" w:right="0" w:hanging="0"/>
              <w:jc w:val="left"/>
              <w:rPr/>
            </w:pPr>
            <w:hyperlink w:anchor="Item1BUnresolvedStaffComments_632747">
              <w:r>
                <w:rPr>
                  <w:rStyle w:val="InternetLink"/>
                  <w:rFonts w:ascii="Times New Roman;Times;serif" w:hAnsi="Times New Roman;Times;serif"/>
                  <w:b w:val="false"/>
                  <w:i w:val="false"/>
                  <w:caps w:val="false"/>
                  <w:smallCaps w:val="false"/>
                  <w:sz w:val="20"/>
                </w:rPr>
                <w:t>Item 1B.</w:t>
              </w:r>
            </w:hyperlink>
          </w:p>
        </w:tc>
        <w:tc>
          <w:tcPr>
            <w:tcW w:w="8823" w:type="dxa"/>
            <w:tcBorders/>
            <w:vAlign w:val="center"/>
          </w:tcPr>
          <w:p>
            <w:pPr>
              <w:pStyle w:val="TableContents"/>
              <w:bidi w:val="0"/>
              <w:spacing w:before="0" w:after="0"/>
              <w:ind w:left="0" w:right="0" w:hanging="0"/>
              <w:jc w:val="left"/>
              <w:rPr/>
            </w:pPr>
            <w:hyperlink w:anchor="Item1BUnresolvedStaffComments_632747">
              <w:r>
                <w:rPr>
                  <w:rStyle w:val="InternetLink"/>
                  <w:rFonts w:ascii="Times New Roman;Times;serif" w:hAnsi="Times New Roman;Times;serif"/>
                  <w:b w:val="false"/>
                  <w:i w:val="false"/>
                  <w:caps w:val="false"/>
                  <w:smallCaps w:val="false"/>
                  <w:sz w:val="20"/>
                </w:rPr>
                <w:t>Unresolved Staff Comments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pBdr/>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Item 1C.</w:t>
              </w:r>
            </w:hyperlink>
          </w:p>
        </w:tc>
        <w:tc>
          <w:tcPr>
            <w:tcW w:w="8823" w:type="dxa"/>
            <w:tcBorders/>
            <w:vAlign w:val="center"/>
          </w:tcPr>
          <w:p>
            <w:pPr>
              <w:pStyle w:val="TableContents"/>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Cybersecurity</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pBdr/>
              <w:bidi w:val="0"/>
              <w:spacing w:before="0" w:after="0"/>
              <w:ind w:left="0" w:right="0" w:hanging="0"/>
              <w:jc w:val="left"/>
              <w:rPr/>
            </w:pPr>
            <w:hyperlink w:anchor="Item2Properties_627814">
              <w:r>
                <w:rPr>
                  <w:rStyle w:val="InternetLink"/>
                  <w:rFonts w:ascii="Times New Roman;Times;serif" w:hAnsi="Times New Roman;Times;serif"/>
                  <w:b w:val="false"/>
                  <w:i w:val="false"/>
                  <w:caps w:val="false"/>
                  <w:smallCaps w:val="false"/>
                  <w:sz w:val="20"/>
                </w:rPr>
                <w:t>Item 2.</w:t>
              </w:r>
            </w:hyperlink>
          </w:p>
        </w:tc>
        <w:tc>
          <w:tcPr>
            <w:tcW w:w="8823" w:type="dxa"/>
            <w:tcBorders/>
            <w:vAlign w:val="center"/>
          </w:tcPr>
          <w:p>
            <w:pPr>
              <w:pStyle w:val="TableContents"/>
              <w:bidi w:val="0"/>
              <w:spacing w:before="0" w:after="0"/>
              <w:ind w:left="0" w:right="0" w:hanging="0"/>
              <w:jc w:val="left"/>
              <w:rPr/>
            </w:pPr>
            <w:hyperlink w:anchor="Item2Properties_627814">
              <w:r>
                <w:rPr>
                  <w:rStyle w:val="InternetLink"/>
                  <w:rFonts w:ascii="Times New Roman;Times;serif" w:hAnsi="Times New Roman;Times;serif"/>
                  <w:b w:val="false"/>
                  <w:i w:val="false"/>
                  <w:caps w:val="false"/>
                  <w:smallCaps w:val="false"/>
                  <w:sz w:val="20"/>
                </w:rPr>
                <w:t>Properties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pBdr/>
              <w:bidi w:val="0"/>
              <w:spacing w:before="0" w:after="0"/>
              <w:ind w:left="0" w:right="0" w:hanging="0"/>
              <w:jc w:val="left"/>
              <w:rPr/>
            </w:pPr>
            <w:hyperlink w:anchor="Item3LegalProceedings_164510">
              <w:r>
                <w:rPr>
                  <w:rStyle w:val="InternetLink"/>
                  <w:rFonts w:ascii="Times New Roman;Times;serif" w:hAnsi="Times New Roman;Times;serif"/>
                  <w:b w:val="false"/>
                  <w:i w:val="false"/>
                  <w:caps w:val="false"/>
                  <w:smallCaps w:val="false"/>
                  <w:sz w:val="20"/>
                </w:rPr>
                <w:t>Item 3.</w:t>
              </w:r>
            </w:hyperlink>
          </w:p>
        </w:tc>
        <w:tc>
          <w:tcPr>
            <w:tcW w:w="8823" w:type="dxa"/>
            <w:tcBorders/>
            <w:vAlign w:val="center"/>
          </w:tcPr>
          <w:p>
            <w:pPr>
              <w:pStyle w:val="TableContents"/>
              <w:bidi w:val="0"/>
              <w:spacing w:before="0" w:after="0"/>
              <w:ind w:left="0" w:right="0" w:hanging="0"/>
              <w:jc w:val="left"/>
              <w:rPr/>
            </w:pPr>
            <w:hyperlink w:anchor="Item3LegalProceedings_164510">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pBdr/>
              <w:bidi w:val="0"/>
              <w:spacing w:before="0" w:after="0"/>
              <w:ind w:left="0" w:right="0" w:hanging="0"/>
              <w:jc w:val="left"/>
              <w:rPr/>
            </w:pPr>
            <w:hyperlink w:anchor="Item4MineSafetyDisclosures_640268">
              <w:r>
                <w:rPr>
                  <w:rStyle w:val="InternetLink"/>
                  <w:rFonts w:ascii="Times New Roman;Times;serif" w:hAnsi="Times New Roman;Times;serif"/>
                  <w:b w:val="false"/>
                  <w:i w:val="false"/>
                  <w:caps w:val="false"/>
                  <w:smallCaps w:val="false"/>
                  <w:sz w:val="20"/>
                </w:rPr>
                <w:t>Item 4.</w:t>
              </w:r>
            </w:hyperlink>
          </w:p>
        </w:tc>
        <w:tc>
          <w:tcPr>
            <w:tcW w:w="8823" w:type="dxa"/>
            <w:tcBorders/>
            <w:vAlign w:val="center"/>
          </w:tcPr>
          <w:p>
            <w:pPr>
              <w:pStyle w:val="TableContents"/>
              <w:bidi w:val="0"/>
              <w:spacing w:before="0" w:after="0"/>
              <w:ind w:left="0" w:right="0" w:hanging="0"/>
              <w:jc w:val="left"/>
              <w:rPr/>
            </w:pPr>
            <w:hyperlink w:anchor="Item4MineSafetyDisclosures_640268">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I_753338">
              <w:r>
                <w:rPr>
                  <w:rStyle w:val="InternetLink"/>
                  <w:rFonts w:ascii="Times New Roman;Times;serif" w:hAnsi="Times New Roman;Times;serif"/>
                  <w:b w:val="false"/>
                  <w:i w:val="false"/>
                  <w:caps w:val="false"/>
                  <w:smallCaps w:val="false"/>
                  <w:sz w:val="20"/>
                </w:rPr>
                <w:t>PART II</w:t>
              </w:r>
            </w:hyperlink>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5MARKETFOR">
              <w:r>
                <w:rPr>
                  <w:rStyle w:val="InternetLink"/>
                  <w:rFonts w:ascii="Times New Roman;Times;serif" w:hAnsi="Times New Roman;Times;serif"/>
                  <w:b w:val="false"/>
                  <w:i w:val="false"/>
                  <w:caps w:val="false"/>
                  <w:smallCaps w:val="false"/>
                  <w:sz w:val="20"/>
                </w:rPr>
                <w:t>Item 5.</w:t>
              </w:r>
            </w:hyperlink>
          </w:p>
        </w:tc>
        <w:tc>
          <w:tcPr>
            <w:tcW w:w="8823" w:type="dxa"/>
            <w:tcBorders/>
            <w:vAlign w:val="center"/>
          </w:tcPr>
          <w:p>
            <w:pPr>
              <w:pStyle w:val="TableContents"/>
              <w:bidi w:val="0"/>
              <w:spacing w:before="0" w:after="0"/>
              <w:ind w:left="0" w:right="0" w:hanging="0"/>
              <w:jc w:val="left"/>
              <w:rPr/>
            </w:pPr>
            <w:hyperlink w:anchor="ITEM5MARKETFOR">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pBdr/>
              <w:bidi w:val="0"/>
              <w:spacing w:before="0" w:after="0"/>
              <w:ind w:left="0" w:right="0" w:hanging="0"/>
              <w:jc w:val="left"/>
              <w:rPr/>
            </w:pPr>
            <w:hyperlink w:anchor="ITEM6RESERVED_898388">
              <w:r>
                <w:rPr>
                  <w:rStyle w:val="InternetLink"/>
                  <w:rFonts w:ascii="Times New Roman;Times;serif" w:hAnsi="Times New Roman;Times;serif"/>
                  <w:b w:val="false"/>
                  <w:i w:val="false"/>
                  <w:caps w:val="false"/>
                  <w:smallCaps w:val="false"/>
                  <w:sz w:val="20"/>
                </w:rPr>
                <w:t>Item 6.</w:t>
              </w:r>
            </w:hyperlink>
          </w:p>
        </w:tc>
        <w:tc>
          <w:tcPr>
            <w:tcW w:w="8823" w:type="dxa"/>
            <w:tcBorders/>
            <w:vAlign w:val="center"/>
          </w:tcPr>
          <w:p>
            <w:pPr>
              <w:pStyle w:val="TableContents"/>
              <w:bidi w:val="0"/>
              <w:spacing w:before="0" w:after="0"/>
              <w:ind w:left="0" w:right="0" w:hanging="0"/>
              <w:jc w:val="left"/>
              <w:rPr/>
            </w:pPr>
            <w:hyperlink w:anchor="ITEM6RESERVED_898388">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 xml:space="preserve"> </w:t>
            </w:r>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pBdr/>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823"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pBdr/>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823"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pBdr/>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823"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1"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823"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811" w:type="dxa"/>
            <w:tcBorders/>
            <w:vAlign w:val="center"/>
          </w:tcPr>
          <w:p>
            <w:pPr>
              <w:pStyle w:val="TableContents"/>
              <w:pBdr/>
              <w:bidi w:val="0"/>
              <w:spacing w:before="0" w:after="0"/>
              <w:ind w:left="0" w:right="0" w:hanging="0"/>
              <w:jc w:val="left"/>
              <w:rPr/>
            </w:pPr>
            <w:hyperlink w:anchor="Item9AControlsandProcedures_853898">
              <w:r>
                <w:rPr>
                  <w:rStyle w:val="InternetLink"/>
                  <w:rFonts w:ascii="Times New Roman;Times;serif" w:hAnsi="Times New Roman;Times;serif"/>
                  <w:b w:val="false"/>
                  <w:i w:val="false"/>
                  <w:caps w:val="false"/>
                  <w:smallCaps w:val="false"/>
                  <w:sz w:val="20"/>
                </w:rPr>
                <w:t>Item 9A.</w:t>
              </w:r>
            </w:hyperlink>
          </w:p>
        </w:tc>
        <w:tc>
          <w:tcPr>
            <w:tcW w:w="8823" w:type="dxa"/>
            <w:tcBorders/>
            <w:vAlign w:val="center"/>
          </w:tcPr>
          <w:p>
            <w:pPr>
              <w:pStyle w:val="TableContents"/>
              <w:bidi w:val="0"/>
              <w:spacing w:before="0" w:after="0"/>
              <w:ind w:left="0" w:right="0" w:hanging="0"/>
              <w:jc w:val="left"/>
              <w:rPr/>
            </w:pPr>
            <w:hyperlink w:anchor="Item9AControlsandProcedures_853898">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811" w:type="dxa"/>
            <w:tcBorders/>
            <w:vAlign w:val="center"/>
          </w:tcPr>
          <w:p>
            <w:pPr>
              <w:pStyle w:val="TableContents"/>
              <w:pBdr/>
              <w:bidi w:val="0"/>
              <w:spacing w:before="0" w:after="0"/>
              <w:ind w:left="0" w:right="0" w:hanging="0"/>
              <w:jc w:val="left"/>
              <w:rPr/>
            </w:pPr>
            <w:hyperlink w:anchor="Item9BOtherInformation_57198">
              <w:r>
                <w:rPr>
                  <w:rStyle w:val="InternetLink"/>
                  <w:rFonts w:ascii="Times New Roman;Times;serif" w:hAnsi="Times New Roman;Times;serif"/>
                  <w:b w:val="false"/>
                  <w:i w:val="false"/>
                  <w:caps w:val="false"/>
                  <w:smallCaps w:val="false"/>
                  <w:sz w:val="20"/>
                </w:rPr>
                <w:t>Item 9B.</w:t>
              </w:r>
            </w:hyperlink>
          </w:p>
        </w:tc>
        <w:tc>
          <w:tcPr>
            <w:tcW w:w="8823" w:type="dxa"/>
            <w:tcBorders/>
            <w:vAlign w:val="center"/>
          </w:tcPr>
          <w:p>
            <w:pPr>
              <w:pStyle w:val="TableContents"/>
              <w:bidi w:val="0"/>
              <w:spacing w:before="0" w:after="0"/>
              <w:ind w:left="0" w:right="0" w:hanging="0"/>
              <w:jc w:val="left"/>
              <w:rPr/>
            </w:pPr>
            <w:hyperlink w:anchor="Item9BOtherInformation_57198">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811" w:type="dxa"/>
            <w:tcBorders/>
            <w:vAlign w:val="center"/>
          </w:tcPr>
          <w:p>
            <w:pPr>
              <w:pStyle w:val="TableContents"/>
              <w:pBdr/>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823"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II_679073">
              <w:r>
                <w:rPr>
                  <w:rStyle w:val="InternetLink"/>
                  <w:rFonts w:ascii="Times New Roman;Times;serif" w:hAnsi="Times New Roman;Times;serif"/>
                  <w:b w:val="false"/>
                  <w:i w:val="false"/>
                  <w:caps w:val="false"/>
                  <w:smallCaps w:val="false"/>
                  <w:sz w:val="20"/>
                </w:rPr>
                <w:t>PART III</w:t>
              </w:r>
            </w:hyperlink>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0">
              <w:r>
                <w:rPr>
                  <w:rStyle w:val="InternetLink"/>
                  <w:rFonts w:ascii="Times New Roman;Times;serif" w:hAnsi="Times New Roman;Times;serif"/>
                  <w:b w:val="false"/>
                  <w:i w:val="false"/>
                  <w:caps w:val="false"/>
                  <w:smallCaps w:val="false"/>
                  <w:sz w:val="20"/>
                </w:rPr>
                <w:t>Item 10.</w:t>
              </w:r>
            </w:hyperlink>
          </w:p>
        </w:tc>
        <w:tc>
          <w:tcPr>
            <w:tcW w:w="8823" w:type="dxa"/>
            <w:tcBorders/>
            <w:vAlign w:val="center"/>
          </w:tcPr>
          <w:p>
            <w:pPr>
              <w:pStyle w:val="TableContents"/>
              <w:bidi w:val="0"/>
              <w:spacing w:before="0" w:after="0"/>
              <w:ind w:left="0" w:right="0" w:hanging="0"/>
              <w:jc w:val="left"/>
              <w:rPr/>
            </w:pPr>
            <w:hyperlink w:anchor="Item1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pBdr/>
              <w:bidi w:val="0"/>
              <w:spacing w:before="0" w:after="0"/>
              <w:ind w:left="0" w:right="0" w:hanging="0"/>
              <w:jc w:val="left"/>
              <w:rPr/>
            </w:pPr>
            <w:hyperlink w:anchor="Item11">
              <w:r>
                <w:rPr>
                  <w:rStyle w:val="InternetLink"/>
                  <w:rFonts w:ascii="Times New Roman;Times;serif" w:hAnsi="Times New Roman;Times;serif"/>
                  <w:b w:val="false"/>
                  <w:i w:val="false"/>
                  <w:caps w:val="false"/>
                  <w:smallCaps w:val="false"/>
                  <w:sz w:val="20"/>
                </w:rPr>
                <w:t>Item 11.</w:t>
              </w:r>
            </w:hyperlink>
          </w:p>
        </w:tc>
        <w:tc>
          <w:tcPr>
            <w:tcW w:w="8823" w:type="dxa"/>
            <w:tcBorders/>
            <w:vAlign w:val="center"/>
          </w:tcPr>
          <w:p>
            <w:pPr>
              <w:pStyle w:val="TableContents"/>
              <w:bidi w:val="0"/>
              <w:spacing w:before="0" w:after="0"/>
              <w:ind w:left="0" w:right="0" w:hanging="0"/>
              <w:jc w:val="left"/>
              <w:rPr/>
            </w:pPr>
            <w:hyperlink w:anchor="Item11">
              <w:r>
                <w:rPr>
                  <w:rStyle w:val="InternetLink"/>
                  <w:rFonts w:ascii="Times New Roman;Times;serif" w:hAnsi="Times New Roman;Times;serif"/>
                  <w:b w:val="false"/>
                  <w:i w:val="false"/>
                  <w:caps w:val="false"/>
                  <w:smallCaps w:val="false"/>
                  <w:sz w:val="20"/>
                </w:rPr>
                <w:t>Executive Compensation</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pBdr/>
              <w:bidi w:val="0"/>
              <w:spacing w:before="0" w:after="0"/>
              <w:ind w:left="0" w:right="0" w:hanging="0"/>
              <w:jc w:val="left"/>
              <w:rPr/>
            </w:pPr>
            <w:hyperlink w:anchor="Item12">
              <w:r>
                <w:rPr>
                  <w:rStyle w:val="InternetLink"/>
                  <w:rFonts w:ascii="Times New Roman;Times;serif" w:hAnsi="Times New Roman;Times;serif"/>
                  <w:b w:val="false"/>
                  <w:i w:val="false"/>
                  <w:caps w:val="false"/>
                  <w:smallCaps w:val="false"/>
                  <w:sz w:val="20"/>
                </w:rPr>
                <w:t>Item 12.</w:t>
              </w:r>
            </w:hyperlink>
          </w:p>
        </w:tc>
        <w:tc>
          <w:tcPr>
            <w:tcW w:w="8823" w:type="dxa"/>
            <w:tcBorders/>
            <w:vAlign w:val="center"/>
          </w:tcPr>
          <w:p>
            <w:pPr>
              <w:pStyle w:val="TableContents"/>
              <w:bidi w:val="0"/>
              <w:spacing w:before="0" w:after="0"/>
              <w:ind w:left="0" w:right="0" w:hanging="0"/>
              <w:jc w:val="left"/>
              <w:rPr/>
            </w:pPr>
            <w:hyperlink w:anchor="Item12">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pBdr/>
              <w:bidi w:val="0"/>
              <w:spacing w:before="0" w:after="0"/>
              <w:ind w:left="0" w:right="0" w:hanging="0"/>
              <w:jc w:val="left"/>
              <w:rPr/>
            </w:pPr>
            <w:hyperlink w:anchor="Item13">
              <w:r>
                <w:rPr>
                  <w:rStyle w:val="InternetLink"/>
                  <w:rFonts w:ascii="Times New Roman;Times;serif" w:hAnsi="Times New Roman;Times;serif"/>
                  <w:b w:val="false"/>
                  <w:i w:val="false"/>
                  <w:caps w:val="false"/>
                  <w:smallCaps w:val="false"/>
                  <w:sz w:val="20"/>
                </w:rPr>
                <w:t>Item 13.</w:t>
              </w:r>
            </w:hyperlink>
          </w:p>
        </w:tc>
        <w:tc>
          <w:tcPr>
            <w:tcW w:w="8823" w:type="dxa"/>
            <w:tcBorders/>
            <w:vAlign w:val="center"/>
          </w:tcPr>
          <w:p>
            <w:pPr>
              <w:pStyle w:val="TableContents"/>
              <w:bidi w:val="0"/>
              <w:spacing w:before="0" w:after="0"/>
              <w:ind w:left="0" w:right="0" w:hanging="0"/>
              <w:jc w:val="left"/>
              <w:rPr/>
            </w:pPr>
            <w:hyperlink w:anchor="Item1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pBdr/>
              <w:bidi w:val="0"/>
              <w:spacing w:before="0" w:after="0"/>
              <w:ind w:left="0" w:right="0" w:hanging="0"/>
              <w:jc w:val="left"/>
              <w:rPr/>
            </w:pPr>
            <w:hyperlink w:anchor="Item14">
              <w:r>
                <w:rPr>
                  <w:rStyle w:val="InternetLink"/>
                  <w:rFonts w:ascii="Times New Roman;Times;serif" w:hAnsi="Times New Roman;Times;serif"/>
                  <w:b w:val="false"/>
                  <w:i w:val="false"/>
                  <w:caps w:val="false"/>
                  <w:smallCaps w:val="false"/>
                  <w:sz w:val="20"/>
                </w:rPr>
                <w:t>Item 14.</w:t>
              </w:r>
            </w:hyperlink>
          </w:p>
        </w:tc>
        <w:tc>
          <w:tcPr>
            <w:tcW w:w="8823" w:type="dxa"/>
            <w:tcBorders/>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b w:val="false"/>
                  <w:i w:val="false"/>
                  <w:caps w:val="false"/>
                  <w:smallCaps w:val="false"/>
                  <w:sz w:val="20"/>
                </w:rPr>
                <w:t>Principal Accountant Fees and Services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823" w:type="dxa"/>
            <w:tcBorders/>
            <w:vAlign w:val="center"/>
          </w:tcPr>
          <w:p>
            <w:pPr>
              <w:pStyle w:val="TableContents"/>
              <w:bidi w:val="0"/>
              <w:spacing w:before="0" w:after="0"/>
              <w:ind w:left="0" w:right="0" w:hanging="0"/>
              <w:jc w:val="center"/>
              <w:rPr/>
            </w:pPr>
            <w:hyperlink w:anchor="PARTIV_232930">
              <w:r>
                <w:rPr>
                  <w:rStyle w:val="InternetLink"/>
                  <w:rFonts w:ascii="Times New Roman;Times;serif" w:hAnsi="Times New Roman;Times;serif"/>
                  <w:b w:val="false"/>
                  <w:i w:val="false"/>
                  <w:caps w:val="false"/>
                  <w:smallCaps w:val="false"/>
                  <w:sz w:val="20"/>
                </w:rPr>
                <w:t>PART IV</w:t>
              </w:r>
            </w:hyperlink>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823"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pBdr/>
              <w:bidi w:val="0"/>
              <w:spacing w:before="0" w:after="0"/>
              <w:ind w:left="0" w:right="0" w:hanging="0"/>
              <w:jc w:val="left"/>
              <w:rPr/>
            </w:pPr>
            <w:hyperlink w:anchor="ITEM16FORM10KSU_369056">
              <w:r>
                <w:rPr>
                  <w:rStyle w:val="InternetLink"/>
                  <w:rFonts w:ascii="Times New Roman;Times;serif" w:hAnsi="Times New Roman;Times;serif"/>
                  <w:b w:val="false"/>
                  <w:i w:val="false"/>
                  <w:caps w:val="false"/>
                  <w:smallCaps w:val="false"/>
                  <w:sz w:val="20"/>
                </w:rPr>
                <w:t>Item 16.</w:t>
              </w:r>
            </w:hyperlink>
          </w:p>
        </w:tc>
        <w:tc>
          <w:tcPr>
            <w:tcW w:w="8823" w:type="dxa"/>
            <w:tcBorders/>
            <w:vAlign w:val="center"/>
          </w:tcPr>
          <w:p>
            <w:pPr>
              <w:pStyle w:val="TableContents"/>
              <w:bidi w:val="0"/>
              <w:spacing w:before="0" w:after="0"/>
              <w:ind w:left="0" w:right="0" w:hanging="0"/>
              <w:jc w:val="left"/>
              <w:rPr/>
            </w:pPr>
            <w:hyperlink w:anchor="ITEM16FORM10KSU_369056">
              <w:r>
                <w:rPr>
                  <w:rStyle w:val="InternetLink"/>
                  <w:rFonts w:ascii="Times New Roman;Times;serif" w:hAnsi="Times New Roman;Times;serif"/>
                  <w:b w:val="false"/>
                  <w:i w:val="false"/>
                  <w:caps w:val="false"/>
                  <w:smallCaps w:val="false"/>
                  <w:sz w:val="20"/>
                </w:rPr>
                <w:t>Form 10-K Summary</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EXHIBITINDEX_965779">
              <w:r>
                <w:rPr>
                  <w:rStyle w:val="InternetLink"/>
                  <w:rFonts w:ascii="Times New Roman;Times;serif" w:hAnsi="Times New Roman;Times;serif"/>
                  <w:b w:val="false"/>
                  <w:i w:val="false"/>
                  <w:caps w:val="false"/>
                  <w:smallCaps w:val="false"/>
                  <w:sz w:val="20"/>
                </w:rPr>
                <w:t>Exhibit Index</w:t>
              </w:r>
            </w:hyperlink>
          </w:p>
        </w:tc>
        <w:tc>
          <w:tcPr>
            <w:tcW w:w="57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811" w:type="dxa"/>
            <w:tcBorders/>
            <w:vAlign w:val="center"/>
          </w:tcPr>
          <w:p>
            <w:pPr>
              <w:pStyle w:val="TableContents"/>
              <w:pBdr/>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SIGNATURES_954937">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20"/>
              <w:ind w:left="0" w:right="58" w:hanging="0"/>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bookmarkStart w:id="45" w:name="CautionaryNoteRegardingForwardLookingSta"/>
      <w:bookmarkStart w:id="46" w:name="_11434b56_ccad_48d3_934f_4b9565a5945a"/>
      <w:bookmarkEnd w:id="45"/>
      <w:bookmarkEnd w:id="46"/>
      <w:r>
        <w:rPr>
          <w:rFonts w:ascii="Times New Roman;Times;serif" w:hAnsi="Times New Roman;Times;serif"/>
          <w:b/>
          <w:sz w:val="20"/>
        </w:rPr>
        <w:t>Cautionary Note Regarding Forward-looking Statements</w:t>
      </w:r>
    </w:p>
    <w:p>
      <w:pPr>
        <w:pStyle w:val="TextBody"/>
        <w:bidi w:val="0"/>
        <w:spacing w:before="0" w:after="12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This Annual Report on Form 10-K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“goal,” “seek,” “target,” “should,” “could,” “will,” “would” or the negative of such terms or other similar expressions.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Annual Report on Form 10-K.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caution you that these forward-looking statements are subject to numerous risks and uncertainties, most of which are difficult to predict and many of which are beyond our control. Forward-looking statements in this Annual Report on Form 10-K may include, for example, statements about: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strategies for sales of quantum computers and quantum computing as a service (“Quantum Computing as a Service,” or “QCaaS”),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superconducting modality of quantum computing, including scalability and gate speeds, and open modular architecture for quantum computing,</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timeline to monetize our investments in quantum computing,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 including the recent Collaboration Agreement with Quanta Computer, Inc., a Taiwan Corporation (“Quanta”),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future and ongoing military conflicts and wars around the world and sanctions related thereto and trade protections and tariffs), levels of future economic activity, inflation, interest rates and financial and credit market fluctuations,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global economic and geopolitical conditions, government shutdowns, disruptions to and volatility and uncertainty in the credit and financial markets, uncertainty in levels of future economic activity, inflation and interest rates,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have or may be instituted against us or others,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and manage growth profitably, maintain relationships with customers and suppliers and retain our management and key employees,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 including the additional costs associated with the loss of the ability to use scaled disclosures available to smaller reporting companies (“SRCs”) beginning with our Quarterly Report on Form 10-Q for the first quarter of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attention necessary with respect to our increased disclosure and compliance obligations associated with the loss of our SRC status under the current rules of the Securities and Exchange Commission (the “SEC”),</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effective internal controls over financial reporting,</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applicable laws or regulations, including international trade policies and tax legislation, </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products and services,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and our ability to raise additional capital when needed and on attractive terms,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 and</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w:t>
            </w:r>
          </w:p>
        </w:tc>
      </w:tr>
    </w:tbl>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These statements reflect our current views with respect to future events, are based on assumptions and involve known and unknown risks, uncertainties and other factors that may cause our actual results, performance, timeframes or achievements to be materially different from any future results, performance or achievements expressed or implied by the forward-looking statements. Additional information concerning these risks, uncertainties and other factors that may impact the operations, projections, and other forward-looking statements discussed herein can be found in the section entitled “Risk Factors” in Part I, Item 1A of this Annual Report on Form 10-K. </w:t>
      </w:r>
      <w:r>
        <w:rPr>
          <w:rFonts w:ascii="Times New Roman;Times;serif" w:hAnsi="Times New Roman;Times;serif"/>
          <w:i/>
          <w:sz w:val="20"/>
          <w:shd w:fill="FFFFFF" w:val="clear"/>
        </w:rPr>
        <w:t>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w:t>
      </w:r>
      <w:r>
        <w:rPr>
          <w:rFonts w:ascii="Times New Roman;Times;serif" w:hAnsi="Times New Roman;Times;serif"/>
          <w:i/>
          <w:sz w:val="20"/>
        </w:rPr>
        <w: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Summary Risk Factors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business is subject to a number of risks of which you should be aware before making a decision to invest in our securities. These known and unknown risks, uncertainties and other factors include, without limitation: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our early stages and have a limited operating history, which makes it difficult to forecast our future results of operations. We have in the past failed to meet publicly announced milestones and may fail to meet projected technological milestones in the future. In addition, we have in the past changed our technology roadmap, including the anticipated milestones and timing thereof.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 significant amount of cash for expenditures as we invest in ongoing research and development and business operations and may need additional capital sooner than planned. If we are unable to raise additional funding when needed, we may be required to delay, limit or substantially reduce our quantum computing development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scale our business quickly enough to meet customer and market demand, which would result in lower profitability or cause us to fail to execute on our business strategies.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in which we compete achieves its anticipated growth levels, our business could fail to grow at similar rates,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manage growth effectively, including with respect to our employee base and managing our operations successfully.</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net operating loss carryforwards and other tax attributes may be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technical and engineering challenges in completing the development of our quantum computers, producing our quantum computers at scale, achieving our targeted performance milestones and realizing quantum advantage, any of which is not accomplished would adversely impact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expend our resources to pursue particular products, designs, sectors or investments and we may fail to capitalize on such products, designs, sectors or investments and/or forego other products, designs, sectors or investments that have been more profitable or for which there may have been a greater likelihood of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competitive on a global scale and we may not be successful in competing in this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depend on a limited number of customers for a significant percentage of our revenue and the loss or temporary loss of a major customer for any reason could harm our financial condition.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currently dependent upon our relationship with our cloud providers. There are no assurances that we will be able to commercialize quantum computers from our relationships with cloud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certain suppliers to source products. Failure to maintain our relationship with any of these suppliers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may in the future enter into collaboration agreements and similar arrangements with third parties for the manufacturing of our products, and these arrangements may never achieve their goals.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depends on continuous innovation, timely execution of our strategy and achieving cost reduction, and failure to do so could render our quantum computing systems obsolete or less competitive.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suffer disruptions, outages, defects and other performance and quality problems with our quantum computing systems, our production technology partners or with the public cloud, data centers and internet infrastructure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a failure could negatively impact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quantum computing systems may not be compatible with some or all industry-standard software and hardware in the future, which could harm our business.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information technology systems or data, or those of third parties upon which we rely, are or were compromised, we could experience adverse consequences resulting from such compromise.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Unstable or unfavorable market and economic conditions in our industry and or the global economy have had and may continue to have serious adverse consequences on our business, financial condition and share price. In the future, we may be required to record significant charges for impairment of our long-lived assets, other assets or investments.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identified material weaknesses in our internal control over financial reporting, leading to a restatement of our financial statements for prior periods. If we identify additional material weaknesses or if we otherwise fail to establish and maintain effective internal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or operations could be damaged or adversely affected as a result of prolonged power outages, natural disasters such as earthquakes, or other catastrophic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international sales and operations subject us to additional risks and costs, including the ability to engage with customers in new geographies, exposure to foreign currency exchange rate fluctuations, which can adversely affect our business, financial condition, revenues, results of operations or cash flows. </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operations may subject us to greater than anticipated tax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stringent and evolving U.S. state, federal and foreign laws, regulations and rules, contractual obligations, industry standards, policies and other obligations related to privacy, data use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otherwise, could adversely affect us and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U.S. government entities subject us to risks including early termination, audits, investigations, sanctions and penalties.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government export and import controls that could impair our ability to compete in international markets due to licensing requirements and subject us to liability if we are not in compliance with applicable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obtain, maintain and protect our intellectual property rights could impair our ability to protect and commercialize our proprietary products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intellectual property has been or may be conceived or developed through government-funded research and thus may be subject to federal regulations providing for certain rights for the U.S. government or imposing certain obligations on us and compliance with such regulations may limit our exclusive rights and our ability to contract with non-U.S.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or issuances of our securities may adversely affect the market price of our securities and may be dilutive to existing securityholders.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including our public warrants, each entitling the holder to purchase one share of our common stock, $0.0001 par value per share (“Common Stock”), at an exercise price of $11.50 per share, that trade on the Nasdaq Capital Market under the ticker symbol “RGTIW” (“Public Warrants”) and our private placement warrants, each entitling the holder to purchase one share of our Common Stock at an exercise price of $11.50 per share (“Private Warrants”) are accounted for as liabilities and the changes in value of our Public Warrants and Private Warrants could have a material effect on our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outstanding warrants and stock options are exercisable for Common Stock. We also issue restricted stock units to our employees. The exercise of our outstanding warrants and stock options and vesting of our outstanding restricted stock units increases the number of shares eligible for future resale in the public market, resulting in dilution to our stockholders.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7" w:name="PARTI_683696"/>
      <w:bookmarkStart w:id="48" w:name="_98506227_e39d_4849_9918_e319c7c2f26c"/>
      <w:bookmarkEnd w:id="47"/>
      <w:bookmarkEnd w:id="48"/>
      <w:r>
        <w:rPr>
          <w:rFonts w:ascii="Times New Roman;Times;serif" w:hAnsi="Times New Roman;Times;serif"/>
          <w:b/>
          <w:sz w:val="20"/>
        </w:rPr>
        <w:t>PART I</w:t>
      </w:r>
    </w:p>
    <w:p>
      <w:pPr>
        <w:pStyle w:val="TextBody"/>
        <w:bidi w:val="0"/>
        <w:spacing w:before="0" w:after="120"/>
        <w:ind w:left="0" w:right="0" w:hanging="0"/>
        <w:jc w:val="left"/>
        <w:rPr>
          <w:rFonts w:ascii="Times New Roman;Times;serif" w:hAnsi="Times New Roman;Times;serif"/>
          <w:b/>
          <w:sz w:val="20"/>
        </w:rPr>
      </w:pPr>
      <w:bookmarkStart w:id="49" w:name="Item1Business"/>
      <w:bookmarkStart w:id="50" w:name="_Item_1._BUSINESS"/>
      <w:bookmarkEnd w:id="49"/>
      <w:bookmarkEnd w:id="50"/>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build the world’s most powerful computers to help solve humanity’s most important and pressing problems. Our strategy is to be at the forefront of superconducting quantum computing.</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Classical computers are plateauing, Moore’s law has slowed, returns for parallelization are diminishing and energy requirements can’t keep up. Today, many of the world’s most important computational challenges remain intractable, lying beyond the capabilities of traditional supercomputers and cloud infrastructure. We build and operate quantum computers. We believe quantum computing represents one of the most transformative emerging capabilities in the world today. By leveraging quantum mechanics, our quantum computers process information in fundamentally new, more powerful ways compared to classical computing with meaningful power efficiency. When scaled, we believe these systems are poised to solve problems of staggering computational complexity at unprecedented speed.</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scalable quantum computers is expected to enable scientists and engineers to address problems in areas like climate change, fusion energy, quantitative finance, drug development and discovery, materials science, and artificial intelligence (“AI”). Our quantum computers are based on superconducting qubits, which we believe is the leading quantum computing modality based on their fast gate speeds and defined pathway to scaling. Our quantum computers currently achieve gate speeds of 50-70 nanoseconds, which is about 1,000 times faster than other modalities such as trapped ions or pure atoms based on publicly available information. We have developed the world’s first multi-chip quantum processor for scalable quantum computing systems. We expect this patented and patent pending modular chip architecture to be the building block for new generations of quantum processors that we expect to achieve an advantage over classical computers. We have already demonstrated the potential of our modular chip architecture with the launch of Cepheus-1-36Q, which is based on four 9-qubit “chiplets” tiled together. </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vertically integrated company. We own and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deploying our quantum computers to end users over the cloud since 2017. We offer our full-stack quantum computing platform as a cloud service to a wide range of end-users, directly through our Rigetti Quantum Cloud Services (QCS®) platform, and also through public cloud service providers.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val="false"/>
          <w:i w:val="false"/>
          <w:caps w:val="false"/>
          <w:smallCaps w:val="false"/>
          <w:sz w:val="20"/>
        </w:rPr>
        <w:t>We began selling quantum computers to end users in 2023. In December 2023, we launched the Novera™ QPU, our first commercially available quantum processing unit (“QPU”),</w:t>
      </w:r>
      <w:r>
        <w:rPr>
          <w:rFonts w:ascii="Times New Roman;Times;serif" w:hAnsi="Times New Roman;Times;serif"/>
          <w:b/>
          <w:i/>
          <w:sz w:val="20"/>
        </w:rPr>
        <w:t xml:space="preserve"> </w:t>
      </w:r>
      <w:r>
        <w:rPr>
          <w:rFonts w:ascii="Times New Roman;Times;serif" w:hAnsi="Times New Roman;Times;serif"/>
          <w:b w:val="false"/>
          <w:i w:val="false"/>
          <w:caps w:val="false"/>
          <w:smallCaps w:val="false"/>
          <w:sz w:val="20"/>
        </w:rPr>
        <w:t>which includes a 9-qubit chip that features tunable couplers for two-qubit operations and a 5-qubit chip for testing single-qubit operations. The Novera QPU is based on our fourth generation Ankaa™-class architecture. In December 2024, we sold a Novera QPU to Montana State University, which was our first QPU delivered to an academic institution. In 2025, we received purchase orders for two Novera systems totaling approximately $5.7 million. Both systems are upgradeable, allowing the customers to increase the system qubit count for more complex computations and research.</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2024, we announced the public launch of our 84-qubit Ankaa-3 system, which featured an extensive hardware redesign. We achieved a key two-qubit gate fidelity milestone with Ankaa-3: successfully halving error rates in 2024 to achieve a 99.0% median two-qubit gate fidelity based on our internal testing. For information on gate fidelity, see “—Our Technology—Our Superconducting Quantum Processors—Fidelity.”</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second quarter of 2025, we announced the public launch of our 36-qubit Cepheus-1-36Q system, our newest flagship quantum computer that utilizes our modular chip architecture and demonstrates our path to scaling to higher qubit count and higher performing systems. Made of four 9-qubit “chiplets,” we believe that Cepheus-1-36Q is the industry’s largest multi-chip quantum computer. As of January 2026, we achieved a 99.6% median two-qubit gate fidelity (based on internal testing) with Cepheus-1-36Q, successfully halving our error rate from our previous, single-chip 84-qubit Ankaa-3 system. </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Ankaa-3 and Cepheus-1-36Q are available to our partners via the Rigetti QCS platform. Cepheus-1-36Q is intended to enable users to operate our universal CZ gates for a wide range of algorithmic research, with a median gate time of 76 nanoseconds. Our CZ gates are designed to be optimized for fast gate times while reducing coherent errors, which improves fidelity and is key for executing quantum error correction techniques. Cepheus-1-36Q features scalable chip architecture with 3D signal delivery while incorporating enhancements to key technologies, such as enhanced intermodule coupler design to enable higher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Leveraging our full-stack platform and in-house quantum foundry capabilities, we believe that Cepheus-1-36Q demonstrates our ability to deliver increasingly higher performance quantum computers with larger qubit counts using our proprietary chiplet-based architecture. We have developed strong customer relationships and collaborative partnerships for the purpose of accelerating the development of key technologies for high-value use cases to potentially unlock strategic market opportunities. </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partners and customers include commercial enterprises such as Amazon Web Services (“AWS”) Standard Chartered Bank and Moody’s, along with U.S. government organizations such as Defense Advanced Research Projects Agency (“DARPA”), Department of Energy (“DOE”), and Air Force Research Laboratory (“AFRL”), and international government entities such as India’s Centre for Development of Advanced Computing (“C-DAC”), India’s premier R&amp;D organization of the Ministry of Electronics and Information Technology. In April 2025, Rigetti UK Limited, our wholly owned subsidiary, announced that it was selected as one of the winners of Innovate UK’s Quantum Missions Pilot Competition to advance quantum error correction capabilities on superconducting quantum computers. As part of the project, we are upgrading our existing quantum computer hosted at the UK’s National Quantum Computing Centre to a larger 36-qubit quantum processing unit and integrating it with Riverlane Ltd.’s quantum error correction stack.</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Rigetti Computing India P L, a wholly owned subsidiary of Rigetti Computing, Inc., announced that it received an $8.4 million purchase order to deliver a 108-qubit quantum computer to C-DAC. The system will be installed on-premises at C-DAC’s Bengaluru center and is expected to be deployed in the second half of 2026.</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val="false"/>
          <w:i w:val="false"/>
          <w:caps w:val="false"/>
          <w:smallCaps w:val="false"/>
          <w:sz w:val="20"/>
        </w:rPr>
        <w:t>We are focused on continuing to improve our system performance. We recently achieved a two-qubit gate fidelity as high as 99.9% at 28 nanosecond gate speed on a prototype platform by using a new proprietary adiabatic CZ scheme. We continue to be at 99.9% one-qubit gate fidelity. In January 2026, we announced achievement of a median two-qubit gate fidelity (based on internal testing) of 99.7% on our 9-qubit system, 99.6% on our 36-qubit system and 99.0% on our 108-qubit system (Cepheus-1-108Q).</w:t>
      </w:r>
      <w:r>
        <w:rPr>
          <w:rFonts w:ascii="Times New Roman;Times;serif" w:hAnsi="Times New Roman;Times;serif"/>
          <w:b/>
          <w:i/>
          <w:sz w:val="20"/>
        </w:rPr>
        <w:t xml:space="preserve"> </w:t>
      </w:r>
      <w:r>
        <w:rPr>
          <w:rFonts w:ascii="Times New Roman;Times;serif" w:hAnsi="Times New Roman;Times;serif"/>
          <w:b w:val="false"/>
          <w:i w:val="false"/>
          <w:caps w:val="false"/>
          <w:smallCaps w:val="false"/>
          <w:sz w:val="20"/>
        </w:rPr>
        <w:t>Cepheus-1-108Q is based on twelve 9-qubit chiplets and leverages our proprietary modular chip architecture. We are enabled by a deep technical team that includes global experts in quantum chip design and manufacturing, quantum computing systems architecture, quantum software, and quantum algorithms and applications.</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the production of our scalable multi-chip quantum processors in Fab-1 and our full-stack product development approach, we are working to develop quantum computing systems that demonstrate clear performance advantages over classical computing alternatives for multiple high-impact application areas.</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Quanta Collaboration Agreement</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entered into a Collaboration Agreement (the “Collaboration Agreement”) with Quanta, whereby the parties may enter into written statements of work from time to time pursuant to which Quanta will develop Covered Components listed in such statement of work that meet the specifications and requirements provided by us. “Covered Components” may include control systems, dilution refrigerators, flexible cables, and select other non-QPU components suitable for our quantum computing products. In addition, the parties have each agreed to invest at least $250 million over the next five years in the field of quantum computing (and Quanta’s investment will be towards personnel and capital expenditures for developing products and services and manufacturing capability in furtherance of our product roadmap). Further, in connection with the Collaboration Agreement, in April 2025 Quanta purchased approximately $35 million of shares of Common Stock at approximately $11.59 per share, pursuant to a securities purchase agreement.</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Market Opportunity</w:t>
      </w:r>
    </w:p>
    <w:p>
      <w:pPr>
        <w:pStyle w:val="TextBody"/>
        <w:bidi w:val="0"/>
        <w:spacing w:before="0" w:after="12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computing power capable of solving computationally complex problems is increasing. Many of these types of problems are approached through the use of High-Performance Computing (“HPC”), which relies primarily on large classical computers located either in the cloud or on-premises. We believe that quantum computers will be able to solve many computational problems with greater speed and at a lower cost than today’s high-performance computers, thereby unlocking considerable value for the users of current HPC systems. Furthermore, we believe that quantum computing will be applicable to many use cases that today lie within the realm of the much larger cloud computing market.</w:t>
      </w:r>
    </w:p>
    <w:p>
      <w:pPr>
        <w:pStyle w:val="TextBody"/>
        <w:bidi w:val="0"/>
        <w:spacing w:before="0" w:after="12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Advanced scientific and technical computing applied in fields like drug discovery, materials science, computational fluid dynamics, machine learning, and quantitative finance have underpinned many of society’s greatest scientific and industrial advancements over the past half-century. Yet, despite the availability of the latest cloud and supercomputing capabilities, these and many other fields remain constrained by the intractable nature of their thorniest problems. Typically, the computational limits of classical computers are reached because of either the size or complexity of the required calculations. In certain cases, algorithms have been developed that in theory solve a particular computation problem; however, classical computers are limited in their ability to implement and process such algorithms.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decades, classical computing power increased exponentially as the number of transistors on a microchip were doubling about every two years, while the cost of computing simultaneously decreased significantly. Over the past ten years, this rate of progress in classical computing power has significantly slowed as physical limits on the miniaturization of transistors in nano-scale devices are being reached.</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Stages of Evolution of Quantum Computing Maturation</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market demand for our quantum computers will grow in phases that map to the increasing capabilities of our commercially available quantum computing systems similar to those of classical computer technology. With each new phase, we expect quantum computers to solve an ever-increasing breadth of high-impact commercial problems and to do so with greater speed and accuracy. Qubits do not need the latest semiconductor lithography node and, in fact, can be made using 1990’s era lithography.</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Quantum Advantage (“QA”)</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QA as the point at which quantum computers can solve a practical problem that would be physically impossible to solve on a classical computer. We believe that a quantum computer with over 1,000 qubits with a two-qubit gate fidelity of above 99.9% and gate speed of less than 50 nanoseconds is needed to achieve QA.</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achievement of QA, we believe a quantum computer would be suitable for many applications, including quantum machine learning, quantum simulation, and quantum optimization problems. If QA were to be demonstrated, we would expect a meaningful number of new potential clients to emerge, as the range and value of the problems that would be addressable by quantum computing systems would significantly increase.</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Large-Scale Fault Tolerant Quantum Computing (“LFTQC”)</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will consider the phase of LFTQC to begin if and when quantum computing systems are available with hundreds of logical qubits, which can be universally controlled and measured with substantially error-free operation through the full course of a quantum computation. It is currently believed in the quantum computing industry that this is likely to require systems with 10,000 to 1,000,000 physical qubits. We believe our multi-chip architecture provides a pathway to scale up to these large systems.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anticipate the beginning of the large-scale fault tolerant phase to be roughly a decade away. As quantum computing matures through this phase, systems would likely continue to grow in scale and performance, culminating in full-scale fault tolerance that operates using potentially thousands of effectively logical qubits. This ultimate goal of full-scale fault tolerance represents the largest commercial opportunity. </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Business Strategy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approach to developing and sustaining what we believe is a strong competitive advantage relies on a six-pronged strategy: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Develop superconducting gate-based quantum computers based on</w:t>
            </w:r>
            <w:r>
              <w:rPr>
                <w:caps w:val="false"/>
                <w:smallCaps w:val="false"/>
              </w:rPr>
              <w:t xml:space="preserve"> </w:t>
            </w:r>
            <w:r>
              <w:rPr>
                <w:rFonts w:ascii="Times New Roman;Times;serif" w:hAnsi="Times New Roman;Times;serif"/>
                <w:b/>
                <w:i/>
                <w:sz w:val="20"/>
              </w:rPr>
              <w:t xml:space="preserve">advantages in gate speeds and scalability. </w:t>
            </w:r>
            <w:r>
              <w:rPr>
                <w:rFonts w:ascii="Times New Roman;Times;serif" w:hAnsi="Times New Roman;Times;serif"/>
                <w:b w:val="false"/>
                <w:i w:val="false"/>
                <w:caps w:val="false"/>
                <w:smallCaps w:val="false"/>
                <w:sz w:val="20"/>
              </w:rPr>
              <w:t>We believe the superconducting modality of quantum computing offers advantages in scalability and gate speeds as opposed to other modalities. Based on publicly available information, superconducting quantum computers have gate speeds that are about 1,000 times faster than other modalities such as trapped ions and pure atoms. We believe fast gate speeds are important because they enable quantum computers to operate efficiently in a hybrid computing environment. We also believe that a superconducting modality utilizing a multi-chip architecture provides a defined pathway to scaling up to the large systems needed for LFTQC.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Create high-performance quantum computing systems through full-stack product development. </w:t>
            </w:r>
            <w:r>
              <w:rPr>
                <w:rFonts w:ascii="Times New Roman;Times;serif" w:hAnsi="Times New Roman;Times;serif"/>
                <w:b w:val="false"/>
                <w:i w:val="false"/>
                <w:caps w:val="false"/>
                <w:smallCaps w:val="false"/>
                <w:sz w:val="20"/>
              </w:rPr>
              <w:t>From the outset, we have approached the market opportunity with a strategy to build quantum computers, the superconducting processors that power them, and the software required to access and program these systems. We believe that vertical integration, from chip manufacturing through sales of QPUs and cloud delivery, unlocks the fastest and lowest risk path to broad commercialization and the largest, long-term market opportunity. This was underscored by our announcement of the industry’s first multi-chip quantum processor for scalable quantum computers, a capability realized through many innovations from Fab-1.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Utilize an open modular architecture that allows for integration of innovative solutions.</w:t>
            </w:r>
            <w:r>
              <w:rPr>
                <w:caps w:val="false"/>
                <w:smallCaps w:val="false"/>
              </w:rPr>
              <w:t xml:space="preserve"> </w:t>
            </w:r>
            <w:r>
              <w:rPr>
                <w:rFonts w:ascii="Times New Roman;Times;serif" w:hAnsi="Times New Roman;Times;serif"/>
                <w:b w:val="false"/>
                <w:i w:val="false"/>
                <w:caps w:val="false"/>
                <w:smallCaps w:val="false"/>
                <w:sz w:val="20"/>
              </w:rPr>
              <w:t xml:space="preserve">We have adopted an open modular architecture for our quantum computers that allows for integration of innovative solutions developed by third parties into our technology stack. We believe that customers value the flexibility provided by an open modular architecture and that our approach will provide us with an advantage over competitors who utilize a closed architecture.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Provide broad access to our quantum computers. </w:t>
            </w:r>
            <w:r>
              <w:rPr>
                <w:rFonts w:ascii="Times New Roman;Times;serif" w:hAnsi="Times New Roman;Times;serif"/>
                <w:b w:val="false"/>
                <w:i w:val="false"/>
                <w:caps w:val="false"/>
                <w:smallCaps w:val="false"/>
                <w:sz w:val="20"/>
              </w:rPr>
              <w:t xml:space="preserve">We sold our first QPU in 2023 and in December 2023 launched </w:t>
            </w:r>
            <w:r>
              <w:rPr>
                <w:rFonts w:ascii="Times New Roman;Times;serif" w:hAnsi="Times New Roman;Times;serif"/>
                <w:b w:val="false"/>
                <w:i w:val="false"/>
                <w:caps w:val="false"/>
                <w:smallCaps w:val="false"/>
                <w:sz w:val="20"/>
                <w:shd w:fill="FFFFFF" w:val="clear"/>
              </w:rPr>
              <w:t>Novera</w:t>
            </w:r>
            <w:r>
              <w:rPr>
                <w:caps w:val="false"/>
                <w:smallCaps w:val="false"/>
                <w:shd w:fill="FFFFFF" w:val="clear"/>
              </w:rPr>
              <w:t>™</w:t>
            </w:r>
            <w:r>
              <w:rPr>
                <w:rFonts w:ascii="Times New Roman;Times;serif" w:hAnsi="Times New Roman;Times;serif"/>
                <w:b w:val="false"/>
                <w:i w:val="false"/>
                <w:caps w:val="false"/>
                <w:smallCaps w:val="false"/>
                <w:sz w:val="16"/>
                <w:shd w:fill="FFFFFF" w:val="clear"/>
              </w:rPr>
              <w:t>,</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 xml:space="preserve">our first commercially available QPU, which features a 9-qubit chip with tunable couplers for fast two-qubit operations and a 5-qubit chip for testing single-qubit operations. In 2021, we began selling full-scale quantum computing systems, supporting national laboratories and quantum computing centers. </w:t>
            </w:r>
            <w:r>
              <w:rPr>
                <w:rFonts w:ascii="Times New Roman;Times;serif" w:hAnsi="Times New Roman;Times;serif"/>
                <w:b w:val="false"/>
                <w:i w:val="false"/>
                <w:caps w:val="false"/>
                <w:smallCaps w:val="false"/>
                <w:sz w:val="20"/>
              </w:rPr>
              <w:t>We have been providing cloud access to our quantum computers since 2017 and have since expanded the availability of our machines through distribution agreements with other solution providers, including Amazon Bracket among others. Cloud services efficiently simplify access to our quantum computers and allow for pricing that enables a broad range of scientific, commercial, and academic developers to readily participate in the development of quantum computing algorithms, applications and software development tools. Collectively, these cloud services provide a range of choices and capabilities designed to meet the diverse needs of large and small organizations alike.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Develop deep partnerships that accelerate the development and commercialization of quantum computing.</w:t>
            </w:r>
            <w:r>
              <w:rPr>
                <w:caps w:val="false"/>
                <w:smallCaps w:val="false"/>
              </w:rPr>
              <w:t xml:space="preserve"> </w:t>
            </w:r>
            <w:r>
              <w:rPr>
                <w:rFonts w:ascii="Times New Roman;Times;serif" w:hAnsi="Times New Roman;Times;serif"/>
                <w:b w:val="false"/>
                <w:i w:val="false"/>
                <w:caps w:val="false"/>
                <w:smallCaps w:val="false"/>
                <w:sz w:val="20"/>
              </w:rPr>
              <w:t>We have formed commercial partnerships with business and government entities that are designed to advance their mutual understanding of the opportunities, challenges, and solutions necessary for quantum computing to excel in specific real-world applications. Examples of these partnerships include our contracted relationships with DARPA, the DOE’s Fermi National Accelerator Laboratory (“Fermilab”) and AFRL. We believe these types of highly collaborative, multi-year relationships will yield specialized and proprietary market insights and technological advancements. We expect the number and scope of these types of partnerships to expand as the capabilities of our quantum computers continue to grow.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Advance our technology leadership position</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We have invested heavily in a world-class and multidisciplinary team of scientists, hardware and software engineers, system designers and algorithm and application developers to rapidly innovate, invent, engineer, and commercialize our quantum computing technologies. We have also developed numerous proprietary technologies required to create quantum computing chips, quantum computer systems, software and cloud-based services and we rigorously protect our unique intellectual property through a portfolio of 121 patents issued and 160 patents pending as of December 31, 2025. We intend to continue deeply investing in finding and fostering the talent required to remain at the forefront of quantum computing innovation, while protecting our growing base of intellectual property.</w:t>
            </w:r>
          </w:p>
        </w:tc>
      </w:tr>
    </w:tbl>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believe that we will be able to achieve our plans described above and elsewhere in this Annual Report on Form 10-K; however, we face various risks and uncertainties relating to our business that could cause actual results to differ materially from our expectations stated herein. This Annual Report on Form 10-K, including this Business Section, should be read in conjunction with the section entitled “Risk Factors” in Part I, Item 1A of this Annual Report on Form 10-K.</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Business Model &amp; Services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Currently, we generate the majority of our revenues from technology development contracts with various partners. We believe our longer-term business model will be more weighted towards QPU sales and recurring revenues generated from quantum computing systems made accessible via the cloud in the form of QCaaS and QCS services.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Rigetti Quantum Processing Units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Our QPUs contain fabricated silicon-based chips featuring superconducting qubits. These high-performance chips provide fast gate times, low latency conditional logic, and fast program execution times. Our QPUs are designed and fabricated at Fab-1, leveraging novel manufacturing methods to create state-of-the art superconducting qubits.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shd w:fill="FFFFFF" w:val="clear"/>
        </w:rPr>
        <w:t xml:space="preserve">Novera™, our first commercially available QPU, includes a 9-qubit chip that features tunable couplers for fast two-qubit operations and a 5-qubit chip for testing single-qubit operations. The Novera™ QPU is based on our fourth generation Ankaa-class architecture. We announced our most technically advanced QPU yet based on our proprietary chiplet-based architecture, the 36-qubit Cepheus-1-36Q system, </w:t>
      </w:r>
      <w:r>
        <w:rPr>
          <w:rFonts w:ascii="Times New Roman;Times;serif" w:hAnsi="Times New Roman;Times;serif"/>
          <w:sz w:val="20"/>
        </w:rPr>
        <w:t>which we believe is the industry’s largest multi-chip quantum computer. We have also released our 84-qubit Ankaa-3 quantum computer, which is available on Amazon Braket.</w:t>
      </w:r>
      <w:r>
        <w:rPr>
          <w:rFonts w:ascii="Times New Roman;Times;serif" w:hAnsi="Times New Roman;Times;serif"/>
          <w:sz w:val="20"/>
          <w:shd w:fill="FFFFFF" w:val="clear"/>
        </w:rPr>
        <w:t xml:space="preserve"> We intend to design and fabricate more advanced QPUs in the future with improved fidelities, faster gate speeds and higher qubit counts. We believe these anticipated improvements and advances in technology will hopefully lead to QA and LFTQC in the future.</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Quantum Computing as a Service (QCaaS)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sell access to our quantum computers through cloud-based services, commonly referred to as QCaaS. This approach enables us to serve a wide range of customers without the complexity and cost associated with shipping, operating and servicing complex and cryogenic computing equipment on customer premises.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Rigetti Quantum Cloud Services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Rigetti Quantum Cloud Services (“QCS”) is a proprietary platform to deliver high-performance quantum computing over the cloud. QCS features a hybrid quantum-classical computing environment that incorporates our quantum computers operating in tandem with cloud infrastructure. It provides support for a broad range of programming capabilities, the ability to integrate over public or private clouds, and high-speed connectivity to auxiliary classical computing resources.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product is designed to meet the needs of a diverse set of customers that all benefit from the high-performance nature of its core computational capabilities. Central to QCS are two very powerful sets of technologies developed by us, our QPUs, described above, and our quantum operating system, as described below:</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b/>
          <w:i/>
          <w:sz w:val="20"/>
        </w:rPr>
        <w:t>Quantum Operating System Software</w:t>
      </w:r>
      <w:r>
        <w:rPr>
          <w:rFonts w:ascii="Times New Roman;Times;serif" w:hAnsi="Times New Roman;Times;serif"/>
          <w:sz w:val="20"/>
        </w:rPr>
        <w:t xml:space="preserve">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QCS’s computing environment is powered by a distributed quantum operating system that natively supports both public and private cloud architectures.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operating system software includes a rich set of quantum application and software development tools designed to unlock the capabilities of the quantum computing ecosystem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Enabling customers to access our QPUs through a broad range of quantum application software, development frameworks and algorithm libraries;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software and algorithm developers with the performance and fine-grained control required to expedite a new era of computational breakthroughs;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Facilitating the implementation of high performance public and private clouds with ultra-low latency connectivity between classical hardware and our QPUs.</w:t>
            </w:r>
          </w:p>
        </w:tc>
      </w:tr>
    </w:tbl>
    <w:p>
      <w:pPr>
        <w:pStyle w:val="TextBody"/>
        <w:bidi w:val="0"/>
        <w:spacing w:lineRule="auto" w:line="328" w:before="0" w:after="0"/>
        <w:ind w:left="0" w:right="0" w:firstLine="630"/>
        <w:jc w:val="left"/>
        <w:rPr>
          <w:rFonts w:ascii="Times New Roman;Times;serif" w:hAnsi="Times New Roman;Times;serif"/>
          <w:b/>
          <w:i/>
          <w:sz w:val="20"/>
        </w:rPr>
      </w:pPr>
      <w:r>
        <w:rPr>
          <w:rFonts w:ascii="Times New Roman;Times;serif" w:hAnsi="Times New Roman;Times;serif"/>
          <w:b/>
          <w:i/>
          <w:sz w:val="20"/>
        </w:rPr>
        <w:t>QCS Outpost</w:t>
      </w:r>
    </w:p>
    <w:p>
      <w:pPr>
        <w:pStyle w:val="TextBody"/>
        <w:bidi w:val="0"/>
        <w:spacing w:lineRule="auto" w:line="328" w:before="0" w:after="0"/>
        <w:ind w:left="720" w:right="0" w:hanging="0"/>
        <w:jc w:val="left"/>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Customers who purchase an on-premises quantum system from us also have access to QCS Outpost, our distributed software environment for operating, administering, and monitoring the overall system. In addition, QCS Outpost includes utilities for QPU characterization and calibration, user access management, quantum program compilation, scheduling, and execution.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QCS Outpost also serves as the foundation for integrating with other systems, in particular high-performance computing systems, and can be accessed through a variety of tools and web-based services as well as through software development kits (SDKs) that support Python, C, and Rust. </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Direct QCaaS Distribution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provide access on a commercial basis to our quantum computers over QCS, directly engaging with enterprises and government organizations making significant investments in quantum computing research, development, and readiness.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believe many of these customers will have performance, customization and integration requirements best met by our ability to engage deeply and directly with these kinds of clients. We believe our full-stack product development approach, and strategy of forging collaborative customer partnerships positions us to be a highly valued and long-term provider of quantum computing services to these organizations.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To date, these direct customer relationships have been with customers using QCS for general quantum computing research, algorithm development, algorithm benchmarking and software development activities. They represent a cross section of industries, government agencies and partners in the quantum computing ecosystem.</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Indirect QCaaS Distribution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There are a large and growing number of providers of classical computing services over the cloud. This creates an opportunity for us to efficiently reach a broad set of end-users, indirectly, by partnering with cloud computing service providers, who in turn sell access to our quantum computer systems to their own customers.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indirect distribution model is enabled by the same QCS platform used in the direct distribution model, allowing us to address the needs of customers in different market segments. In this instance, we can capitalize on our full-stack product development capabilities to meet the unique requirements of cloud-service providers. For example, one cloud provider or HPC operator might need deep and high-performance integration with a specific machine learning service they provide, while another might desire a fast and easy way for small customers to be introduced to quantum computing. We have distribution agreements with Amazon’s Braket service and Microsoft’s Azure Quantum Service, providing access to our quantum computing systems to AWS and Azure customers.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Key Technology Development Partnerships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enter into multi-year development partnerships with organizations that have specialized technical expertise and a strong interest in advancing their understanding and application of quantum computing technology. These partnerships can provide us with deep insight into the unique requirements of market leaders in key industries; advance our engineering and product development capabilities; and lead to the creation of new hardware and software products.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Examples of our development partnerships include contracts with: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Fermilab and the U.S. DOE’s Superconducting Quantum Materials and Systems Center (“SQMS”), to advance the development of scalable and high performance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AFRL to harness our fabrication capabilities for quantum networking hardware research and development, and to advance superconducting quantum computing networking;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DARPA and National Aeronautics and Space Administration (“NASA”) to create quantum computing systems, software and algorithms for optimization applications;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Innovate UK, as part of the British government’s effort to accelerate commercialization of quantum computing in the United Kingdom and to pursue practical applications in machine learning, molecular simulation and financial optimization, and advance quantum error correction capabilities for superconducting quantum computers; and</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Quanta for </w:t>
            </w:r>
            <w:r>
              <w:rPr>
                <w:rFonts w:ascii="Times New Roman;Times;serif" w:hAnsi="Times New Roman;Times;serif"/>
                <w:b w:val="false"/>
                <w:i w:val="false"/>
                <w:caps w:val="false"/>
                <w:smallCaps w:val="false"/>
                <w:sz w:val="20"/>
                <w:shd w:fill="FFFFFF" w:val="clear"/>
              </w:rPr>
              <w:t>control systems, dilution refrigerators, flexible cables, and select other non-QPU components</w:t>
            </w:r>
            <w:r>
              <w:rPr>
                <w:rFonts w:ascii="Times New Roman;Times;serif" w:hAnsi="Times New Roman;Times;serif"/>
                <w:b w:val="false"/>
                <w:i w:val="false"/>
                <w:caps w:val="false"/>
                <w:smallCaps w:val="false"/>
                <w:sz w:val="20"/>
              </w:rPr>
              <w:t>.</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expect to add new development partnerships as the capabilities of our quantum computer systems grow and the market’s readiness and interest in quantum computing continues to mature.</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Rigetti Foundry Services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Rigetti Foundry Services leverages the company’s U.S. based in-house wafer fabrication facility (“Fab-1”) to deliver superconducting quantum chips to advance and accelerate quantum information science and technology research and development efforts. Customers include researchers spanning academia, defense laboratories, and national laboratories.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Professional Services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certain engagements, we provide professional services that enhance and advance our customers’ ability to consume our core products and services. Our engineers can augment a client’s internal capabilities with expertise in algorithm development, benchmarking, quantum application programming and software development. These fee-based services can enhance our customer’s readiness for quantum, accelerate our customer’s timelines for meaningful discoveries, and increase our depth of knowledge about key application domains and customer requirements for quantum computing in different industries.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Key Applications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Quantum computing is expected to drive value across many different applications and industries. We believe that many of the principal benefits in these areas will spring from four different types of computational problems that are particularly well suited to quantum computing: optimization, machine learning, simulation and quantum mechanical system simulation.</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Optimization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Discrete optimization, also known as combinatorial optimization, focuses on problems where variables are restricted to specific, discrete values (e.g., 0 or 1). Unlike continuous variables, which can assume any value, discrete variables are constrained. The primary goal of this field is to determine the optimal assignment of values to these discrete variables to solve a given problem. This is typically achieved by formulating the problem around an objective function—a mathematical construct that one seeks to either minimize or maximize through the selection of the variables' values.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Such optimization problems are ubiquitous, spanning areas like logistics, routing, manufacturing, scheduling, telecommunication, energy, chemistry, biology, physics, finance, and basic science. For example, in financial services, optimization can be applied to portfolio management, algorithmic trading, and risk assessment. In telecommunications, optimization can be applied to call routing and network capacity planning. In manufacturing, optimization can help with workforce, warehouses, and supply chain planning. In transport, there are logistics applications like fleet routing, driver scheduling, and package loading and delivery that can benefit from further optimization. In energy, optimization can be applied to effectively deliver power distribution over the grid. In biology, optimization can be applied to accelerate or improve drug discovery processes.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Optimization problems can be computationally intensive, and the run-time required for classical solvers to identify an optimal solution increases exponentially with the number of variables. For problems of meaningful scale, obtaining a provably optimal solution is effectively infeasible, necessitating the use of estimated or approximate solutions. As a result, optimization in practice focuses on identifying the best attainable solution within practical run-time limitations, which are shaped by industry-specific factors. Because even marginal improvements in solution quality can translate into meaningful gains in areas such as cost, timing, or resource allocation, there is demand for the development of more efficient and accurate optimization methods.</w:t>
      </w:r>
    </w:p>
    <w:p>
      <w:pPr>
        <w:pStyle w:val="TextBody"/>
        <w:bidi w:val="0"/>
        <w:spacing w:before="0" w:after="120"/>
        <w:ind w:left="0" w:right="0" w:firstLine="547"/>
        <w:jc w:val="both"/>
        <w:rPr>
          <w:rFonts w:ascii="Times New Roman;Times;serif" w:hAnsi="Times New Roman;Times;serif"/>
          <w:sz w:val="20"/>
        </w:rPr>
      </w:pPr>
      <w:bookmarkStart w:id="51" w:name="_headingh.hrbufp6uvl4b"/>
      <w:bookmarkEnd w:id="51"/>
      <w:r>
        <w:rPr>
          <w:rFonts w:ascii="Times New Roman;Times;serif" w:hAnsi="Times New Roman;Times;serif"/>
          <w:sz w:val="20"/>
        </w:rPr>
        <w:t>Quantum computers introduce a fundamentally different computational model that extends beyond classical computer systems. It leverages distinctive mechanisms—such as entanglement, superposition, and interference—to enable new algorithmic strategies for addressing complex optimization problems. These mechanisms underpin a range of quantum algorithmic frameworks, including quantum adiabaticity, variational quantum circuits, and quantum interferometry, among others, which may be applied in optimization contexts. While certain quantum optimization algorithms are designed to offer mathematical performance guarantees, others are developed as heuristics. Whether quantum optimization algorithms can outperform current state-of-the-art classical methods in terms of accuracy or run-time remains an open question.</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conducted research in the field of quantum optimization for several years, pioneering original work and collaborating with experts to develop, understand, benchmark, and apply quantum optimization algorithms. We have examined the role of entanglement in quantum optimization, including its tradeoff with hardware noise, and have identified instances in which quantum optimization exhibits capabilities that exceed those of classical approaches. We have invented several quantum algorithms, and in 2025 we unified these techniques under the umbrella of quantum preconditioning. Quantum preconditioning is a quantum-boosted heuristic algorithm, which uses the quantum computer to modify a problem in a manner that makes it more readily solvable on a classical solver. We investigated the potential for QA on standard benchmark problems as well as an energy-grid optimization problem, targeting the QA window described above. We have also investigated other approaches to optimization, such as a qubit-efficient solver, a quantum-based multilevel approach, and quantum algorithms with co-designed circuits or logical gates. In addition to numerous peer-reviewed publications in leading journals, our works have been presented at a number of conferences nationally and internationally.</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expertise in quantum optimization has been recognized through our participation in U.S. government programs such as DOD’s DARPA ONISQ (2020-2024), DOD’s DARPA IMPAQT (2023-2024), and DOE’s National Quantum Initiative with the superconducting quantum materials and systems center.</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Machine Learning</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Machine learning is a well-established computer science field that is already having a transformative impact on a myriad of markets today. At the core of any machine learning algorithm is a series of computations, typically linear algebra, applied to vast amounts of data that can reliably classify objects in pictures and make data-driven forecasts, for example. Today, cloud computing and HPC have been the predominant sources of the computational capabilities required to create and deploy effective machine learning algorithms, models and data analysis applications.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color w:val="1F1F1F"/>
          <w:sz w:val="20"/>
          <w:shd w:fill="FFFFFF" w:val="clear"/>
        </w:rPr>
        <w:t xml:space="preserve">When faced with increasing </w:t>
      </w:r>
      <w:r>
        <w:rPr>
          <w:rFonts w:ascii="Times New Roman;Times;serif" w:hAnsi="Times New Roman;Times;serif"/>
          <w:sz w:val="20"/>
        </w:rPr>
        <w:t>amounts</w:t>
      </w:r>
      <w:r>
        <w:rPr>
          <w:rFonts w:ascii="Times New Roman;Times;serif" w:hAnsi="Times New Roman;Times;serif"/>
          <w:color w:val="1F1F1F"/>
          <w:sz w:val="20"/>
          <w:shd w:fill="FFFFFF" w:val="clear"/>
        </w:rPr>
        <w:t xml:space="preserve"> of data and while trying to grasp more complex patterns, the energy consumption of HPC-powered machine learning systems may become exorbitant due to computational and cooling demands.</w:t>
      </w:r>
      <w:r>
        <w:rPr>
          <w:rFonts w:ascii="Times New Roman;Times;serif" w:hAnsi="Times New Roman;Times;serif"/>
          <w:sz w:val="20"/>
        </w:rPr>
        <w:t xml:space="preserve"> For that reason, computer scientists have looked toward the promise of higher computational efficiency of quantum computers, and the development of quantum machine learning (“QML”) algorithms, as a means of both accelerating current machine learning applications and creating new approaches that are currently impossible with classical computers and may lead to more efficient and accurate models.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Given these factors, the emerging field of QML is the focus of much of the current quantum computing research. We already see emerging machine learning algorithms that take advantage of the unique capabilities of quantum computing to tackle the complex linear algebra problems at the heart of many machine learning tasks. In fact, recent research has emerged demonstrating that quantum algorithms could work better than classical ones for critical machine learning classification problems. As algorithmic research continues to progress, some of these quantum algorithms are improving to the point where their benefits may be realized on smaller scale quantum computers.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Research has also demonstrated the promising application of QML, for Generative Adversarial Networks, (“GANs”), a deep learning technique where a neural network is used to generate highly accurate and new examples that could plausibly have come from an original dataset. The potential utilization of quantum computing for GANs alone is far-reaching and could be impactful in large markets like:</w:t>
      </w:r>
    </w:p>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 for medical image analysis used to detect and categorize tumors and predict their growth;</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discovery – for generating molecular structure candidates for medicines to target or cure diseases;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and banking – for creating models that can detect financial fraud based upon predictive patterns rather than rules determined by previously observed behaviors; and</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Defense and intelligence – for reliably enhancing low resolution satellite imagery into high resolution photography.</w:t>
            </w:r>
          </w:p>
        </w:tc>
      </w:tr>
    </w:tbl>
    <w:p>
      <w:pPr>
        <w:pStyle w:val="TextBody"/>
        <w:bidi w:val="0"/>
        <w:spacing w:before="0" w:after="120"/>
        <w:ind w:left="547" w:right="0" w:hanging="0"/>
        <w:jc w:val="both"/>
        <w:rPr>
          <w:rFonts w:ascii="Times New Roman;Times;serif" w:hAnsi="Times New Roman;Times;serif"/>
          <w:sz w:val="20"/>
        </w:rPr>
      </w:pPr>
      <w:r>
        <w:rPr>
          <w:rFonts w:ascii="Times New Roman;Times;serif" w:hAnsi="Times New Roman;Times;serif"/>
          <w:sz w:val="20"/>
        </w:rPr>
        <w:t>The following are examples of our work related to machine learning:</w:t>
      </w:r>
    </w:p>
    <w:p>
      <w:pPr>
        <w:pStyle w:val="TextBody"/>
        <w:pBd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November 2023, we were awarded an Innovate UK grant as part of the Feasibility Studies in Quantum Computing Applications competition. Joining us in this work were Amazon Web Services (AWS), Imperial College London, and Standard Chartered. The consortium aimed to use quantum computing to improve current classical machine learning techniques used by financial institutions to analyze complex data streams. Financial institutions need to continuously interpret complex data streams to extract information necessary for providing accurate credit risk evaluation, managing market-making services, and predicting emissions in the context of green finance, among other things. Classical machine learning techniques used to assist and provide insights to these services have limitations as these data streams are, in general, complex. Combining quantum computing with classical machine learning methodology could offer more powerful resources for processing these data streams, given the potential for quantum computers to process some types of information more efficiently than with classical resources alone.</w:t>
      </w:r>
    </w:p>
    <w:p>
      <w:pPr>
        <w:pStyle w:val="TextBody"/>
        <w:shd w:fill="FFFFFF" w:val="clear"/>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October 2023, we were awarded a separate Innovate UK grant as part of the Feasibility Studies in Quantum Computing Applications competition. Joining us in this work were HSBC, the Quantum Software Lab (QSL) based at the University of Edinburgh, and the National Quantum Computing Centre (NQCC). Together, the consortium aimed to enhance existing anti-money laundering techniques by using quantum machine learning techniques with the goal of improving the performance of current-state-of-the-art machine learning algorithms. In this work, the consortium aimed to extend current anomaly detection quantum machine learning models to detect anomalous behavior indicating money laundering.</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Simulation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Classical computers have been used for decades in critical applications that model real-world processes or systems in order to study their behaviors over time. These computer-based simulations have had an enormous impact on fields like pharmaceuticals, material science, finance, logistics, aerospace, defense and computer-aided design and engineering. Simulations are essentially mathematical models of a system and hence are logical candidates to benefit from quantum computing. Many important systems, such as molecular structures, cannot be accurately modeled due to the level of complexity associated with representing the properties and behaviors of the key elemental components.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believe that quantum computers possess inherent advantages that will allow them to accurately model systems with large numbers of variables that are far outside the reach of classical computers today.</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Quantum Mechanical System Simulations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essential building blocks of nature, whose understanding has been the driver of many breakthrough innovations in pharmaceuticals, healthcare, energy, and material science, are the microscopic systems of molecules, atoms and subatomic particles like electrons and protons. The properties and behaviors of these quantum mechanical systems can be expressed in mathematical rules that have been verified experimentally with high degrees of accuracy, but the complexity associated with such calculations, and their applicability to existing and potential molecular and atomic structures, has proven to be outside the realm of capability for today’s classical computers.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Scientists have not found a way to rapidly and accurately model most quantum mechanical systems on a computational device that itself is not quantum in nature. Conversely, we believe quantum computers have the potential to efficiently model the relevant set of potential interactions between quantum mechanical elements because they natively reflect the essential properties of quantum systems and behaviors like entanglement, superposition and wave functions.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Drug discovery is among the fields where research into the applicability of quantum computing for simulating quantum mechanical systems is producing considerable enthusiasm. With the growing high costs to develop new drugs, a quantum-based approach that could help pharmaceutical companies evaluate thousands of potential compounds for a targeted therapeutic, and avoid failed outcomes in costly clinical trials, would have an enormously positive economic and societal effect. Other high potential impact areas for quantum mechanical simulations include the design of chemical catalysts, computational fluid dynamics in aerospace engineering, and nuclear fusion for clean energy.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Our Technology</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Introduction to Quantum Computing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Quantum computers encode and process data using a new kind of information storing electrical circuit called a quantum bit, or qubit. By leveraging the quantum mechanical principle of superposition, qubits can represent complex mathematical combinations of </w:t>
      </w:r>
      <w:r>
        <w:rPr>
          <w:rFonts w:ascii="Times New Roman;Times;serif" w:hAnsi="Times New Roman;Times;serif"/>
          <w:i/>
          <w:sz w:val="20"/>
        </w:rPr>
        <w:t>both</w:t>
      </w:r>
      <w:r>
        <w:rPr>
          <w:rFonts w:ascii="Times New Roman;Times;serif" w:hAnsi="Times New Roman;Times;serif"/>
          <w:sz w:val="20"/>
        </w:rPr>
        <w:t xml:space="preserve"> zero and one at the same time. In contrast, classical computers are composed of transistors, electronic devices that hold binary zero or one states, therefore requiring billions of transistors in order to execute complex algorithms. This qubit property of superposition creates unique capabilities. By enabling qubits to encode more information than classical bits, it allows for a quantum computer’s power to scale exponentially, rather than linearly as with traditional computers based on transistors. Additionally, it makes it possible to construct algorithms that can evaluate all possible solutions to a problem simultaneously, rather than sequentially as is the case with classical computing. Furthermore, making qubits does not require expensive, continually shrinking lithography in order to improve performance, as transistor-based computers do. Qubits can be made using trailing edge semiconductor tools, so computer performance is decoupled from chip manufacturing cost.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These properties enable quantum computers to excel at solving problems with a large number of variables, highly complex and numerous solutions, or strong correlations or interactions. Many of these problems are currently intractable due to the scaling limits of classical computers and thus represent opportunities for computational advancement across many industries, including finance, pharma and biotechnology, energy, logistics, aerospace, defense and intelligence, and basic research and development.</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How Quantum Computers Compute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To execute a quantum computation, classical data, which represents the problem to be solved and the algorithm, is translated into control sequences, or quantum logic gates, and applied to the qubits in the quantum computer. These sequences are called quantum circuits. Once the circuit has been executed on the quantum computer, the qubits are measured, resulting in classical data flowing out of the quantum computer and back into classical memory. The level of performance of a quantum computer in executing these circuits and solving computational problems is dictated by many factors. These include the </w:t>
      </w:r>
      <w:r>
        <w:rPr>
          <w:rFonts w:ascii="Times New Roman;Times;serif" w:hAnsi="Times New Roman;Times;serif"/>
          <w:i/>
          <w:sz w:val="20"/>
        </w:rPr>
        <w:t>scale</w:t>
      </w:r>
      <w:r>
        <w:rPr>
          <w:rFonts w:ascii="Times New Roman;Times;serif" w:hAnsi="Times New Roman;Times;serif"/>
          <w:sz w:val="20"/>
        </w:rPr>
        <w:t xml:space="preserve">, or number of qubits available in the quantum processor to encode the problem and algorithm, with more qubits enabling exponentially more complex and challenging problems to be represented; the </w:t>
      </w:r>
      <w:r>
        <w:rPr>
          <w:rFonts w:ascii="Times New Roman;Times;serif" w:hAnsi="Times New Roman;Times;serif"/>
          <w:i/>
          <w:sz w:val="20"/>
        </w:rPr>
        <w:t>fidelity</w:t>
      </w:r>
      <w:r>
        <w:rPr>
          <w:rFonts w:ascii="Times New Roman;Times;serif" w:hAnsi="Times New Roman;Times;serif"/>
          <w:sz w:val="20"/>
        </w:rPr>
        <w:t xml:space="preserve"> of the quantum logic gates from which circuits are composed, which determines how often errors occur when the circuit is executed; the </w:t>
      </w:r>
      <w:r>
        <w:rPr>
          <w:rFonts w:ascii="Times New Roman;Times;serif" w:hAnsi="Times New Roman;Times;serif"/>
          <w:i/>
          <w:sz w:val="20"/>
        </w:rPr>
        <w:t>gate speed</w:t>
      </w:r>
      <w:r>
        <w:rPr>
          <w:rFonts w:ascii="Times New Roman;Times;serif" w:hAnsi="Times New Roman;Times;serif"/>
          <w:sz w:val="20"/>
        </w:rPr>
        <w:t xml:space="preserve">, which shapes the time taken to execute a given circuit; the </w:t>
      </w:r>
      <w:r>
        <w:rPr>
          <w:rFonts w:ascii="Times New Roman;Times;serif" w:hAnsi="Times New Roman;Times;serif"/>
          <w:i/>
          <w:sz w:val="20"/>
        </w:rPr>
        <w:t>co-processing</w:t>
      </w:r>
      <w:r>
        <w:rPr>
          <w:rFonts w:ascii="Times New Roman;Times;serif" w:hAnsi="Times New Roman;Times;serif"/>
          <w:sz w:val="20"/>
        </w:rPr>
        <w:t xml:space="preserve"> technology and integration, which determines the rate at which classical data representing the problem and algorithm can be loaded into the quantum computer, and the rate at which it flows back out upon completion of the circuit execution; and </w:t>
      </w:r>
      <w:r>
        <w:rPr>
          <w:rFonts w:ascii="Times New Roman;Times;serif" w:hAnsi="Times New Roman;Times;serif"/>
          <w:i/>
          <w:sz w:val="20"/>
        </w:rPr>
        <w:t>re-programmability</w:t>
      </w:r>
      <w:r>
        <w:rPr>
          <w:rFonts w:ascii="Times New Roman;Times;serif" w:hAnsi="Times New Roman;Times;serif"/>
          <w:sz w:val="20"/>
        </w:rPr>
        <w:t>, or the speed with which the specific quantum circuit being executed may be updated to move on to the next step in a computational process.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Several candidate physical systems, or modalities, have been proposed or are being pursued, to form the basic physical qubits in quantum computers. These include, first and foremost, the superconducting qubit technology leveraged by us. They also include approaches based on trapped ions, trapped neutral atoms, and photonics. There is a varying degree of promise, potential and risk in building machines capable of meeting the above requirements for broad commercial utility. As outlined below, it is widely believed that superconducting qubit technology is the most mature, the most advanced, and most likely to ultimately lead to broad commercial success.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Requirements for Practical Workloads: Path to Quantum Advantage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Unlocking the broad commercial market for quantum computing calls for quantum computers that are able to solve practical commercial problems better, faster, or cheaper than the best alternative classical computing solution, including even the most powerful supercomputers. This inflection point is referred to as </w:t>
      </w:r>
      <w:r>
        <w:rPr>
          <w:rFonts w:ascii="Times New Roman;Times;serif" w:hAnsi="Times New Roman;Times;serif"/>
          <w:i/>
          <w:sz w:val="20"/>
        </w:rPr>
        <w:t>quantum advantage</w:t>
      </w:r>
      <w:r>
        <w:rPr>
          <w:rFonts w:ascii="Times New Roman;Times;serif" w:hAnsi="Times New Roman;Times;serif"/>
          <w:sz w:val="20"/>
        </w:rPr>
        <w:t xml:space="preserve">. Achieving quantum advantage imposes requirements on the quantum computer itself, the most important of which relate to the above performance factors of </w:t>
      </w:r>
      <w:r>
        <w:rPr>
          <w:rFonts w:ascii="Times New Roman;Times;serif" w:hAnsi="Times New Roman;Times;serif"/>
          <w:i/>
          <w:sz w:val="20"/>
        </w:rPr>
        <w:t>scale</w:t>
      </w:r>
      <w:r>
        <w:rPr>
          <w:rFonts w:ascii="Times New Roman;Times;serif" w:hAnsi="Times New Roman;Times;serif"/>
          <w:sz w:val="20"/>
        </w:rPr>
        <w:t xml:space="preserve">, </w:t>
      </w:r>
      <w:r>
        <w:rPr>
          <w:rFonts w:ascii="Times New Roman;Times;serif" w:hAnsi="Times New Roman;Times;serif"/>
          <w:i/>
          <w:sz w:val="20"/>
        </w:rPr>
        <w:t>fidelity</w:t>
      </w:r>
      <w:r>
        <w:rPr>
          <w:rFonts w:ascii="Times New Roman;Times;serif" w:hAnsi="Times New Roman;Times;serif"/>
          <w:sz w:val="20"/>
        </w:rPr>
        <w:t xml:space="preserve">, </w:t>
      </w:r>
      <w:r>
        <w:rPr>
          <w:rFonts w:ascii="Times New Roman;Times;serif" w:hAnsi="Times New Roman;Times;serif"/>
          <w:i/>
          <w:sz w:val="20"/>
        </w:rPr>
        <w:t>speed</w:t>
      </w:r>
      <w:r>
        <w:rPr>
          <w:rFonts w:ascii="Times New Roman;Times;serif" w:hAnsi="Times New Roman;Times;serif"/>
          <w:sz w:val="20"/>
        </w:rPr>
        <w:t xml:space="preserve">, </w:t>
      </w:r>
      <w:r>
        <w:rPr>
          <w:rFonts w:ascii="Times New Roman;Times;serif" w:hAnsi="Times New Roman;Times;serif"/>
          <w:i/>
          <w:sz w:val="20"/>
        </w:rPr>
        <w:t>co-processing</w:t>
      </w:r>
      <w:r>
        <w:rPr>
          <w:rFonts w:ascii="Times New Roman;Times;serif" w:hAnsi="Times New Roman;Times;serif"/>
          <w:sz w:val="20"/>
        </w:rPr>
        <w:t xml:space="preserve">, and </w:t>
      </w:r>
      <w:r>
        <w:rPr>
          <w:rFonts w:ascii="Times New Roman;Times;serif" w:hAnsi="Times New Roman;Times;serif"/>
          <w:i/>
          <w:sz w:val="20"/>
        </w:rPr>
        <w:t>re-programmability</w:t>
      </w:r>
      <w:r>
        <w:rPr>
          <w:rFonts w:ascii="Times New Roman;Times;serif" w:hAnsi="Times New Roman;Times;serif"/>
          <w:sz w:val="20"/>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i/>
          <w:sz w:val="20"/>
        </w:rPr>
        <w:t>Scale</w:t>
      </w:r>
      <w:r>
        <w:rPr>
          <w:rFonts w:ascii="Times New Roman;Times;serif" w:hAnsi="Times New Roman;Times;serif"/>
          <w:sz w:val="20"/>
        </w:rPr>
        <w:t>. In order for quantum computers to solve problems out of reach for classical computers, such as modeling molecules with many electrons in order to enhance drug discovery, they require a significant number of high-performing qubits, likely starting at around 1,000 qubits.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i/>
          <w:sz w:val="20"/>
        </w:rPr>
        <w:t>Fidelity</w:t>
      </w:r>
      <w:r>
        <w:rPr>
          <w:rFonts w:ascii="Times New Roman;Times;serif" w:hAnsi="Times New Roman;Times;serif"/>
          <w:sz w:val="20"/>
        </w:rPr>
        <w:t>. A gate fidelity estimates the reliability of an operation. For instance, a two-qubit gate with a gate fidelity of 99% means that 99 out of 100 times the operation will provide the correct result. Errors can be caused by imperfect control, natural manufacturing variations, finite qubit lifetimes (coherence) or other sources. Overall, high fidelities of close to 99.9% are likely necessary to enable performance benefits on practical workloads. An error per operation is defined as (1-fidelity).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i/>
          <w:sz w:val="20"/>
        </w:rPr>
        <w:t>Speed</w:t>
      </w:r>
      <w:r>
        <w:rPr>
          <w:rFonts w:ascii="Times New Roman;Times;serif" w:hAnsi="Times New Roman;Times;serif"/>
          <w:sz w:val="20"/>
        </w:rPr>
        <w:t>. Speed is a crucial metric for all types of computers, both quantum and classical. Since quantum algorithms are ultimately composed of logic gates applied sequentially to qubits in a quantum computer, the speed with which these gates can be executed translates directly into processing speed and workload throughput. Therefore, faster quantum processing speeds can result in a larger number of addressable problems and larger market opportunity, as well as a more direct path to outperforming classical alternatives and a higher intrinsic revenue potential.</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i/>
          <w:sz w:val="20"/>
        </w:rPr>
        <w:t>Co-processing</w:t>
      </w:r>
      <w:r>
        <w:rPr>
          <w:rFonts w:ascii="Times New Roman;Times;serif" w:hAnsi="Times New Roman;Times;serif"/>
          <w:sz w:val="20"/>
        </w:rPr>
        <w:t>. Hybrid architectures that leverage quantum computers as co-processors, pioneered by us since the company’s inception, have now become widely adopted in the quantum computing industry. Quantum co-processing delivered over the cloud, such as our QCS platform, is the predominant framework for building and using quantum computers today. In this paradigm, quantum processors are tightly integrated with classical computing systems and infrastructure to ensure the rate of data flowing in and out of the quantum processor can meet the needs of commercial applications. Effective implementation of co-processing hinges on both the intrinsic technological features of the specific qubit technology, as well as product innovations and system architectures aimed to prioritize this capability. For example, just as in classical computing architecture, fast gate speeds, coupled with a network architecture that achieves low network latency for data flow, are some of the requirements for high performance co-processing.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i/>
          <w:sz w:val="20"/>
        </w:rPr>
        <w:t>Reprogrammability</w:t>
      </w:r>
      <w:r>
        <w:rPr>
          <w:rFonts w:ascii="Times New Roman;Times;serif" w:hAnsi="Times New Roman;Times;serif"/>
          <w:sz w:val="20"/>
        </w:rPr>
        <w:t>. Reprogrammable quantum computers are general purpose machines that should be able to run any quantum algorithm, provided the machine has the scale, fidelity, and other attributes needed to support the particular problem instance. While gate-model quantum computers, such as those made by us, IBM, IonQ and Google, are typically reprogrammable, different technology approaches and architecture choices lead to varying constraints in applying this capability in a practical setting. Specifically, the ability to dynamically reprogram the quantum processor during the execution of a quantum circuit or within the coherence time of its qubits is of particular importance for many anticipated applications and use cases.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While research and development funding and investments into quantum computing have accelerated, we believe that long-term commercial demand for quantum computing systems hinges on the ability to meet the above criteria for running practical workloads. Multiple quantum hardware modalities are being pursued. Among these, we believe the superconducting qubit is the only such modality that has, to date, demonstrated viability across all these requisite metrics.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Our Superconducting Quantum Processors</w:t>
      </w:r>
    </w:p>
    <w:p>
      <w:pPr>
        <w:pStyle w:val="TextBody"/>
        <w:bidi w:val="0"/>
        <w:spacing w:before="0" w:after="120"/>
        <w:ind w:left="630" w:right="0" w:hanging="0"/>
        <w:jc w:val="both"/>
        <w:rPr>
          <w:rFonts w:ascii="Times New Roman;Times;serif" w:hAnsi="Times New Roman;Times;serif"/>
          <w:i/>
          <w:sz w:val="20"/>
        </w:rPr>
      </w:pPr>
      <w:r>
        <w:rPr>
          <w:rFonts w:ascii="Times New Roman;Times;serif" w:hAnsi="Times New Roman;Times;serif"/>
          <w:i/>
          <w:sz w:val="20"/>
        </w:rPr>
        <w:t>Introduction to Superconducting Qubits</w:t>
      </w:r>
    </w:p>
    <w:p>
      <w:pPr>
        <w:pStyle w:val="TextBody"/>
        <w:bidi w:val="0"/>
        <w:spacing w:before="0" w:after="120"/>
        <w:ind w:left="0" w:right="0" w:firstLine="630"/>
        <w:jc w:val="both"/>
        <w:rPr>
          <w:rFonts w:ascii="Times New Roman;Times;serif" w:hAnsi="Times New Roman;Times;serif"/>
          <w:sz w:val="20"/>
        </w:rPr>
      </w:pPr>
      <w:r>
        <w:rPr>
          <w:rFonts w:ascii="Times New Roman;Times;serif" w:hAnsi="Times New Roman;Times;serif"/>
          <w:sz w:val="20"/>
        </w:rPr>
        <w:t>We build and operate quantum computers based on superconducting qubits. Superconducting qubits are silicon-based electronic devices that encode information in quantum states associated with currents and voltages. Superconducting qubits benefit from the fact that their basic properties can be engineered through well-established semiconductor industry design and manufacturing techniques. This enables chip design and architecture tradeoffs to be made to overcome various practical constraints in building commercial quantum computing systems. They are also improving along these key metrics faster than approaches based on other qubit modalities, such as ion traps, photonics and neutral atoms.</w:t>
      </w:r>
    </w:p>
    <w:p>
      <w:pPr>
        <w:pStyle w:val="TextBody"/>
        <w:bidi w:val="0"/>
        <w:spacing w:before="0" w:after="120"/>
        <w:ind w:left="0" w:right="0" w:firstLine="630"/>
        <w:jc w:val="both"/>
        <w:rPr>
          <w:rFonts w:ascii="Times New Roman;Times;serif" w:hAnsi="Times New Roman;Times;serif"/>
          <w:sz w:val="20"/>
        </w:rPr>
      </w:pPr>
      <w:r>
        <w:rPr>
          <w:rFonts w:ascii="Times New Roman;Times;serif" w:hAnsi="Times New Roman;Times;serif"/>
          <w:sz w:val="20"/>
        </w:rPr>
        <w:t>As an example, in June 2011, the largest algorithms demonstrated on programmable, gate model quantum computers across these modalities were in the range of a few qubits. In the ensuing period from 2012 to 2025, superconducting systems have successfully scaled up to over 100 qubits, including demonstrations of quantum supremacy. This rate of scaling has easily outpaced other approaches. We believe this leadership results in part from an intrinsic advantage: superconducting qubits have many inherent similarities to traditional silicon-based chips. As a result, progress in superconducting quantum computers may be achieved by leveraging the existing capabilities – expertise, technologies, workforces, and supply chains, for example – of the semiconductor manufacturing industry, rather than needing to establish such capabilities anew.</w:t>
      </w:r>
    </w:p>
    <w:p>
      <w:pPr>
        <w:pStyle w:val="TextBody"/>
        <w:bidi w:val="0"/>
        <w:spacing w:before="0" w:after="120"/>
        <w:ind w:left="0" w:right="0" w:firstLine="540"/>
        <w:jc w:val="both"/>
        <w:rPr>
          <w:rFonts w:ascii="Times New Roman;Times;serif" w:hAnsi="Times New Roman;Times;serif"/>
          <w:b w:val="false"/>
          <w:i/>
          <w:sz w:val="20"/>
        </w:rPr>
      </w:pPr>
      <w:r>
        <w:rPr>
          <w:rFonts w:ascii="Times New Roman;Times;serif" w:hAnsi="Times New Roman;Times;serif"/>
          <w:b w:val="false"/>
          <w:i/>
          <w:sz w:val="20"/>
        </w:rPr>
        <w:t>Rigetti Quantum Processors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Rigetti quantum processors are based on transmon-style superconducting qubits. Quantum logic gates are actuated by applying electronic signals to the qubits. Chips are packaged, connected to input and output circuitry, and operated in a low-temperature environment. Control and readout signals are generated and processed in a control system operating at room temperature. This control system is subsequently integrated with, or networked into, auxiliary classical computing hardware to enable co-processing system requirements. Our competitive advantage begins at the chip level and extends through the full-stack, with a distinct focus on fabricating scalable hardware meeting the requirements for practical workloads.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val="false"/>
          <w:i/>
          <w:sz w:val="20"/>
        </w:rPr>
      </w:pPr>
      <w:r>
        <w:rPr>
          <w:rFonts w:ascii="Times New Roman;Times;serif" w:hAnsi="Times New Roman;Times;serif"/>
          <w:b w:val="false"/>
          <w:i/>
          <w:sz w:val="20"/>
        </w:rPr>
        <w:t>Scale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Achieving the scale of quantum processor needed for practical workloads is perhaps the hardest requirement of all. To address this, we have developed a unique patented and patent-pending multi-chip quantum processor technology. This approach leverages techniques long used in classical computer microprocessors and memory (“RAM”). Our scalable processor architecture enables multiple core processor chips, each having many qubits, within a multi-chip assembly to function cohesively as a single, large quantum computer-without introducing additional error sources, network latency or other overhead. Using our modular chip architecture, larger quantum processors may be constructed by assembling more core processors together. From a manufacturing perspective, this enables a single type of core processor chip to support multiple quantum processor generations of increasing scale and performance. We believe that this solution facilitates rapid scaling and can enable even faster development cycles in future chip generations.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 addition to accelerating the pace of scaling, we believe our proprietary modular chip architecture has significant manufacturability and cost benefits. For example, rather than producing large, complex individual chips with 1,000 qubits, we may fabricate 10 chips with 100 qubits each and use our multi-chip technology to assemble them together to produce a 1,000 qubit quantum processor. This solution makes it much easier to produce large processor chips with high yield. As a result, we believe our modular approach to be fundamentally more manufacturable, predictable, and scalable.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multi-chip technology incorporates several advances in integrated circuit design, architecture, and silicon device manufacturing. These advances include superconducting multi-chip bonding technology for chip-level 3D integration, superconducting through-silicon via process technology and interchip coupling technology that enables high-fidelity two-qubit logic gates between qubits disposed on different silicon dies. These innovations have resulted from our investment in more than five years of technological development to establishing the essential capabilities to produce quantum processors meeting the requirements for broad commercial utility. We believe our approach to scaling quantum computers will accelerate us toward quantum advantage systems.</w:t>
      </w:r>
    </w:p>
    <w:p>
      <w:pPr>
        <w:pStyle w:val="TextBody"/>
        <w:bidi w:val="0"/>
        <w:spacing w:before="0" w:after="120"/>
        <w:ind w:left="0" w:right="0" w:firstLine="540"/>
        <w:jc w:val="both"/>
        <w:rPr>
          <w:rFonts w:ascii="Times New Roman;Times;serif" w:hAnsi="Times New Roman;Times;serif"/>
          <w:i/>
          <w:sz w:val="20"/>
        </w:rPr>
      </w:pPr>
      <w:r>
        <w:rPr>
          <w:rFonts w:ascii="Times New Roman;Times;serif" w:hAnsi="Times New Roman;Times;serif"/>
          <w:i/>
          <w:sz w:val="20"/>
        </w:rPr>
        <w:t>Fab-1</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have developed, own and operate the distinctive manufacturing capabilities needed to produce quantum processors in our proprietary scalable architecture. In 2017, we became the first company to build a dedicated and integrated Fab for producing quantum processors. In addition to vertically integrating the process capabilities to produce our proprietary chips, Fab-1 delivers a high mix of development chips to internal teams. This in-house fabrication capability allows for rapid design-fab-test cycles of learning, enabling an innovation cycle we estimate to be two to five times faster than a typical MEMS or semiconductor foundry. In Fab-1, our engineers focus their efforts on rapidly exploring, then optimizing new chip designs and establishing repeatable manufacturing processes. Fab-1 also includes semi-automated chip testing and characterization capabilities. Additionally, by leveraging traditional semiconductor tools and processes, Fab-1 builds on expertise from the existing semiconductor industry, a distinct advantage over other qubit modalities.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This in-house fab capability has enabled us to accumulate the hands-on experience and intellectual property, including know-how, patents, and trade secrets, to produce quantum computer chips within our scalable, proprietary architecture. Furthermore, we believe Fab-1 has enough wafer capacity to supply all of our chip needs for at least the next three years.</w:t>
      </w:r>
    </w:p>
    <w:p>
      <w:pPr>
        <w:pStyle w:val="TextBody"/>
        <w:bidi w:val="0"/>
        <w:spacing w:before="0" w:after="120"/>
        <w:ind w:left="0" w:right="0" w:firstLine="540"/>
        <w:jc w:val="both"/>
        <w:rPr>
          <w:rFonts w:ascii="Times New Roman;Times;serif" w:hAnsi="Times New Roman;Times;serif"/>
          <w:i/>
          <w:sz w:val="20"/>
        </w:rPr>
      </w:pPr>
      <w:r>
        <w:rPr>
          <w:rFonts w:ascii="Times New Roman;Times;serif" w:hAnsi="Times New Roman;Times;serif"/>
          <w:i/>
          <w:sz w:val="20"/>
        </w:rPr>
        <w:t>Cooling</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Like all high-performance computing systems, Rigetti quantum computers require an advanced cooling system. In this case, commercially available dilution refrigerators maintain chip temperatures at around 0.02 Kelvin. Cooling power requirements and associated electricity costs will scale approximately linearly with qubit count, while expected computational utility increases exponentially.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a result, we expect the electricity costs to run the cooling systems of our quantum computers to make up an ever-decreasing fraction of the overall revenue generated from each machine. In addition, we work closely with refrigerator vendors and anticipate the commercial availability of dilution refrigerator systems with the capabilities to support our product roadmap.</w:t>
      </w:r>
    </w:p>
    <w:p>
      <w:pPr>
        <w:pStyle w:val="TextBody"/>
        <w:bidi w:val="0"/>
        <w:spacing w:before="0" w:after="120"/>
        <w:ind w:left="0" w:right="0" w:firstLine="540"/>
        <w:jc w:val="both"/>
        <w:rPr>
          <w:rFonts w:ascii="Times New Roman;Times;serif" w:hAnsi="Times New Roman;Times;serif"/>
          <w:b w:val="false"/>
          <w:i/>
          <w:sz w:val="20"/>
        </w:rPr>
      </w:pPr>
      <w:r>
        <w:rPr>
          <w:rFonts w:ascii="Times New Roman;Times;serif" w:hAnsi="Times New Roman;Times;serif"/>
          <w:b w:val="false"/>
          <w:i/>
          <w:sz w:val="20"/>
        </w:rPr>
        <w:t>Fidelity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Improvements to the coherence times of superconducting qubits, combined with methods for ever faster and more precise quantum logic gates, have kept superconducting qubits on a pace of continuous fidelity improvement for approximately two decades. In recent years, algorithms have been developed on processors with average two-qubit gate fidelities of 98-99.5%. As processors scale to broad quantum advantage, fidelity will need to continue to improve, likely to 99.9% and beyond.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are focused on delivering advances to fidelity through a systematic engineering approach centered on our design-fab-test flywheel powered by our in-house design and manufacturing. Uniquely, our modular processor technology enables improvements to fidelity to be achieved separately from efforts to increase scale; fidelity advancements can be developed on the individual core processor chips, and these improvements can be rapidly integrated into scaled processors through our multi-chip integration technology.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described above, a quantum logic gate is how computation is expressed on a quantum computer. There are a large number of possible gates that can be used for computation. We physically implement quantum gates through the application of microwave pulses (electronic signals) to the physical qubits on the quantum integrated circuit.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One way that the performance of the system is assessed is by measuring the errors that are introduced in actuating the gates with the application of electronic signals to the physical qubits. There are a variety of metrics that are used to measure these errors; we currently report performance and indicate a measure of error through a fidelity metric applied to two-qubit gate error or fidelity, usually expressed as a percentage. Gate fidelity represents the reliability of an operation. For example, a two-qubit gate with a fidelity of 99% means that 99 out of 100 times the measurement of the gate will produce the correct result. Fidelities are related to errors in the following way: 100% - error rate % = gate fidelity %. So, an error rate of .5%, is the same as a fidelity of 99.5%. There are a number of standard benchmarks that are used to measure qubit errors and are explained further below.</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measure the performance of iSWAP and CZ gates with an industry standard technique called Randomized Benchmarking, a commonly used method to measure fidelity. This protocol requires creating random sequences of quantum gates of different sequence length, executing each sequence, and then measuring the outcome of the execution against the mathematically expected results.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On iSWAP-enabled devices, such as Ankaa-3, we also implement a family of two-qubit gates referred to as fSim. Generally, any specific fSim gate may not be part of a universal gate set. We use fSIM gates with the goal of achieving high performance for specific algorithms.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measure the performance of fSim gates with an industry standard technique called cross entropy benchmarking, another commonly used method to measure fidelity. This protocol requires creating random circuits from the provided gate set measuring the results and comparing the outcomes to an expected probability distribution of outcomes.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In the past we have implemented gate sets based on two-qubit gates other than CZ, iSWAP and fSIM, and may, in the future, choose different gate sets. At the moment there is no standard set of gates agreed on in the industry, and there may never be. Furthermore, other standards for measurement may emerge to measure quantum gate fidelity or performance of quantum computers generally. Accordingly, undue reliance should not be placed on the fidelity measures that we present. See also “Risk Factors— </w:t>
      </w:r>
      <w:r>
        <w:rPr>
          <w:rFonts w:ascii="Times New Roman;Times;serif" w:hAnsi="Times New Roman;Times;serif"/>
          <w:i/>
          <w:sz w:val="20"/>
        </w:rPr>
        <w:t>We face significant technical and engineering challenges in completing the development of our quantum computers, producing our quantum computers at scale, achieving our targeted performance milestones, and realizing quantum advantage or LFTQC, any of which if not accomplished would adversely impact our business, financial condition, and results of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Cepheus-1-36Q is our newest flagship quantum computer featuring our proprietary modular chip architecture, optimized two-qubit gates and advances in intermodule coupler design that is intended to enable superior performance. With Cepheus-1-36Q, we successfully halved our error rates from our previous Ankaa-3 system, achieving a median two-qubit fidelity of 99.6% (based on internal testing) as of January 2026. We believe Cepheus-1-36Q is the first multi-chip quantum computer in the industry to achieve this level of performance based on publicly available information. Improving our median two-qubit fidelities is a crucial part of our mission to build the world’s most powerful computers. Useful quantum computers will need not only a large number of qubits, but also high-quality qubits. Reaching 99.6% median two-qubit fidelity on the Cepheus-1-36Q system is the result of years of innovation and commitment from our teams across the technology stack.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believe that Cepheus-1-36Q validates our modular architecture approach to scaling. Tiling multiple chips together demonstrates what we believe is the way forward towards building larger systems. We believe a densely connected square lattice with tunable couplers that allows us to control qubit interactions is the foundation for driving qubit performance. We believe a 2.0x improvement in error performance compared to our previous QPUs, coupled with our scaling approach, shows that we have a promising strategy for building increasingly higher performing QPUs to help our customers solve their most pressing problems.</w:t>
      </w:r>
    </w:p>
    <w:p>
      <w:pPr>
        <w:pStyle w:val="TextBody"/>
        <w:bidi w:val="0"/>
        <w:spacing w:before="0" w:after="120"/>
        <w:ind w:left="0" w:right="0" w:firstLine="540"/>
        <w:jc w:val="both"/>
        <w:rPr>
          <w:rFonts w:ascii="Times New Roman;Times;serif" w:hAnsi="Times New Roman;Times;serif"/>
          <w:b w:val="false"/>
          <w:i/>
          <w:sz w:val="20"/>
        </w:rPr>
      </w:pPr>
      <w:r>
        <w:rPr>
          <w:rFonts w:ascii="Times New Roman;Times;serif" w:hAnsi="Times New Roman;Times;serif"/>
          <w:b w:val="false"/>
          <w:i/>
          <w:sz w:val="20"/>
        </w:rPr>
        <w:t>Speed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One of the strengths of superconducting qubit technology, and our technology in particular, is that gate operations on superconducting processors are faster than other commercially available modalities today.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speed of gate operations in superconducting qubits are determined by the intentional design of circuit elements on-chip and their optimized parameters, rather than relying on atomic properties. Our recently introduced Cepheus-1-36 system achieves a median gate time of 76 nanoseconds with universal CZ gates. Median gate time is measured by internal testing.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believe that superconducting processors’ speed advantage will result in a larger market for superconducting quantum computers compared to other modalities, as there are a multitude of high value use cases that require timely results, such as real-time decision making, risk calculations, and more. As in conventional computing, faster gate speeds also equate to higher throughput in commercial deployment and therefore greater potential revenue opportunity.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b w:val="false"/>
          <w:i/>
          <w:sz w:val="20"/>
        </w:rPr>
      </w:pPr>
      <w:r>
        <w:rPr>
          <w:rFonts w:ascii="Times New Roman;Times;serif" w:hAnsi="Times New Roman;Times;serif"/>
          <w:b w:val="false"/>
          <w:i/>
          <w:sz w:val="20"/>
        </w:rPr>
        <w:t>Co-processing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It is widely believed that unlocking the commercial value of quantum computing requires quantum computers to be tightly integrated with classical computing systems and technology. High-performance co-processing integration accelerates the path to quantum advantage by enabling both quantum and classical computing resources to work in tandem to address computational bottlenecks best suited to their particular strengths. This approach also facilitates adoption and usability by end users who are more familiar with classical programming.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inherent speed with which superconducting processors can execute circuits and be dynamically re-programmed makes them ideally suited to high-speed co-processing integration. Other modalities have not demonstrated the gate speeds necessary to support high-performance co-processing.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have invented and patented capabilities at the hardware and software level, such as parametric code compilation, to enable high performance co-processing on a cloud platform. Parametric code compilation supports running faster hybrid algorithms through memory registers shared between classical programs and embedded logic on a QPU control system. This means that users can run algorithms without incurring latency that would otherwise be caused by updating parameters at each step.</w:t>
      </w:r>
    </w:p>
    <w:p>
      <w:pPr>
        <w:pStyle w:val="TextBody"/>
        <w:bidi w:val="0"/>
        <w:spacing w:before="0" w:after="120"/>
        <w:ind w:left="0" w:right="0" w:firstLine="540"/>
        <w:jc w:val="both"/>
        <w:rPr>
          <w:rFonts w:ascii="Times New Roman;Times;serif" w:hAnsi="Times New Roman;Times;serif"/>
          <w:b w:val="false"/>
          <w:i/>
          <w:sz w:val="20"/>
        </w:rPr>
      </w:pPr>
      <w:r>
        <w:rPr>
          <w:rFonts w:ascii="Times New Roman;Times;serif" w:hAnsi="Times New Roman;Times;serif"/>
          <w:b w:val="false"/>
          <w:i/>
          <w:sz w:val="20"/>
        </w:rPr>
        <w:t>Reprogrammability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systems are dynamically reprogrammable. Instructions are streamed into the quantum computer or updated within the execution time of the quantum logic circuit. This allows our machines to effectively run both the hybrid variational algorithms that underpin current use cases and quantum error correction routines in future systems. In a production setting, dynamic reprogrammability translates to higher customer job throughput per unit time. Since many applications are expected to require streamed data processing or error correction, we believe this dynamic reprogrammability is central to unlocking the full market potential of quantum computing systems, especially in comparison to alternative modalities that are unable to implement high speed re-programming.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quantum computers are orchestrated with a control system operated at room temperature. In our architecture, reprogramming the quantum processor occurs exclusively within this control system. Unlike photonics, for example, reprogramming the system to run a new quantum circuit does not require slow on-chip updates, but only requires changes to the sequence of signals applied to the chip.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QPUs today support dynamic programming protocols within microsecond feedback loops. For example, re-setting registers of qubits conditional on the outcomes of previous measurements, can increase overall quantum circuit throughput by 5x relative to non-dynamic implementations of the same workload.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QPU control system includes hardware for networking, classical microprocessors, field-programmable gate arrays (FPGAs) for control and readout pulse sequencing, and analog signal processing. The integrated system is designed and built to meet the requirements for co-processing and reprogrammability over the cloud.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This capability enables high-speed data flow within the quantum processor, and between the quantum processor and auxiliary classical compute and networking infrastructure. Our systems are thus enabled for high-performance hybrid quantum-classical computing, the implementation of high-throughput quantum programs for practical workloads, and the dynamic control flow and feedback that underpins practical quantum error correction. The control system drives the quantum processor, calibrates and operates gates, and measures qubit states at the end of a computation.</w:t>
      </w:r>
    </w:p>
    <w:p>
      <w:pPr>
        <w:pStyle w:val="TextBody"/>
        <w:bidi w:val="0"/>
        <w:spacing w:before="0" w:after="120"/>
        <w:ind w:left="0" w:right="0" w:firstLine="540"/>
        <w:jc w:val="both"/>
        <w:rPr>
          <w:rFonts w:ascii="Times New Roman;Times;serif" w:hAnsi="Times New Roman;Times;serif"/>
          <w:b w:val="false"/>
          <w:i/>
          <w:sz w:val="20"/>
        </w:rPr>
      </w:pPr>
      <w:r>
        <w:rPr>
          <w:rFonts w:ascii="Times New Roman;Times;serif" w:hAnsi="Times New Roman;Times;serif"/>
          <w:b w:val="false"/>
          <w:i/>
          <w:sz w:val="20"/>
        </w:rPr>
        <w:t>Quantum Error Correction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Direct improvements to qubits and gate fidelities are currently the primary means of advancing the performance of quantum computers. However, at the scale of a few hundred qubits and beyond, a method called quantum error correction can be applied to further accelerate this rate of progress.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 quantum error correction, a large number of individual physical qubits can be transformed, through repeated application of gate and readout operations designed to detect and fix physical errors, into single “logical” qubits, whose properties are exponentially improved relative to the constituent physical qubits. While the methodology of quantum error correction is well-established in the field of quantum computing, systems capable of running such codes at a commercially useful scale are not currently available. Eventually, solving certain classes of problems will require the ability to compute with tens to hundreds or even thousands of logical qubits. This makes the ability to build large qubit count processors at this commercial scale an even more crucial capability.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Additionally, because errors must be identified at a specific physical location within the quantum processor in order to be corrected, those errors must also be well-localized within small regions of the quantum processor. For example, a qubit in one region must not induce errors on some distant qubit but rather be constrained to influencing errors on nearby qubits. This essential requirement underpins modern quantum error correction theory and practice.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Turning to the processor’s physical qubit array, the necessity of localizing errors has led to the predominance of nearest-neighbor connectivity graphs in quantum processor design. Our quantum processors meet these essential requirements with a nearest-neighbor, planar connectivity graph. Planar codes are expected to show a high error threshold of approximately 1% error probability per operation. This means that if error rates are below the required threshold (e.g., 1%), then increasing the redundancy (</w:t>
      </w:r>
      <w:r>
        <w:rPr>
          <w:rFonts w:ascii="Times New Roman;Times;serif" w:hAnsi="Times New Roman;Times;serif"/>
          <w:i/>
          <w:sz w:val="20"/>
        </w:rPr>
        <w:t>i.e.</w:t>
      </w:r>
      <w:r>
        <w:rPr>
          <w:rFonts w:ascii="Times New Roman;Times;serif" w:hAnsi="Times New Roman;Times;serif"/>
          <w:sz w:val="20"/>
        </w:rPr>
        <w:t>, the number of physical qubits making up a single logical qubit) results in an exponential reduction in logical error. In other words, adding a small number of additional physical qubits per logical qubit will provide exponential improvements. Notably, codes for other modalities, such as Bacon-Shor codes for trapped ion qubits, lack such a threshold behavior and is one reason why we believe superconducting quantum computers to be superior to trapped ion modalities.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aim to deliver the physical qubit count needed, with the requisite nearest-neighbor connectivity, to enable developers and customers to benefit from this exponential error reduction. In contrast to known approaches for other qubit modalities, our systems are expected to be able to run the same code family at multiple different levels of redundancy without requiring additional complexity such as code concatenation. This approach enables developers to scale the effective error rate and associated overheads up and down as dictated by their use-case requirements. For example, the smallest surface code logical qubit for superconducting processors is 17:1 physical qubits to logical qubits, in comparison to 16:1 for trapped ions. However, for complex applications, the ability to pack more physical qubits into the code (such as 100:1 or 1000:1) is critical because it allows developers to further reduce errors for algorithms based on many quantum gates where errors are more likely to accumulate. In comparison to trapped ions, we believe superconducting processors are better positioned to scale up to the large number of qubits required to run these valuable large codes while also having the fast gate speeds for them to be useful.</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processor architecture, software tools, and cloud services platform are designed to enable users and partners to directly construct, test and deploy error correction and error mitigation protocols, and to tailor such codes to specific computational tasks through software. This capability is enabled by the re-programmability, co-processing integration, and system design we have established.</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intellectual property portfolio plays a strategic role in advancing our innovation and leadership in quantum computing.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patent portfolio seeks to protect our current developments and the intellectual property space for the company’s technology roadmap and anticipated areas of development. We rely upon a combination of protections afforded to owners of patents, copyrights, trade secrets, and trademarks, along with confidentiality and proprietary rights agreements with employees, consultants, contractors, vendors, and business partners to establish and protect our intellectual property rights.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of December 31, 2025, we have 121 patents issued and 160 patents pending that are designed to protect our full-stack technology across hardware, software, and services. These patents cover a broad range of key technology areas of the business including: (i) quantum computing systems, software, and access; (ii) quantum processor hardware; (iii) algorithms and applications for problem solving; and (iv) chip design &amp; fabrication.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pursue international registration of our domain names and trademarks. We are the registered holder of a variety of domain name registrations, including “rigetti.com.” Our trademark registrations include “Rigetti” in the US, U.K. and EU.</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Sales &amp; Marketing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During this period of emerging quantum advantage, our go-to-market strategy is focused on being a leader in the key market segments driving the early application of quantum computing. Our sales and marketing efforts are focused on technology development and distribution partnerships with the leading organizations in these markets. In the U.S. government, for example, the Departments of Defense and Energy have each been making significant investments in quantum computing. We have technology development partnerships with leading government agencies and national laboratories.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are pursuing similar arrangements with customers in other important vertical market segments, like finance, where we are developing specific expertise in several application areas and are collaborating with Moody’s, HSBC and Standard Chartered Bank. We also have distribution relationships with customers like Amazon Web Services, Microsoft Azure and Strangeworks.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As we work to develop new generations of our hardware with the goal of continuing to scale and achieve QA, we anticipate increasing our investment and expenses in both sales and marketing in the future to expand the number of enterprise companies buying our QPUs and directly licensing our QCS platform. </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Suppliers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source our components from multiple industries including from the electronics and semi-conductor industries with low-noise microwave components, CPUs, GPUs, FPGAs; from the cryogenic industry with dilution refrigerators and associated helium gas products; and from the semiconductor industry with silicon wafers and other specialty materials, tooling and measurement equipment.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Customers &amp; Key Partners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believe that the realization of quantum computing’s promise requires strong relationships across an ecosystem of innovative and quantum-committed organizations and have been developing commercial relationships and collaborative partnerships with organizations that possess a keen understanding of specific industry problems and deep technical expertise in key scientific and engineering disciplines.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To date, we have focused on developing a range of client relationships and research partnerships with: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Enterprise-sized organizations working on quantum-assisted breakthroughs in applications areas like drug discovery, network optimization, financial modeling, weather forecasting and fusion energy like NASA, Moody’s, Standard Chartered Bank, HSBC, AFRL, the U.S. DOE and certain military branches within the U.S. Department of Defense;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science researchers and quantum algorithm developers at renowned laboratories like Fermilab, NASA Quantum Artificial Intelligence Laboratory and ORNL;</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Quantum-focused software and algorithm companies like Phasecraft, Riverlane and Q-CTRL;</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Cloud service providers like Amazon Web Services and Microsoft Azure;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We also enter into multi-year technology development partnerships with organizations that possess specialized technical expertise and strong interests in advancing the development of quantum computing (as referenced in </w:t>
            </w:r>
            <w:r>
              <w:rPr>
                <w:rFonts w:ascii="Times New Roman;Times;serif" w:hAnsi="Times New Roman;Times;serif"/>
                <w:b w:val="false"/>
                <w:i/>
                <w:sz w:val="20"/>
              </w:rPr>
              <w:t>Business - Key Technology Development Partnerships</w:t>
            </w:r>
            <w:r>
              <w:rPr>
                <w:rFonts w:ascii="Times New Roman;Times;serif" w:hAnsi="Times New Roman;Times;serif"/>
                <w:b w:val="false"/>
                <w:i w:val="false"/>
                <w:caps w:val="false"/>
                <w:smallCaps w:val="false"/>
                <w:sz w:val="20"/>
              </w:rPr>
              <w:t>). These organizations include DARPA, SQMS, Innovate UK and Quanta.</w:t>
            </w:r>
          </w:p>
        </w:tc>
      </w:tr>
    </w:tbl>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quantum computing market is evolving and highly competitive. With the introduction of new innovations and the potential entry of new competitors into the market, we expect competition to increase in the future, which could harm our business, results of operations, or financial condition.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current and prospective competitors include companies engaged in the research, development, and operation of quantum computing capabilities. Major companies now developing both quantum hardware and software include IBM, Google, Microsoft, IonQ, D-Wave, Quantinuum and PsiQuantum, among others. In addition, because of the importance of quantum computing, most large public cloud providers and traditional chip makers are researching and investing in quantum computing initiatives, in some cases seeking to build quantum computers. For example, Amazon is engaged in the research and development of quantum computers. A number of development-stage companies are also seeking to build quantum computers, quantum software and applications, and quantum cloud computing services.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believe our primary direct competition will come from other companies building or seeking to build universal, gate-model quantum computing systems that can meet the requirements for solving commercial problems. We believe competition will be based on a number of factors, including: different approaches to building quantum computers; quantum computer system performance, including scale, speed, and fidelity; system accessibility and ease of use; supported software and applications; compatibility with existing classical workflows; rate of technological innovation; ability to create value through long-term partnerships; end-user support and customer experience; solutions and insight delivery; price; brand recognition and trust; financial resources; and access to key personnel.</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believe that we are favorably positioned to compete on the basis of these factors. However, we face various risks relating to competition as described in “</w:t>
      </w:r>
      <w:r>
        <w:rPr>
          <w:rFonts w:ascii="Times New Roman;Times;serif" w:hAnsi="Times New Roman;Times;serif"/>
          <w:i/>
          <w:sz w:val="20"/>
        </w:rPr>
        <w:t>Risk Factors-Risks Related to Our Business and Industry-The quantum computing industry is in its early stages and volatile and is competitive on a global scale and we may not be successful in competing in this industry or establishing and maintaining confidence in our long-term business prospects among current and future partners and customers</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Regulatory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U.S. government contracts, grants, and agreements are subject to regulations and procurement laws. The majority of our current programs are subject to Title 2 of the Code of Federal Regulations, covering Grants and Agreements. We also perform programs authorized under Other Transaction Authority and the Federal Acquisition Regulation. Several of our agreements are also subject to agency level acquisition regulation supplements, including the Defense Federal Acquisition Regulation Supplement and the Department of Energy Acquisition Regulation. These regulations mandate uniform policies and procedures for the administration of government funded programs. This includes requiring compliance with eligibility and responsibility requirements, contractor qualifications, financial and reporting requirements, as well as subjecting the company to audits and to other government reviews covering issues such as cost, performance, internal controls and accounting practices.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products and technology may be subject to export licensing or approval requirements. Exports of our products and technology must be made in compliance with export control and sanctions laws and regulations.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are also subject to numerous U.S. state, federal and foreign laws, regulations and rules related to privacy, data use and security. In addition, we are subject to the U.S. Foreign Corrupt Practices Act of 1977, as amended, the U.S. domestic bribery statute, the U.S. Travel Act, and other anti-bribery, and anti-corruption laws in countries in which we conduct activities, and numerous federal, state and local environmental laws and regulations governing, among other things, solid and hazardous waste storage, treatment and disposal, and remediation of releases of hazardous materials.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See also “Risk Factors—Risks Related to Litigation and Government Regulation.”</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deep and talented workforce is the key to our success. As of March 1, 2026, we employ 164 people globally, of which 162 were full-time employees. The majority of our employees are employed in the areas of quantum physics, chip and hardware engineering and software development. Most of our employees are based in the United States with the remainder based in the United Kingdom, Australia and Canada. In addition, we also engage a small number of consultants and contractors to enhance our research and development and selling general and administrative areas of our business.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To date, we have not experienced any work stoppages and maintain good working relationships with our employees. None of our employees are subject to a collective bargaining agreement or are represented by labor unions at this time.</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Rigetti Computing, Inc., formerly known as Supernova Partners Acquisition Company II, Ltd. (“Supernova”), was incorporated on December 22, 2020 as a Cayman Islands exempted company and a special purpose acquisition company.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On October 6, 2021, Supernova entered into an Agreement and Plan of Merger (the “Merger Agreement”) with Supernova Merger Sub, Inc., a Delaware corporation and a direct wholly owned subsidiary of Supernova (“First Merger Sub”), Supernova Romeo Merger Sub, LLC, a Delaware limited liability company and a direct wholly owned subsidiary of Supernova (“Second Merger Sub”) and Rigetti Holdings, Inc., a Delaware corporation (“Legacy Rigetti”). Pursuant to the Merger Agreement, on March 1, 2022, Supernova effected a domestication after which it continues as a Delaware corporation, changing its name to “Rigetti Computing, Inc.”</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On March 2, 2022, pursuant to the Merger Agreement, First Merger Sub merged with and into Legacy Rigetti, the separate corporate existence of First Merger Sub ceasing and Legacy Rigetti being the surviving corporation (the “Surviving Corporation” and, such merger, the “First Merger”) and (ii) immediately following the First Merger, the Surviving Corporation merged with and into the Second Merger Sub, with the separate corporate existence of the Surviving Corporation ceasing and the Second Merger Sub being the surviving entity and changing its name to “Rigetti Intermediate LLC”.</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principal executive offices are located at 775 Heinz Avenue, Berkeley, CA 94710 and our telephone number is (510) 210-5550.</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corporate website address is www.rigetti.com. We make available on our website, free of charge, our Annual Reports on Form 10-K, our Quarterly Reports on Form 10-Q and our Current Reports on Form 8-K and any amendments to those reports filed or furnished pursuant to Section 13(a) or 15(d) of the Exchange Act, as soon as reasonably practicable after we electronically file such material with, or furnish it to, the Securities and Exchange Commission (the “SEC”). The SEC maintains a website that contains reports, proxy and information statements and other information regarding our filings at www.sec.gov. We use our corporate website as a channel of distribution of material company information. For example, financial and other material information regarding our company is routinely posted on and accessible on our website. Accordingly, investors should monitor this channel, in addition to following our press releases, SEC filings and public conference calls and webcasts. The information found on our website is not incorporated by reference into this Annual Report on Form 10-K or any other report we file with or furnish to the SEC.</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bookmarkStart w:id="52" w:name="Risk"/>
      <w:bookmarkStart w:id="53" w:name="_15058fd5_34b4_4ae3_933b_5398ece6bd6b"/>
      <w:bookmarkStart w:id="54" w:name="bookmarkid.22np64aa35ee"/>
      <w:bookmarkEnd w:id="52"/>
      <w:bookmarkEnd w:id="53"/>
      <w:bookmarkEnd w:id="54"/>
      <w:r>
        <w:rPr>
          <w:rFonts w:ascii="Times New Roman;Times;serif" w:hAnsi="Times New Roman;Times;serif"/>
          <w:b/>
          <w:sz w:val="20"/>
        </w:rPr>
        <w:t>ITEM 1A. Risk Factors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RISK FACTORS</w:t>
      </w:r>
    </w:p>
    <w:p>
      <w:pPr>
        <w:pStyle w:val="TextBody"/>
        <w:bidi w:val="0"/>
        <w:spacing w:before="0" w:after="120"/>
        <w:ind w:left="0" w:right="0" w:firstLine="540"/>
        <w:jc w:val="both"/>
        <w:rPr>
          <w:rFonts w:ascii="Times New Roman;Times;serif" w:hAnsi="Times New Roman;Times;serif"/>
          <w:i/>
          <w:sz w:val="20"/>
        </w:rPr>
      </w:pPr>
      <w:r>
        <w:rPr>
          <w:rFonts w:ascii="Times New Roman;Times;serif" w:hAnsi="Times New Roman;Times;serif"/>
          <w:i/>
          <w:sz w:val="20"/>
        </w:rPr>
        <w:t>Investing in our securities involves a high degree of risk. Before you make a decision to buy our securities, in addition to the risk and uncertainties described above under “Cautionary Note Regarding Forward-Looking Statements”, you should carefully consider the risks and uncertainties described below together with all of the other information contained in this Annual Report on Form 10-K.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120"/>
        <w:ind w:left="0" w:right="0" w:firstLine="540"/>
        <w:jc w:val="both"/>
        <w:rPr>
          <w:rFonts w:ascii="Times New Roman;Times;serif" w:hAnsi="Times New Roman;Times;serif"/>
          <w:b/>
          <w:sz w:val="20"/>
        </w:rPr>
      </w:pPr>
      <w:r>
        <w:rPr>
          <w:rFonts w:ascii="Times New Roman;Times;serif" w:hAnsi="Times New Roman;Times;serif"/>
          <w:b/>
          <w:sz w:val="20"/>
        </w:rPr>
        <w:t>Risks Related to Our Financial Condition and Status as an Early-Stage Company</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are in our early stages and have a limited operating history, which makes it difficult to forecast the future results of our operations. We have in the past failed to meet publicly announced milestones and may fail to meet projected technological milestones in the future. In addition, we have in the past changed our technology roadmap, including the anticipated milestones and timing thereof.</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business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and with increasing levels of performance. As of the date hereof, we have deployed a quantum computer having 84 qubits with a 99.0% two-qubit gate fidelity (based on internal testing) and 36-qubit quantum computer with a 99.6% two-qubit median gate fidelity (based on internal testing) which utilizes our modular chip architecture. We are still in the technology development phase. Our scalable business model has not been formed as of yet and our technology roadmap may not be realized as quickly as hoped, or even at all. We have in the past failed to meet publicly announced milestones and may fail to meet projected technological milestones in the future. We have in the past changed our technology roadmap, including the anticipated milestones and timing thereof, including in each of the years ended December 31, 2018, 2022, 2023 and 2025. We may further update our technology roadmap in the future, including anticipated milestones and anticipated timeline for milestones. Furthermore, we may be unable to achieve the milestones in our technology roadmap on their announced anticipated timeline or at all, including our next generation of modular system architecture, targeted qubit counts and fidelities. The development of our scalable business model will likely require the incurrence of a substantially higher level of costs than incurred to date, while our revenues will not substantially increase unless and until more powerful, scalable, higher performing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sales of our on-premise quantum computers, QCaaS or QCS, increased competition, changes to technology, inability to scale up or improve performance of our technology, a decrease in the growth of the market, or our failure, for any reason, to continue to take advantage of growth opportunities.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have a history of operating losses and expect to incur significant expenses and continuing losses for the foreseeable future.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incurred net losses of $216.2 million and $201.0 million for the years ended December 31, 2025, and 2024, respectively. As of December 31, 2025, we had an accumulated deficit of $771.0 million. We believe that we will continue to incur operating and net losses each quarter until at least the time we begin generating significant revenue if we are able to achieve quantum advantage or LFTQC, which may never occur. Even if our quantum computers were to achieve quantum advantage or LFTQC, we may never become profitable.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may incur significantly higher losses in future periods as we, among other things: continue to incur significant expenses in connection with the design, development and manufacturing of our quantum computers; expand our research and development activities; invest in manufacturing capabilities; build up inventories of components for our quantum computers; increase our sales and marketing activities; develop our infrastructure; and increase our general and administrative functions to support our growing operations and our being a public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adverse effect on our business, financial condition or results of operations. Our business model is unproven and may never allow us to cover our costs.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business and future plans for expansion are capital-intensive, and the specific timing of cash inflows and outflows may fluctuate substantially from period to period. We will require a significant amount of cash for expenditures as we invest in ongoing research and development and business operations. For example, in addition to our continuing investment in our technology roadmap we may seek to significantly increase our capital expenditures, including to upgrade our current Fab-1 chip fabrication facility, and possibly invest in a new quantum chip fabrication facility, which would require a significant amount of cash for capital expenditures and increase our depreciation expense in future years. The actual amounts we may be required to spend on these, and other matters may be greater and more significant than our expectations. Further, pursuant to the Collaboration Agreement with Quanta, we agreed to invest at least $250 million in the field of quantum computing, in furtherance of our technology roadmap, over a five-year period commencing in February 2025.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believe that our existing balances of cash, cash equivalents and available-for-sale investments will be sufficient to meet our anticipated operating cash needs for at least the next twelve months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financings or other sources, such as strategic collaborations or other transactions. For example, in the future, we may seek to significantly increase our capital expenditures, including to upgrade our chip fabrication facility, possibly invest in a new quantum chip fabrication facility and for additional quantum computing refrigerators, which would require a significant amount of cash for capital expenditures.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In addition, we may seek additional capital even if we believe that we have sufficient funds for current or future operating plans. Such financings may result in dilution to stockholders, issuance of securities with priority as to liquidation and dividend and other rights more favorable than Common Stock,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and disruptions to and volatility in the credit and financial markets in the United States and current and future military conflicts and wars around the world including related sanctions and tariffs and trade protection measures. There can be no assurance that deterioration in credit and financial markets and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quantum computing development efforts.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If we are unable to obtain sufficient capital we would be unable to fund our operations and may be required to evaluate alternatives, which could include dissolving and liquidating our assets in which case we may receive less than the value at which those assets are carried on our audited financial statements, and/or seeking protection under bankruptcy laws, and a determination to file for bankruptcy could occur at a time that is earlier than when we would otherwise exhaust our cash resources, and it is unclear to what extent we would be able to pay our obligations, and, accordingly, it is further unclear whether and to what extent any resources would be available for distribution to stockholders. This could potentially cause us to cease operations and result in a complete or partial loss of your investment in our securities. We cannot anticipate all the ways in which the economic climate and financial market and geopolitical conditions could adversely impact our business.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There can be no assurance that financing will be available to us on favorable terms, or at all.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may not be able to scale our business quickly enough to meet customer and market demand, which could result in lower profitability or cause us to fail to execute on our business strategies.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management as well as our financial and operational resources to:</w:t>
      </w:r>
    </w:p>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and grow our customer base;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increase the rates at which existing customers use our platform, sell additional products and services to our existing customers, and reduce customer churn;</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our platform and product offerings;</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organizational change;</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and/or refocus research and development activities;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manufacturing and supply chain capacity;</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sales and marketing efforts;</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 customer support and services capabilities;</w:t>
            </w:r>
          </w:p>
        </w:tc>
      </w:tr>
    </w:tbl>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or increase operational efficiencies;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appropriate operational and financial systems; and</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effective financial disclosure controls and procedures.</w:t>
            </w:r>
          </w:p>
        </w:tc>
      </w:tr>
    </w:tbl>
    <w:p>
      <w:pPr>
        <w:pStyle w:val="TextBody"/>
        <w:bidi w:val="0"/>
        <w:spacing w:before="0" w:after="0"/>
        <w:ind w:left="1094" w:right="0" w:hanging="0"/>
        <w:jc w:val="both"/>
        <w:rPr/>
      </w:pPr>
      <w:r>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Commercial traction of quantum computing technology may never occur. We may not be able to cost effectively manage production at a scale or quality consistent with customer demand in a timely or cost-effective manner.</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ability to scale is dependent also upon components we must source from multiple industries including: the electronics and semi-conductor industries with low-noise microwave components, CPUs, GPUs, FPGAs; the cryogenic industry with dilution refrigerators and associated helium gas products; and the semiconductor industry with silicon wafers and other specialty materials, tooling and measurement equipment. Shortages or supply interruptions in any of these components will have an adverse impact on our business.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sales of products and services to our customers.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Even if the market in which we compete achieves its anticipated growth levels, our business could fail to grow at similar rates, if at all.</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growth is dependent upon our ability to successfully market and sell quantum computers and quantum computing services and solutions, expand our solutions and services, retain customers, bring in new customers and retain critical talent. We do not have experience with the large-scale production and sale of quantum computing technology. Our growth and long-term success will depend upon the development of our sales and retention capabilities. Unforeseen issues associated with scaling up and constructing quantum computing technology at commercially viable levels could have a negative impact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 unforeseen issues with the reliability of our technology, we could overburden our servicing and support capabilities. Similarly, increasing the number of our products and services would require us to rapidly increase the availability of these services. Failure to adequately support and service our customers may inhibit our growth and ability to expand.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may not manage growth effectively, including with respect to our employee base and managing our operations successfully.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For example, expansion of and upgrades to our Fab-1 facility is continual and ongoing, and we may not complete the expansion and upgrades on terms originally anticipated, in a timely manner or at all, or we may decide to construct a new fabrication facility, both of which could have a material impact on our business, financial condition or results of operations. Expansion and upgrades or construction of a new fabrication facility requires significant cash investments and management resources and there is no guarantee that they will generate additional sales of our products or services, or that we will be able to avoid cost overruns or be able to hire additional personnel to support us. In addition, we also need to ensure our compliance with regulatory requirements in various jurisdictions applicable to the sale, installation and servicing of our products.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To manage the growth of our operations and personnel, we must establish and maintain appropriate and scalable operational and financial systems and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Our ability to use net operating loss carryforwards and other tax attributes may be limited.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have incurred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2025, we had U.S. federal net operating loss carryforwards of approximately $455.3 million.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Under current law, U.S. federal net operating loss carryforwards generated in taxable periods beginning after December 31, 2017, may be carried forward indefinitely, but the deductibility of such net operating loss carryforwards is limited to 80% of taxable income. It is uncertain if and to what extent various states will conform to current federal law.</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addition, under Sections 382 and 383 of the Internal Revenue Code of 1986, as amended (the “Code”), our federal net operating loss carryforwards, federal research and development tax credit carryforwards and other tax attributes are subject to annual limitations because of prior cumulative changes in our ownership and may be further limited in the future if additional ownership changes occur.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Similar rules apply under state tax laws. Our ability to utilize our federal net operating loss carryforwards, federal research and development tax credit carryforwards and other tax attributes to offset future taxable income or tax liabilities is limited because of prior ownership changes and may be further limited in the future if additional ownership changes occur. See Note 16 to our consolidated financial statements included elsewhere in this Annual Report on Form 10-K for information regarding our federal net operating loss carryforwards, federal research and development tax credit carryforwards and other tax attributes.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If we earn taxable income, such limitations will most likely result in increased future income tax liability and have an adverse effect on our future cash flows. We have recorded a valuation allowance related to our net operating loss carryforwards and other deferred tax assets due to the uncertainty of the ultimate realization of the future benefits of those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face significant technical and engineering challenges in completing the development of our quantum computers, producing our quantum computers at scale, achieving our targeted performance milestones, and realizing quantum advantage or LFTQC, any of which if not accomplished would adversely impact our business, financial condition, and results of operations.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Producing quantum computers is a difficult undertaking, and there are significant engineering challenges that we must overcome to build our quantum computers.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successful execution of our technology roadmap is based on the development of multiple generations of quantum computing systems and the achievement of our targeted qubit counts and fidelities, including hardware that demonstrates quantum advantage and LFTQC, each of which is an important anticipated milestone for our technology roadmap and commercialization. The future success of our technology roadmap will depend upon our ability to continue to increase the number of qubits and decrease error rates in subsequent generations of our quantum computers.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Quantum advantage is the point at which quantum computers can solve a practical problem that would be physically impossible to solve on a classical computer. LFTQC is when quantum computing systems are available with hundreds of logical qubits, which can be universally controlled and measured with substantially error-free operation through the full course of a quantum computation. No current quantum computers, including our quantum hardware, have reached quantum advantage or LFTQC, and may never reach QA or LFTQC. Achieving QA or LFTQC will be critical to the success of any quantum computing company, including ours. However, achieving QA would not necessarily lead to commercial viability of the technology that accomplished such advantage, nor would it mean that such system could outperform classical computers in tasks other than the one used to determine a QA. In addition, the definitions and expectations with respect to what constitutes QA and LFTQC, including the anticipated stages of quantum technology maturation, may continue to evolve and may also diverge from others in the industry. Quantum computing technology, including QA and LFTQC, may take years or decades to be realized, if ever.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In addition, the standards by which we measure our progress may be based on assumptions and expectations that are not accurate or that may change as quantum computing evolves. For example, we measure the performance of our systems by gate fidelity and median gate speed, among other ways, as part of our internal testing. There may be other measures that are utilized in the future to measure our progress and the progress of others in the industry and, therefore, undue reliance should not be placed on our current performance measures. Further, we currently utilize different types of gates, including CZ and iSWAP, and may, in the future, choose different gate sets. At the moment, there is no standard set of gates agreed on in the industry, and there may never be. Furthermore, other standards for measurement may emerge to measure quantum gate fidelity or performance of quantum computers generally. Accordingly, undue reliance should not be placed on the fidelity measures that we present.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If we are unable to achieve an increase in the number of qubits or decrease in error rates on the timeframe that we anticipate, the availability of future generations of quantum computer systems may be materially delayed or may never occur. In the past we have failed to meet publicly announced milestones and may fail to meet projected milestones in the future. If our technology roadmap is delayed or never achieved, this would have a material impact on our business, financial condition or results of operations. See “</w:t>
      </w:r>
      <w:r>
        <w:rPr>
          <w:rFonts w:ascii="Times New Roman;Times;serif" w:hAnsi="Times New Roman;Times;serif"/>
          <w:i/>
          <w:sz w:val="20"/>
        </w:rPr>
        <w:t>We are in our early stages and have a limited operating history, which makes it difficult to forecast our future results of operations. We have in the past failed to meet publicly announced milestones and may fail to meet projected technological milestones in the future. In addition, we have in the past changed our technology roadmap, including the anticipated milestones and timing thereof.</w:t>
      </w:r>
      <w:r>
        <w:rPr>
          <w:rFonts w:ascii="Times New Roman;Times;serif" w:hAnsi="Times New Roman;Times;serif"/>
          <w:sz w:val="20"/>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Even if we complete development and achieve volume production of our quantum computers, if the cost, accuracy, performance characteristics or other specifications of our quantum computers fall short of our expectations, our business, financial condition and results of operations would be adversely affected.</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Because we have limited financial and operational resources, we must prioritize our research and development for use of quantum computing within certain products, designs, sectors or investments. Correctly prioritizing our research and development activities is particularly important for us due to the breadth of companies building or seeking to build universal, gate-model quantum computing systems that can meet the requirements for solving commercial problems.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a result, we may forego or delay pursuit of opportunities in other products, designs, sectors or investments that later prove to have greater commercial potential and ability to achieve quantum advantage. For example, although we currently believe that quantum machine learning for finance is poised to be an early domain of quantum advantage through rapid value capture from quick integration, the risks associated with developing a product that can compute algorithms that scale efficiently to real-world size applications and will be applicable to multiple use cases and competition in creating such a product, among others, could outweigh the benefits.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may fail to capitalize on the products, designs, sectors, or investments we choose to pursue, and our resource allocation decisions may cause us to forego viable or more profitable products, designs, sectors or investments, which would have an adverse effect on our business, prospects and financial results.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 xml:space="preserve">The quantum computing industry is in its early stages and volatile and is competitive on a global scale and we may not be successful in competing in this industry or establishing and maintaining confidence in our long-term business prospects among current and future partners and customers.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markets in which we operate are rapidly evolving and highly competitive. As the marketplace continues to mature and new technologies and competitors enter, we expect competition to intensify. Our current competitors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well-established tech companies that generally compete across our products, including Google, Microsoft, Amazon and IBM;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research organizations funded by sovereign nations such as China, Russia, Canada, Australia and the United Kingdom, and those in the European Union as of the date of this Annual Report on Form 10-K and we believe additional countries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less-established public and private companies with competing technology, including companies located outside the United States; and</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or emerging entrants seeking to develop competing technologies.</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compete based on various factors, including technology, performance, open architecture, multi-cloud availability,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customer service organization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 Further, our competitors may win government contracts, and we may not.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Additionally, we must be able to achieve our objectives in a timely manner such that we do not lose ground to competitors, including competing technologies. For example, our competitors may achieve certain narrow and/or broad quantum milestones faster than us, which may negatively impact our business and prospects. 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addition, the market for quantum computers is still rapidly evolving, characterized by rapidly changing technologies, competitive pricing and competitive factors, evolving government regulation and industry standards, and changing customer demands and behaviors. If the market for quantum computers in general does not develop as expected, develops more slowly than expected, develops in a manner that does not require use of our quantum computers, encounters negative publicity or if our quantum computers do not drive commercial engagement, then our business, prospects, financial condition and operating results could be harmed. If our clients and partners do not perceive the benefits of quantum computer solutions, or if our solutions do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For all of these reasons, the development of the market for quantum computers and competition may have a negative impact on our ability to maintain and grow demand for our platform or put downward pressure on our prices and gross margins, any of which could materially harm our reputation,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depend on a limited number of customers for a significant percentage of our revenue and the loss or temporary loss of a major customer for any reason could harm our financial condition.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have historically generated most of our revenue from a limited number of customers. Revenue from U.S. government entities accounted for 48.0% and 54.2% of our total revenue for the years ended December 31, 2025 and 2024, respectively. Because of the concentrated nature of our customer base, our quarterly revenue and results of operations may fluctuate from quarter to quarter and are difficult to estimate, and any delay, reduction or cancellation of orders or services rendered or any acceleration or delay in anticipated purchases or grants and awards by our larger customers could materially affect our revenue and results of operations in any quarterly period. For further information regarding our customer concentration, refer to Note 15 of our audited consolidated financial statements for the year ended December 31, 2025, included elsewhere in this Annual Report on Form 10-K.</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may be unable to sustain or increase our revenue from our larger customers, grow revenues with new or other existing customers, or offset the discontinuation of concentrated purchases by our larger customers with purchases by new or existing customers. These larger customers could also reduce or discontinue their purchases of our products and services in the event they transition to internally developed products and services or determine to divide their purchases of our products and services between us and a second source. We expect that such concentrated purchases will continue to contribute materially to our revenue for the foreseeable future and that our results of operations may fluctuate materially as a result of such larger customers’ buying patterns or funding cycles. The loss or temporary loss of such customers, or a significant delay or reduction in their purchases, could materially harm our business, financial condition, results of operations and prospects.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A significant portion of our revenue currently depends on contracts with the public sector, and our failure to receive and maintain government contracts or changes in the contracting or fiscal policies of the public sector could have a material adverse effect on our business.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have historically derived, and expect to continue to derive, a significant portion of our revenue from contracts with agencies of the U.S. federal and foreign governments, either directly by us or through other government contractors. For the years ended December 31, 2025, and 2024, sales to government entities comprised 90.2% and 89.4% of our total revenue, respectively.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Sales to government agencies involve risks that may not be present (or that are present to a lesser extent) with sales to non-governmental agencies. The bidding process for government contracts can be highly competitive, expensive, and time-consuming, often requiring significant upfront time and expense without any assurance that these efforts will generate revenue. These entities may also have increased purchasing power and leverage in negotiating contractual arrangements with us, as well as longer sales cycles, which brings the associated risk that substantial time and resources may be spent on a potential customer that elects not to purchase our products or services. Sales to government agencies are often fixed fee development contracts, which involve additional risks.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also must comply with laws and regulations relating to the formation, administration, and performance of contracts, which provide public sector customers with rights, many of which are not typically found in commercial contracts. For instance, government contracts generally include the ability of government agencies to terminate early which, if exercised, would result in a lower contract value and lower the anticipated revenue generated by such arrangement. See “</w:t>
      </w:r>
      <w:r>
        <w:rPr>
          <w:rFonts w:ascii="Times New Roman;Times;serif" w:hAnsi="Times New Roman;Times;serif"/>
          <w:i/>
          <w:sz w:val="20"/>
        </w:rPr>
        <w:t>Contracts with U.S. government entities subject us to risks including early termination, audits, investigations, sanctions and penalties</w:t>
      </w:r>
      <w:r>
        <w:rPr>
          <w:rFonts w:ascii="Times New Roman;Times;serif" w:hAnsi="Times New Roman;Times;serif"/>
          <w:sz w:val="20"/>
        </w:rPr>
        <w:t>.”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 addition, our perceived relationship with the U.S. government could adversely affect our business prospects in certain non-U.S. geographies or with certain non-U.S. governments.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Accordingly, our business, financial condition, results of operations, and growth prospects may be adversely affected by certain events or activities,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fiscal or procurement policies or government programs or applicable requirements, or decreases in government funding available for procurement of goods and services generally, or for our federal government contracts specifically;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entities exercising termination for convenience rights on our existing government contracts with such government entities;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grant of personnel security clearances to our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maintain facility clearances required to perform on classified contracts for U.S. federal government and foreign government agencies;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political environment, including before or after a change to the leadership within the government administration, and any resulting uncertainty or changes in policy or priorities and resultant funding;</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government’s attitude towards the capabilities that we offer, or us as a company or our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Appeals, disputes, or litigation relating to government procurement, including bid protests by unsuccessful bidders on potential or actual awards of contracts to us or our partners by the government;</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new laws or regulations or changes to existing laws or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Budgetary constraints, including automatic reductions as a result of “sequestration” or similar measures and constraints imposed by any lapses in appropriations for the federal government or certain of its departments and agencies;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Influence by, or competition from, third parties with respect to pending, new, or existing contracts with government customers;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political or social attitudes with respect to security or data privacy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delays or changes in the government appropriations or procurement processes, including as a result of events such as war, incidents of terrorism, natural disasters, and public health concerns or epidemics, such as the coronavirus pandemic; and</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Increased or unexpected costs or</w:t>
            </w:r>
            <w:r>
              <w:rPr>
                <w:caps w:val="false"/>
                <w:smallCaps w:val="false"/>
              </w:rPr>
              <w:t xml:space="preserve"> </w:t>
            </w:r>
            <w:r>
              <w:rPr>
                <w:rFonts w:ascii="Times New Roman;Times;serif" w:hAnsi="Times New Roman;Times;serif"/>
                <w:b w:val="false"/>
                <w:i w:val="false"/>
                <w:caps w:val="false"/>
                <w:smallCaps w:val="false"/>
                <w:sz w:val="20"/>
              </w:rPr>
              <w:t>unanticipated delays caused by other factors outside of our control.</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Any of the foregoing events or activities, among others, could cause governments and governmental agencies to delay or refrain from entering into contracts with us and/or purchasing our computers in the future, reduce the size or timing of payments with respect to our services to, or purchases from, existing or new government customers, or otherwise have an adverse effect on our business, results of operations, financial condition, and growth prospects.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Our ability to commercialize our quantum computers in the future may be dependent upon our relationships with cloud providers.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currently offer access to quantum computing as a service (“Quantum Computing as a Service” or “QCaaS”), both directly to our end users with our own Quantum Cloud Services (“QCS”) and indirectly to end users through public cloud providers such as Amazon Braket (“AWS”) and Microsoft Azure Quantum (“Azure”), who integrate our QCS into their own quantum computing platforms. These public cloud providers operate a service in direct competition with our providing direct access to QCS. In addition, we intend to partner with additional providers to provide access to our QCaaS. Cloud computing partnerships could be terminated, or not scale as anticipated, or at all.</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There is risk that one or more of the public cloud providers, such as AWS and Azure,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these public cloud providers have the resources to acquire or partner with existing and emerging providers of competing technology and thereby accelerate adoption of those competing technologies, all of which could make it difficult or impossible for us to provide products and services that compete favorably with those of the public cloud providers.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Any material change in our contractual and other business relationships with our cloud providers could result in reduced use of our systems, increased expenses, including service credit obligations, and harm our brand and reputation, any of which could have a material adverse effect on our business, financial condition and results of operations. 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Currently, our customer agreement with AWS remains in effect until (i) terminated for convenience, which we may do for any reason by providing AWS notice and closing our account and which AWS may do for any reason by providing us at least 30 days’ notice or (ii) terminated for cause, which either party may do if the other party has an uncured material breach and which AWS may do immediately upon notice. Although alternative data center providers could host our business on a substantially similar basis to AWS, transitioning the cloud infrastructure currently hosted by AWS to alternative providers could potentially be disruptive, and we could incur significant one-time costs.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If we are unable to renew our agreement with AWS on commercially acceptable terms, our agreement with AWS is prematurely terminated, or it adds additional infrastructure providers, we may experience costs or downtime in connection with the transfer to, or the addition of, new data center providers. If AWS or other infrastructure providers increase the costs of their services, our business, financial condition, or results of operations could be materially and adversely affected.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Our ability to identify and develop relationships with qualified suppliers on commercial reasonable terms or at all who can satisfy our standards for quality and our need to access products and supplies in a timely and efficient manner is a significant challenge. Any failure to maintain our relationship with any of our key suppliers, or a failure to replace any such supplier that is lost, could have a material adverse effect on our business, financial position, results of operations and cash flows. We may be required to replace a supplier if their products do not meet our quality or safety standards. In addition, our suppliers could face reductions or interruptions in supply, or discontinue selling products at any time for reasons that may or may not be in our control or the suppliers’ control, including shortages of raw materials, environmental and social supply chain issues, global supply chain disruptions, pandemic, labor disputes or weather conditions. Disruptions in transportation lines or ongoing military conflicts and wars around the world, including related sanctions, may also cause global supply chain issues that affect us or our suppliers. We generally have multiple sources of supply, however, in some cases, materials are provided by a single supplier.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loss of, or substantial decrease in the availability of, products from our suppliers, or the loss of a key supplier, temporarily or permanently, could result in a material shortage of products, which could lead to price escalations that we may be unable to offset by our prices to our customers. When supply chain issues are later resolved and prices return to normal levels, we may be required to reduce the prices at which we sell our products to our customers in order to remain competitive. In addition, even where these risks do not materialize, we may incur costs as we prepare contingency plans to address such risks. Our operating results and inventory levels could suffer if we are unable to promptly replace a supplier who is unwilling or unable to satisfy our requirements with a supplier providing similar products. In addition, our suppliers’ ability to deliver products may also be affected by raw material and commodity cost volatility or financing constraints caused by credit market conditions, which could materially and negatively impact our net sales and operating costs, at least until alternate sources of supply are arranged. Any delay or unavailability of key products required for our development activities could delay or prevent us from further developing our systems and applications on our expected timelines or at all.</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Additionally, our business, financial position, results of operations and cash flows could be materially and adversely affected by our inability to continue sourcing products from our suppliers or as a result of issues in our supply chain. A weak or declining economy (including risks such as increased freight charges, raw material costs, electrical power costs and other associated expenses) could strain our suppliers, possibly resulting in supply disruption. In addition, there is a risk that our current or future suppliers, service providers, manufacturers or other partners may not survive such difficult economic times, which could directly affect our ability to attain our operating goals on schedule and on budget. Further, a failure to develop our supply chain management capabilities and recruit and retain qualified professionals, and a failure on our part to appropriately cancel, reschedule or adjust our requirements based on our business needs, could have an adverse impact on the availability of the supplies necessary to develop and manufacture our quantum computing solutions.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have and may in the future enter into collaboration agreements and similar arrangements with third parties for the manufacturing of our products, and these agreements and similar arrangements may never achieve their anticipated goals, which may have a materially adverse impact on our business operations and our financial position or results of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rely on our current collaborative partners and third parties and may rely heavily on future collaborative partners and third parties to develop key, relevant algorithms and programming to make our quantum systems commercially viable. We have entered into, and may enter into, strategic partnerships to develop and commercialize our current and future research and development programs with other companies for purposes such as: obtaining expertise; obtaining sales and marketing services and/or support; obtaining equipment and facilities; developing relationships with potential future customers; and generating revenue.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For example, in February 2025, we entered into the Collaboration Agreement with Quanta for the development of certain components to be incorporated into our current and future quantum computers. If our work with Quanta does achieve the anticipated results, we may never realize the anticipated benefits of the Collaboration Agreement. In addition, pursuant to the Collaboration Agreement, each of the parties agreed to invest at least $250 million </w:t>
      </w:r>
      <w:r>
        <w:rPr>
          <w:rFonts w:ascii="Times New Roman;Times;serif" w:hAnsi="Times New Roman;Times;serif"/>
          <w:sz w:val="20"/>
          <w:shd w:fill="FFFFFF" w:val="clear"/>
        </w:rPr>
        <w:t xml:space="preserve">over the next five years in the field of quantum computing (and Quanta’s investment will be towards personnel and capital expenditures for developing products and services and manufacturing capability in furtherance of our product roadmap). </w:t>
      </w:r>
    </w:p>
    <w:p>
      <w:pPr>
        <w:pStyle w:val="TextBody"/>
        <w:bidi w:val="0"/>
        <w:spacing w:before="0" w:after="12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If the Collaboration Agreement is terminated before Quanta fulfills any or all of its investment commitment for any reason, we may not receive the anticipated benefits from the Collaboration Agreement. Further, we may not be successful in establishing or maintaining suitable partnerships in the future, and we may not be able to negotiate other collaboration agreements having satisfactory terms to us, or at all. Failure to make or maintain these arrangements or a delay or failure in a future collaborative partner’s performance under any such arrangements could harm our business and financial condition.</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Our ability to compete successfully depends on continuous innovation, timely execution of our strategy, and achieving cost reductions and failure to do so could render our quantum computing systems obsolete or less competitive.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quantum computing market is characterized by rapid technological change, changing user requirements, uncertain product lifecycles and evolving industry standards. Our future success depends on our ability to continue to innovate and increase customer adoption of our quantum solutions. If we are unable to enhance our quantum computing systems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Even if we successfully develop our quantum computing solution and executing our strategy, customer preferences may change, or competitors may achieve technological breakthroughs in science, physics, or manufacturing that render our technology obsolete or inferior. While it is uncertain whether such breakthroughs will occur in the near term, they may occur eventually, and any such advancement could materially impact our business, financial condition or results of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Our competitiveness also depends on our ability to reduce the cost per qubit over time, which assumes we will be able to achieve economies of scale related to demand for our computer systems, benefit from technological innovation, and negotiate favorable terms with third-party parts suppliers. If these anticipated cost savings do not materialize, we may be unable to achieve a lower cost per qubit, or if macroeconomic pressures such as inflation continue to increase labor and materials costs, we may be unable to price our quantum computers competitively, and this could have a material adverse effect on our business, financial condition or results of operations. </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could suffer disruptions, outages, defects and other performance and quality problems with our quantum computing systems, our production technology partners or with the public cloud, data centers and internet infrastructure on which we rely.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business depends on our quantum computing systems being available. We have experienced and may in the future experience, disruptions, outages, defects and other performance and quality problems with our systems. We have also experienced and may in the future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Any disruptions, outages, defects and other performance and quality problems with our quantum computing systems or with the public cloud and internet infrastructure on which we rely, could result in reduced use of our systems, increased expenses, including service credit obligations, and harm to our brand and reputation, any of which could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a failure could negatively impact our business.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future success is highly dependent on our ability to attract and retain our executive officers, key employees and other qualified personnel. As we build our brand and become more well known, there is an increased risk that competitors or other companies may seek to hire our personnel. A loss of a member of senior management, or an engineer or other key employee, particularly to a competitor, could have an adverse impact on our business strategy and place us at a competitive disadvantage.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Effective succession planning is important to our long-term success and may cause disruption to our business due to, among other things, diverting management’s attention away from the operations of the business or causing a deterioration in morale. Failure to ensure effective transfer of knowledge and smooth transitions involving key employees could hinder our strategic planning and execution.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is critical to our business and the development of our quantum computing systems. Many of the other companies with which we compete for qualified personnel have greater financial and other resources than we do.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effective operation of our supply chain, including the acquisition of critical components and materials, the development and commercialization of our quantum computing technologies and the effective operation of our managerial and operating systems all depend upon our ability to attract, train and retain qualified personnel in the aforementioned specialties.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otherwise be unable to develop and grow our business as projected, or even at all.</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Our quantum computing systems may not be compatible with some or all industry-standard software and hardware in the future, which could harm our business.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have focused our efforts on creating quantum computing hardware, the operating system for such hardware, a suite of low-level software programs that optimize execution of quantum algorithms on our hardware, application programing interfaces (“APIs”) to access our systems, software development kits (“SDKs”) for system and application developers, and quantum programming languages for low- and high-level application developers. The industry is rapidly evolving, and customers have many choices for programming languages, application libraries, APIs, and SDKs, some of which may not be compatible with our own languages, APIs or SDKs. Our quantum computing solutions are designed today to be compatible with most major quantum software development kits, including Qiskit, Cirq, and Open QASM, all of which are open source. If a proprietary (not open source) software toolset became the standard for quantum application development in the future by a competitor, usage of our hardware might be limited as a result which would have a negative impact on the Company. Similarly, if a piece of hardware became a necessary component for quantum computing (for instance, quantum networking) and we cannot integrate with it the result might have a negative impact on the Company.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If our customers are unable to achieve compatibility between other software and hardware and our hardware, it could impact our relationships with such customers or with customers, generally, if the incompatibility is more widespread.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If our information technology systems or data, or those of third parties upon which we rely, are or were compromised, we could experience adverse consequences, which may adversely affect our business.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Cybersecurity incidents as well as natural disasters and other similar activities threaten the confidentiality, integrity, and availability of our sensitive information and information technology systems, and those of the third parties upon which we rely.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Cybersecurity threats are prevalent in the technology industry and our customers’ industries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The types of threats also continue to evolve, and may include social engineering attacks using AI tools, ransomware, and supply-chain attacks. Various techniques may be used to sabotage or to obtain unauthorized access to our platform, systems, networks, or physical facilities where our quantum computers are stored, and we may be unable to implement adequate preventative or mitigating measures. U.S. law enforcement agencies have indicated to us that quantum computing technology is of particular interest to certain malicious cyber threat actors, including nation-state-supported actors.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In addition, future or past business transactions (such as mergers and acquisitions) could expose us to additional cybersecurity risks and vulnerabilities, as our systems could be negatively affected by vulnerabilities present in merged or acquired entities’ systems and technologies as part of integration.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rely on third-party service providers and technologies to operate critical business systems to process sensitive information in a variety of contexts. Our platform is built to be accessed through third-party public cloud providers such as AWS. These providers may also experience cybersecurity incidents and attacks to their products, which may impact our systems. Cybersecurity incidents may also result from non-technical means, such as actions by an employee with access to our systems.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may expend significant resources or modify our business activities to try to protect against security incidents. Certain data privacy and security obligations require us to implement and maintain specific security measures to protect our information technology systems and sensitive information. While we and our third-party cloud providers have implemented security measures designed to protect against cybersecurity incidents, there can be no assurance that these measures will be effective, and these measures could fail or may be insufficient. Although we take steps designed to detect, mitigate, and remediate vulnerabilities in our information systems (such as our hardware and/or software, including that of third parties upon which we rely), we may not be able to detect and remediate all vulnerabilities on a timely basis because the threats and techniques used to exploit the vulnerability change frequently and are often sophisticated in nature. Therefore, such vulnerabilities could be exploited but may not be detected until after a cybersecurity incident has occurred.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In addition, applicable data privacy and security obligations may require us to notify relevant stakeholders, including affected individuals, customers, regulators, and investors of cybersecurity incidents. Such disclosures are costly, and the disclosure or the failure to comply with such requirements could lead to adverse consequences. Actual or perceived cybersecurity incidents affecting sensitive information about the Company, our partners, our customers or third parties could expose us and the parties affected to a risk of loss or misuse of this information, resulting in litigation and potential liability, paying damages, regulatory inquiries or actions, damage to our brand and reputation or other harm to our business. If we fail to detect or remediate a cybersecurity incident in a timely manner, or it otherwise affects our customers or impacts our ability to operate our platform,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material damage to our reputation; monetary fund diversions; diversions of management attention; interruptions in our operations (including availability of data); financial loss; and other similar harms.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Cybersecurity incidents and attendant consequences may cause customers to stop using our services, deter new customers from using our services, and negatively impact our ability to grow and operate our business. Cybersecurity incidents also may result in current or future competitors obtaining sensitive information, including proprietary information.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Unstable or unfavorable market and economic conditions in our industry and or the global economy have had and may continue to have serious adverse consequences on our business, financial condition and share price. In the future, we may be required to record significant charges for impairment of our long-lived assets, other assets or investments.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At times in the past, 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bank failures and uncertainty about economic stability. Any volatility or disruptions in market and economic conditions may have adverse consequences on us or the third parties on whom we rely. If general economic conditions were to deteriorate or remain uncertain for an extended period, our liquidity may be harmed, and the trading price of our Common Stock could decline. In addition, negative general economic conditions, both in the U.S. and abroad, cause a decrease in business investments, including the progress on development of quantum technologies, and negatively affect the growth of our business.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If the equity and credit markets deteriorate, including as a result of political unrest or war, it may make any necessary financing more difficult to obtain in a timely manner or on favorable terms, more costly or more dilutive, and we could be forced to delay, reduce or eliminate our research and development programs and other efforts. Increased inflation rates have and are expected to adversely affect us by increasing our costs, including labor and employee benefit costs, and costs for equipment and system components associated with system development. In addition, higher inflation could also increase our customers’ operating costs, which could result in reduced budgets for our customers and potentially less demand for our systems. Additionally, if our customers are not successful in generating sufficient revenue or are unable to secure financing, they may not be able to pay, or may delay payment of, accounts receivable. Moreover, our key suppliers may reduce their output or become insolvent, thereby adversely impacting our ability to execute our research and development plans or manufacture our products. Any significant increases in inflation and related increase in interest rates could have a material adverse effect on our business, results of operations and financial condition.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If in the future a financial institution in which we hold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Further, these events may make financings more difficult to obtain, and additional financing might not be available on reasonable terms, if at all; difficulties obtaining financing could have a material adverse effect on our financial condition, as well as our ability to continue to grow our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Government actions and regulations, such as tariffs and trade protection measures, may limit our ability to obtain products from our suppliers or sell our products and services to customers. Political challenges between the United States and countries in which our suppliers are located,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on our products or on our customers by the United States or other countries that could have a material adverse effect on our business. Our technology may be deemed a matter of national security and as such our customer base may be tightly restricted. We may accept government grants that place restrictions on the business’ ability to operate.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An adverse change in market conditions, including a sustained decline in our stock price, negative changes to our position in the market, or lack of growth in demand for our products and services could be considered to be an impairment triggering event, which could impact valuation assumptions relating to the recoverability of assets and may result in impairment charges to our long-lived assets, other assets or investments, which would have a negative impact on our operating results. There are inherent uncertainties in management’s estimates, judgments and assumptions used in assessing recoverability of intangible and other long-lived assets. Any material changes in key assumptions, including failure to meet business plans, a deterioration in the U.S. and global financial markets, an increase in interest rates or an 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In the past we identified material weaknesses in our internal control over financial reporting, leading to a restatement of our financial statements for prior periods. These material weaknesses were subsequently remediated following implementation and testing of a series of new controls and procedures.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In the past we identified material weaknesses in our internal control over financial reporting, leading to a restatement of our financial statements for prior periods. These material weaknesses were subsequently remediated following implementation and testing of a series of new controls and procedures.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cannot ensure that the measures we have taken to date, and actions we may take in the future, will prevent or avoid potential future material weaknesses due to a failure to implement and maintain adequate internal control over financial reporting or circumvention of these controls. In addition, in the future our controls and procedures may not be adequate to prevent or identify irregularities or errors or to facilitate the fair presentation of our financial statements.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Any failure to maintain effective controls could limit our ability to prevent or detect a misstatement of our accounts or disclosures that could result in additional material misstatements of our annual or interim financial statements. In such a case, we may be unable to maintain compliance with securities law requirements regarding timely filing of periodic reports in addition to the listing requirements of the Nasdaq. In addition, we could be subject to sanctions or investigations by the SEC, the Nasdaq Stock Market or other regulatory authorities as well as shareholder litigation which would require additional financial and management resources, and investors may lose confidence in our financial reporting and our stock price may decline as a result.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a result, our ability to obtain any additional financing, or additional financing on favorable terms, could be materially and adversely affected, which in turn, could materially and adversely affect our business, financial condition and the market value of our Common Stock and require us to incur additional costs to improve our internal control systems and procedures. In addition, the perceptions of the Company among customers, suppliers, lenders, investors, securities analysts and others could also be adversely affected.</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Our facilities or operations could be damaged or adversely affected as a result of prolonged power outages, natural disasters such as earthquakes, and other catastrophic events.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facilities or operations could be damaged or adversely affected by prolonged power outages natural disasters such as earthquakes, or other catastrophic events outside our control, which could cause us to miss publicly disclosed technology development milestones, cause delays in the development of our quantum computers or have other negative consequences. We cannot assure you that any backup systems will be adequate to protect us from the effects of fire, floods, typhoons, earthquakes, power loss resulting from such natural disasters, telecommunications failures, break-ins, war, riots, terrorist attacks or similar events. Any of the foregoing events may give rise to interruptions, breakdowns, system failures, technology platform failures or internet failures, which could cause us to miss publicly disclosed technology development milestones and cause delays in development and fabrication, the loss or corruption of data or malfunctions of software or hardware as well as adversely affect our ability to provide services. Any significant damage to our quantum research facilities or Fab-1 may disrupt our operations and could have a material adverse impact on our business, financial condition, results of operations and cash flows.</w:t>
      </w:r>
    </w:p>
    <w:p>
      <w:pPr>
        <w:pStyle w:val="TextBody"/>
        <w:bidi w:val="0"/>
        <w:spacing w:before="0" w:after="120"/>
        <w:ind w:left="0" w:right="0" w:firstLine="540"/>
        <w:jc w:val="both"/>
        <w:rPr>
          <w:rFonts w:ascii="Times New Roman;Times;serif" w:hAnsi="Times New Roman;Times;serif"/>
          <w:b/>
          <w:sz w:val="20"/>
        </w:rPr>
      </w:pPr>
      <w:r>
        <w:rPr>
          <w:rFonts w:ascii="Times New Roman;Times;serif" w:hAnsi="Times New Roman;Times;serif"/>
          <w:b/>
          <w:sz w:val="20"/>
        </w:rPr>
        <w:t xml:space="preserve">Risks Related to Our International Operations and Expansion </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Because our success depends, in part, on our ability to expand sales internationally, our business will be susceptible to risks associated with international operations.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currently maintain offices and have personnel in the United States, the United Kingdom, Australia and Canada. For the years ended December 31, 2025, and 2024, our non-U.S. revenue was approximately 47.3% and 41.4% of our total revenue, respectively. Any additional international expansion efforts that we may undertake may not be successful. In addition, conducting international operations subjects us to new risks, some of which we have not generally faced in the United States or other countries where we currently operate. These risks include, among other things: unexpected costs and errors in the localization of our platform and solutions; potential burden associated with complying with foreign laws and regulations; heightened regulatory requirements and costs associated therewith (including import/export control laws, tariffs, and cybersecurity and data privacy laws); difficulties associated with enforcing intellectual property rights in foreign jurisdictions; differing technology standards, pricing environments and lengths of sales cycles; increased financial reporting requirements and complexities; and challenges associated with staffing international operations and increased costs related thereto.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have limited experience in marketing, selling, and supporting our platform outside of the United States. If we invest substantial time and resources to expand our international operations and are unable to do so successfully and in a timely manner, our business, financial condition, revenues, results of operations or cash flows will suffer.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Our international sales and operations subject us to additional risks and costs, including the ability to engage with customers in new geographies, exposure to foreign currency exchange rate fluctuations, which can adversely affect our business, financial condition, revenues, results of operations or cash flows.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derive a significant portion of revenue from our customers outside the United States. There are a variety of risks and costs associated with our international sales and operations, which may include making additional investments prior to the proven adoption of our solutions, the cost of conducting our business internationally and hiring and training international employees and the costs associated with complying with local law. Furthermore, we cannot predict the rate at which our platform and solutions will be accepted in international markets by potential customers.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currently have sales, customer support and engineering personnel outside the United States in the United Kingdom, Australia and Canada. We believe our ability to attract new customers to purchase our QPUs or subscribe to our platform, or to attract existing customers to expand their purchase of our QPUs or to renew or expand their use of our platform, is directly correlated to the level of engagement we obtain with the customer. To the extent we are unable to effectively engage with non-U.S. customers due to our limited sales force capacity, we may be unable to effectively grow in international markets.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Given our international presence, we are exposed to the effects of fluctuations in currency exchange rates. While we have primarily transacted with customers in U.S. dollars, we expect to continue to generate some revenues, denominated in foreign currencies. Additionally, fluctuations in the value of the U.S. dollar and foreign currencies may make our QPUs or subscriptions more expensive for international customers, which could harm our business. Additionally, we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Our international operations may subject us to greater than anticipated tax liabilities.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amount of taxes we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b/>
          <w:sz w:val="20"/>
        </w:rPr>
      </w:pPr>
      <w:r>
        <w:rPr>
          <w:rFonts w:ascii="Times New Roman;Times;serif" w:hAnsi="Times New Roman;Times;serif"/>
          <w:b/>
          <w:sz w:val="20"/>
        </w:rPr>
        <w:t>Risks Related to Litigation and Government Regulation</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are subject to stringent and evolving U.S. state, federal and foreign laws, regulations and rules, contractual obligations, industry standards, policies and other obligations related to privacy, data use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otherwise, could adversely affect us and our business.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collect, receive, store, process, generate, use, transfer, disclose, make accessible, protect, secure, dispose of, transmit, and share (collectively, “process”) personal data and other sensitive information. In the United States, federal, state, and local governments have enacted numerous data privacy and security laws, including data breach notification laws, personal data privacy laws, consumer protection laws, and other similar laws. In recent years, numerous U.S. states have enacted comprehensive privacy laws that impose certain obligations on covered businesses, including providing specific disclosures in privacy notices and their personal data rights.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jurisdictions also impose stricter requirements for processing certain personal data, including sensitive information, such as conducting data privacy impact assessments. These laws allow for statutory fines for noncompliance.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employees and personnel may use generative AI technologies to perform their work, and the disclosure and use of personal information in generative AI technologies is subject to various privacy laws and other privacy obligations. Additionally, several states and localities have enacted measures related to the use of AI and machine learning in products and services. These developments may further complicate compliance efforts and may increase legal risk and compliance costs for us, the third parties upon whom we rely, and our customers.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Outside of the United States, foreign governments also have similar or sometimes more stringent data protection laws. In particular, the United Kingdom’s GDPR (“UK GDPR”) imposes strict requirements for processing personal data. For example, under the UK GDPR, companies may face temporary or definitive bans on data processing and other corrective actions; fines of up to 17.5 million pounds or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may apply to our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In the ordinary course of business, we may transfer personal data from the United Kingdom (UK), Canada, Australia and other jurisdictions to the United States or other countries. The UK and other jurisdictions have enacted laws requiring data to be localized or limiting the transfer of personal data to other countries. In particular, the UK has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UK to the United States in compliance with law, such as the UK’s international data transfer addendum, these mechanisms are subject to legal challenges, and there is no assurance that we can satisfy or rely on these measures to lawfully transfer personal data to the United States.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If there is no lawful manner for us to transfer personal data from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UK to other jurisdictions, particularly to the United States, are subject to increased scrutiny from regulators, individual litigants, and activist groups.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are also bound by contractual obligations related to data privacy and security, and our efforts to comply with such obligations may not be successful. For example, certain privacy laws, such as the UK GDPR and California Consumer Privacy Act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Contracts with U.S. government entities subject us to risks including early termination, audits, investigations, sanctions and penalties.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have several contracts with various government entities, including contracts with the Defense Advanced Research Project Agency and the Department of Energy, among others, and we may enter into additional contracts with U.S. government entities in the future, which subjects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 addition, government contracts normally contain additional requirements that may increase our costs of doing business, reduce our profits, and expose us to liability for failure to comply with these terms and conditions. These requirements include, for example:</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specialized disclosure and accounting requirements unique to government contracts;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safeguards and assessments beyond what are typically required by commercial equivalents;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disclosures of certain contract and company information;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socioeconomic compliance requirements, including labor requirements, non-discrimination and affirmative action programs and environmental compliance requirements.</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Further, the False Claims Act has increasingly had enforcement actions for non-adherence to government contracts’ technology (including cybersecurity) provisions. Any penalties, damages, fines or suspension could adversely affect our ability to operate our business and our financial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are subject to U.S. and foreign anti-corruption, anti-bribery and similar laws, and non-compliance with such laws can subject us to criminal or civil liability and harm our business.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are subject to the U.S. Foreign Corrupt Practices Act of 1977, as amended, the U.S. domestic bribery statute contained in 18 U.S.C. § 201, the U.S. Travel Act, and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 benefits to or from any person whether in the public or private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are subject to government export and import controls that could impair our ability to compete in international markets due to licensing requirements and subject us to liability if we are not in compliance with applicable laws.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of our products and technology are subject to export licensing or approval requirements. Exports of our products and technology must be made in compliance with export control and sanctions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addition, changes in our products or technologies or changes in applicable export or import laws and regulations may create delays in the introduction and sale of our products and technologies in international markets or, in some cases, prevent the export or import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export or sell our products and technologies to existing or potential customers. Any decreased use of our products and technologies or limitation on our ability to export or sell our products and technologies would likely adversely affect our business, financial condition and results of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Further, the operation of our products within a fully operational quantum system may depend on products and technologies supplied by third parties. Changes in third party products or technologies or changes in applicable export or import laws and regulations may create delays in the introduction and sale of our products and technologies to customers or, in some cases, prevent sales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sell our products and technologies to existing or potential customers. Any decreased use of our products and technologies or limitation on our ability to sell our products and technologies would likely adversely affect our business, financial condition and results of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expect to incur significant costs in complying with these regulations. Regulations related to quantum computing are currently evolving and we face risks associated with changes to these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Our business is exposed to risks associated with litigation, investigations and regulatory proceedings.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may in the future face legal, administrative and regulatory proceedings, claims, demands and/or investigations involving stockholder,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Furthermore, while we maintain insurance for certain potential liabilities, such insurance does not cover all types and amounts of potential liabilities and is subject to various exclusions as well as caps on recoverable amounts. Even if we believe a claim is covered by insurance, insurers may dispute our entitlement to recovery for a variety of potential reasons, which may affect the timing and, if the insurers prevail, the amount of our recovery.</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may become subject to product liability claims, which could harm our financial condition and liquidity if we are not able to successfully defend or insure against such claims.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may become subject to product liability claims, even those without merit, which could harm our business prospects, operating results, and financial condition. We may face an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the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are subject to requirements relating to environmental and safety regulations and environmental remediation matters, which could adversely affect our business, results of operations and reputation.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Changes in tax laws or regulations that are applied adversely to us may have a material adverse effect on our business, cash flow, financial condition, or results of operations.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New tax laws, statutes, rules, regulations, or ordinances could be enacted at any time. Further, existing tax laws, statutes, rules, regulations, or ordinances could be interpreted differently, changed, repealed, or modified. Any such enactment, interpretation, change, repeal or modification could adversely affect us, possibly with retroactive effect. In particular, changes in corporate tax rates, the taxation of foreign earnings and the deductibility of expenses under current law or any future tax reform legislation could have a material impact on the value or realization of our net deferred tax assets, result in significant one-time charges, and increase our future tax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Any failure to obtain, maintain and protect our intellectual property rights could impair our ability to protect and commercialize our proprietary products and technology and cause us to lose our competitive advantage.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However, we may not be able to prevent unauthorized use of our intellectual property. Our trade secrets may also be compromised, which could cause us to lose our competitive advantage. Third parties may attempt to copy or otherwise obtain, use or infringe our intellectual property.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Patent, copyright, trademark and trade secret laws vary significantly throughout the world.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Our inability to secure patent protection or enforce our patent rights could have a material adverse effect on our ability to prevent others from commercializing similar products or technology.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application and registration of patents involves complex legal and factual questions. As a result, we cannot be certain that the patent applications that we file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 In addition, patents issued to us may be infringed upon or designed around by others and others may obtain patents that require license or design around, either of which would increase costs and may adversely affect our business, prospects, financial condition and operating results.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may face patent infringement and other intellectual property claims that could be costly to defend, result in injunctions and significant damage awards, or limit our ability to use certain key technologies in the future, all of which could harm our business.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The strength of our defenses will depend on the rights asserted, the interpretation of these rights, and our ability to invalidate the asserted rights. However, we could be unsuccessful in advancing non-infringement and/or invalidity arguments in our defense. 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our Common Stock.</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Any intellectual property litigation to which we might become a party, or for which we are required to provide indemnification, regardless of the merit of the claim or our defenses, may require us to do one or more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selling or using solutions or services that incorporate the intellectual property rights that allegedly infringe, misappropriate or violate the intellectual property of a third party;</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substantial payments for legal fees, settlement payments or other costs or damages;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which may not be available on reasonable terms or at all, to sell or use the relevant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the allegedly infringing solutions to avoid infringement, misappropriation or violation, which could be costly, time-consuming or impossible; or</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indemnify third parties using our products or services.</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rely on certain open-source software in our quantum systems. If licensing terms change, our business may be adversely affected.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platform utilizes software licensed to us by third-party authors under “open-source” licenses and we expect to continue to utilize open-source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the platform and broader systems vulnerable to cybersecurity incidents.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Furthermore, some open-source licenses require the release of proprietary source code combined with, linked to or distributed with such open-source software to be released to the public. If we combine, link or distribute our proprietary software with open-source software in a specific manner, we could, under some open-source licenses, be required to release the source code of our proprietary software to the public. This would allow our competitors to create similar solutions with lower development effort and time and ultimately put us at a competitive disadvantage.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Although we monitor our use of open-source software to avoid subjecting our platform to conditions we do not intend to attach to such platform or our proprietary code, we cannot assure you that our processes for controlling such use will be effective.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Some of our intellectual property has been or may be conceived or developed through government-funded research and thus may be subject to federal regulations providing for certain rights for the U.S. government or imposing certain obligations on us, such as a license to the U.S. government under such intellectual property, “march-in” rights, certain reporting requirements and a preference for U.S.-based companies, and compliance with such regulations may limit our exclusive rights and our ability to contract with non-U.S. manufacturers.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U.S. government may have certain rights to intellectual property embodied in our current or future intellectual property pursuant to the Bayh-Dole Act of 1980, or the Patent and Trademark Law Amendments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 require that we comply with this requirement.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pStyle w:val="TextBody"/>
        <w:bidi w:val="0"/>
        <w:spacing w:before="0" w:after="120"/>
        <w:ind w:left="0" w:right="0" w:firstLine="547"/>
        <w:jc w:val="both"/>
        <w:rPr>
          <w:rFonts w:ascii="Times New Roman;Times;serif" w:hAnsi="Times New Roman;Times;serif"/>
          <w:b/>
          <w:sz w:val="20"/>
        </w:rPr>
      </w:pPr>
      <w:r>
        <w:rPr>
          <w:rFonts w:ascii="Times New Roman;Times;serif" w:hAnsi="Times New Roman;Times;serif"/>
          <w:b/>
          <w:sz w:val="20"/>
        </w:rPr>
        <w:t>Risks related to an Investment in our Securities and other General Matters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The market price of our Common Stock and Public Warrants has been and may continue to be volatile.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price of our Common Stock and Public Warrants has been and may continue to be volatile and has and may fluctuate or decline significantly in response to numerous factors, some of which are beyond our control. The securities markets have experienced and continue to experience significant volatility. As a result of this volatility, investors in our Common Stock may not be able to sell their shares at or above the prices they paid. Further, as a result of this volatility it may be difficult for us to attract new investments, including additional offerings of our securities, on terms we consider reasonable, or at all.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In the twelve-month period ended December 31, 2025, the market price of our Common Stock varied between a high of $58.15 on October 14, 2025 and a low of $5.95 on January 13, 2025, and the market price of our Public Warrants varied between a high of $46.78 on October 15, 2025 and a low of $1.95 on January 13, 2025. Market volatility, as well as general economic, market or political conditions, could reduce the market price of shares of our Common Stock or Public Warrants regardless of our operating performance. Further, our Common Stock could be traded by short sellers, which may put pressure on the supply and demand for our Common Stock, further influencing volatility in its market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operating results could be below the expectations of public market analysts and investors due to a number of potential factors, including: our ability to meet our technological milestones (in a timely fashion or at all); changes in the industries in which we and our customers operate; the relative performance of our competitors; adverse impacts of global military conflicts and wars; anticipated or actual fluctuations in our operating results; publication of research reports by securities analysts about us or our competitors or our industry; rumors and market speculation involving us or our competitors, which may include short seller reports; the public’s reaction to our press releases, public announcements and filings with the SEC; our or our competitors’ failure to meet analyst projections or guidance; additions and departures of key personnel; changes in laws or regulations affecting our business, including accounting standards, policies, guidelines, interpretations and principles; involvement in litigation involving the Company, or actions by institutional or activist stockholders; future sales or issuances of our securities; the volume of our securities available for public sale or resale; and other events or factors, including recessions, increases in inflation and interest rates, disruptions to banking systems, foreign currency fluctuations, international tariffs, social, political and economic risks, natural disasters, acts of war (including the conflict involving Russia and Ukraine), terrorism or responses to such events. These market and industry factors may materially reduce the market price of our Common Stock and our Public Warrants regardless of the operating performance of the Company. In the past, following periods of market volatility, stockholders have instituted securities class action litigation. If we are involved in securities litigation, it could have a substantial cost and divert resources and the attention of executive management from our business regardless of the outcome of such litigation.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are currently a “well-known seasoned issuer” as defined in Rule 405 of the Securities Act because our non-affiliated common stock public float was above $700.0 million as of the relevant determination date. If at a specific measurement time in the future, our public float is below $700.0 million, we may no longer qualify as a well-known seasoned issuer and would no longer be able to file automatic shelf registration statements on Form S-3ASR and enjoy the benefits associated with such registration statements, such as automatic effectiveness immediately upon filing, permitting companies to omit more information from the base prospectus than permitted for other shelf registration statements, allowing companies to register unspecified amounts of securities and doing so without allocating among securities or between primary and secondary offerings, and permitting companies to pay filing fees on a “pay-as-you-go” basis at the time of each takedown from the shelf registration statement.  We would also need to convert any Forms S-3ASR to non-automatic shelf registration statements. Not qualifying as a well-known seasoned issuer could also impact the views or perceptions of investors and analysts and may influence investors’ willingness to purchase or hold our securities or analysts’ recommendations regarding our securities.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may fail to comply with the rules that apply to public companies, including Section 404 of the Sarbanes-Oxley Act, which could result in sanctions or other penalties that would adversely impact our business.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As a public company, and particularly after we are no longer an “emerging growth company,” we have and will continue to incur significant legal, accounting, and other expenses that we did not incur as a private company, including costs resulting from public company reporting obligations under the Securities Act or the Exchange Act, and regulations regarding corporate governance practices.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Sarbanes-Oxley Act, the Dodd-Frank Wall Street Reform and Consumer Protection Act, the rules of the SEC, the listing requirements of the Nasdaq, and other applicable securities rules and regulations impose various requirements on public companies, including establishment and maintenance of effective disclosure and financial controls and corporate governance practices. These requirements have increased our legal and financial compliance costs and made some activities more time-consuming and costly. Changes we have made and any changes we make in the future to comply with these obligations may not be sufficient to allow us to satisfy our obligations as a public company on a timely basis, or at all.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These reporting requirements, rules and regulations, coupled with the increase in potential litigation exposure associated with being a public company, could also make it more difficult for us to attract and retain qualified persons to serve on our board of directors (the “Board”) or board committees or to serve as executive officers, or to obtain certain types of insurance, including directors’ and officers’ insurance, on acceptable terms. Pursuant to Sarbanes-Oxley Act Section 404, we are required to furnish a report by our management on our internal control over financial reporting in our Annual Reports on Form 10-K with the SEC. However, while we remain an emerging growth company, we are not required to include an attestation report on internal control over financial reporting issued by our independent registered public accounting firm.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To achieve compliance with Sarbanes-Oxley Act Section 404, we engaged in a process to enhance our internal control over financial reporting, which was both costly and challenging. Despite our efforts, there is a risk that we will not be able to conclude in the future, that our internal control over financial reporting is effective as required by Sarbanes-Oxley Act Section 404. See </w:t>
      </w:r>
      <w:r>
        <w:rPr>
          <w:rFonts w:ascii="Times New Roman;Times;serif" w:hAnsi="Times New Roman;Times;serif"/>
          <w:i/>
          <w:sz w:val="20"/>
        </w:rPr>
        <w:t>In the past we identified material weaknesses in our internal control over financial reporting, leading to a restatement of our financial statements for prior periods. These material weaknesses were subsequently remediated following implementation and testing of a series of new controls and procedures.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Our quarterly operating results have and may fluctuate significantly and could fall below the expectations of securities analysts and investors due to many factors, some of which are beyond our control, resulting in a decline in our stock price.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quarterly operating results have and may fluctuate significantly because of several factors, including:</w:t>
      </w:r>
    </w:p>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availability and costs for hourly and management personnel;</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profitability of our products, especially in new markets and due to seasonal fluctuations;</w:t>
            </w:r>
          </w:p>
        </w:tc>
      </w:tr>
    </w:tbl>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relating to our products;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competitive conditions; and</w:t>
            </w:r>
          </w:p>
        </w:tc>
      </w:tr>
    </w:tbl>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to new markets.</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Securities research analysts have and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fails to publish reports on us regularly, our share price or trading volume could decline. If analysts cease coverage of us, the market price and volume for our securities could be adversely affected.</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Future sales or issuances of our securities may adversely affect the market price of our securities and may be dilutive to existing securities holders.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Sales of a substantial number of shares of our Common Stock in the public market, including sales of our Common Stock by us or our affiliates, or the perception that these sales may occur, could reduce the market price of our Common Stock.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cannot predict the size or timing of any future sales or issuances of our securities or the effect, if any, that such future sales or issuances could have on the market price of our securities. As a result, future capital raising efforts may reduce the market price of our Common Stock and be dilutive to existing stockholders. In addition, our ability to raise additional capital through the sale of equity or convertible debt securities could be significantly impacted by the resale of shares of Common Stock by selling securityholders, which could result in a significant decline in the trading price of our Common Stock and potentially hinder our ability to raise capital at terms that are acceptable to us or at all.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In addition, we may issue additional shares of Common Stock from time to time, including under our equity incentive plans or employee stock purchase plan, or preferred stock. Common Stock reserved for future issuance under our equity incentive plans will become eligible for sale in the public market once those shares are issued, subject to provisions relating to various vesting agreements and, in some cases, limitations on volume and manner of sale applicable to affiliates under Rule 144, as applicable.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addition, we have filed and may file in the future one or more registration statements on Form S-8 under the Securities Act to register additional shares of Common Stock or securities convertible into or exchangeable for shares of Common Stock issued pursuant to our equity incentive plans and employee stock purchase plan, including additional registration statements on Form S-8 to register additional shares of Common Stock pursuant to the “evergreen” provisions thereunder. Shares registered under these registration statements on Form S-8 will be available for sale in the public market, subject to vesting arrangements and exercise of options, and the restrictions of Rule 144 in the case of our affiliates. Sales of a substantial number of shares of our Common Stock in the public market could occur at any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On May 29, 2025, we filed an automatic shelf registration statement on Form S-3ASR with the SEC, which enables us to offer for sale, from time to time, an unspecified amount of Common Stock, preferred stock, debt securities and warrants. The Form S-3ASR became automatically effective upon filing and is valid for three years. </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are currently an “emerging growth company” within the meaning of the Securities Act, and to the extent we have taken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are currently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Further, Section 102(b)(1) of the JOBS Act provides emerging growth companies with delayed reporting requirements with respect to new or revised financial accounting standards. The JOBS Act provides that a company can elect to opt out of the extended transition period and comply with the requirements that apply to non-emerging growth companies, but any such an election to opt out is irrevocable.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Under the current rules of the SEC, we will no longer be eligible to take advantage of the scaled disclosures available to smaller reporting companies beginning with our Quarterly Report on Form 10-Q for the first quarter of 2026. We expect that the loss of the ability to take advantage of scaled disclosures will result in increased legal, accounting and financial compliance costs.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Delaware law and our Certificate of Incorporation and Bylaws contain certain provisions, including anti-takeover provisions, which limit the ability of stockholders to take certain actions and could delay or discourage takeover attempts that stockholders may consider favorable.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Certificate of Incorporation of the Company (the “Certificate of Incorporation”) and the bylaws of the Company (the “Bylaws”), as well as the General Corporation Law of the State of Delaware (“DGCL”), contain provisions that could have the effect of rendering more difficult, delaying, or preventing an acquisition deemed undesirable by the Board and therefore depress the trading price of our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the Certificate of Incorporation and Bylaws include provisions regarding:</w:t>
      </w:r>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for a classified board of directors with staggered, three-year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up to 10,000,000 shares of preferred stock, including “blank check” preferred stock, with any rights, preferences and privileges as they may designate, including the right to approve an acquisition or other change of control;</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the resolution of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our stockholders must be affected at a duly called annual or special meeting of stockholders and not be taken by written consent or electronic transmission;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our stockholders may be called by the chairperson of the Board, the chief executive officer or by the Board pursuant to a resolution adopted by a majority of the total number of authorized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These provisions, alone or together, could delay or prevent hostile takeovers and changes in control or changes in the Board or management.</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The Certificate of Incorporation designates the Court of Chancery of the State of Delaware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Certificate of Incorporation provides that, unless we consent in writing to the selection of an alternative forum, the Court of Chancery of the State of Delaware shall be the sole and exclusive forum for state law claims for a list of enumerated actions, subject to certain exceptions, in which case the United States federal district courts will be the sole and exclusive forum for resolving any action asserting a claim arising under the Securities Act.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To prevent having to litigate claims in multiple jurisdictions and the threat of inconsistent or contrary rulings by different courts, among other considerations, the Certificate of Incorporation provides that, unless we consent in writing to the selection of an alternative forum, United States federal district courts shall be the exclusive forum for the resolution of any complaint asserting a cause of action arising under the Securities Act. There is uncertainty as to whether a court would enforce the forum provision with respect to claims under the federal securities laws.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This choice of forum provision in the Certificate of Incorporation may limit a stockholder’s ability to bring a claim in a judicial forum that it finds favorable for disputes with us or any of our directors, officers, or other employees, which may discourage lawsuits with respect to such claims.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Our Public Warrants and Private Warrants are accounted for as liabilities and the changes in value of these warrants could have a material effect on our financial results.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assets and liabilities at the date of the financial statements, as well as the reported expenses incurred during the reporting periods.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base our interpretations, estimates and judgments on our historical experience and on various other factors that we believe are reasonable under the circumstances, the results of which form the basis for the preparation of our financial statements. GAAP presentation is subject to interpretation by the SEC, the Financial Accounting Standards Board and various other bodies formed to interpret and create appropriate accounting principles and guidance. If one of these bodies disagrees with our accounting recognition, measurement or disclosure or any of our accounting interpretations, estimates or assumptions, it may have a significant effect on our reported results and may retroactively affect previously reported results.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Public Warrants and Private Warrants and determined to classify the warrants as derivative liabilities measured at fair value, with changes in fair value each period reported in our net loss in the statement of operations.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As a result, included in our balance sheets as of December 31, 2025 and 2024 contained in this Annual Report on Form 10-K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our net loss in the statements of operations. As a result of the recurring fair value measurements, our financial statements and results of operations may fluctuate quarterly, based on factors which are outside of our control.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Due to the recurring fair value measurements, we expect that we will recognize non-cash gains or losses on our Public Warrants and Private Warrants each reporting period until such time as the warrants are exercised or expire, and that the amount of such gains or losses could be material. The impact of changes in fair value on earnings may have an adverse effect on the market price of our securities.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No assurance can be given that additional guidance or new regulations or accounting principles and interpretations will not be released that would require a restatement of our financial statements with respect to treatment of the warrants. Any such restatement of our financial results could cause adverse effects.</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Our warrants are exercisable for Common Stock, the exercise of which has increased and will continue to increase the number of shares eligible for future resale in the public market and result in dilution to our stockholders.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of December 31, 2025, the following warrants were outstanding: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and Private Warrants to purchase an aggregate of 8,728,586 shares of Common Stock with an exercise price of $11.50 per share.</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 Warrants (as defined herein) to purchase 315,518 shares of Common Stock with an exercise price of $0.01.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Warrant (as defined herein) to purchase an aggregate of 2,680,607 shares of Common Stock with an exercise price of $1.152 per share. </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During the year ended December 31, 2025, 4,830,235 shares were issued upon the exercise of warrants. The additional shares issued resulted in dilution to the holders of Common Stock and increased the number of shares outstanding. To the extent additional warrants are exercised, stockholders may experience additional dilution. Sales of substantial shares in the public market or the fact that warrants have been and may continue to be exercised could adversely affect the market price of our Common Stock. </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The terms of the Public Warrants may be amended in a manner adverse to a holder if holders of at least 50% of the then outstanding Public Warrants approve of such amendment.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warrants were issued in registered form under a warrant agreement (the “warrant agreement”) between American Stock Transfer &amp; Trust Company, as warrant agent, and Supernova. The warrant agreement provides that the warrants may be amended only with the approval by the holders of at least 50% of the then-outstanding Public Warrants to make any change to the warrants that adversely affects the interests of the registered holders of the Public Warrants.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shorten the exercise period or decrease the number of shares of Common Stock purchasable upon exercise of a Public Warrant.</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We may redeem your unexpired Public Warrants prior to their exercise at a time that is disadvantageous to the holder, thereby making such Public Warrants worthless.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have the ability to redeem outstanding Public Warrants prior to their expiration, at a redemption price of $0.01 per warrant, provided that the last reported sales price of our Common Stock equals or exceeds $18.00 per share (as adjusted for stock splits, stock dividends, reorganizations, recapitalizations and the like) on the trading day prior to the date on which we provide notice of redemption and certain other conditions are met. In such event, holders may exercise their warrants prior to the scheduled redemption date, but only for cash, and the market price of our Common Stock may decline below both the $18.00 redemption threshold and the $11.50 exercise price following the issuance of the redemption notice.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also have the ability to redeem all outstanding Public Warrants, at a redemption price of $0.10 per warrant, provided that the last reported sales price of our Common Stock equals or exceeds $10.00 per share (as adjusted for stock splits, stock dividends, reorganizations, recapitalizations and the like) on the trading day prior to the date on which we provide notice of redemption. In this circumstance, holders may elect to exercise their warrants for cash on a cashless basis during the notice period. The number of shares of Common Stock issuable upon such cashless exercise ranges from 0.034 to 0.361 shares per warrant, depending on the fair market value of the Common Stock and the remaining term of the warrants, as determined pursuant to the warrant agreement. The value received upon exercise may be less than the value that could have been realized had the warrants been exercised at a later time, and the number of shares issuable is subject to a contractual cap set forth in the warrant agreement.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If the Company were to redeem the Public Warrants, this may require holders to: (i) exercise their Public Warrants and pay the exercise price therefore at a time when it may be economically disadvantageous to do so; (ii) sell their Public Warrants at the then-current market price; or (iii) accept the nominal redemption price, which is likely to be substantially less than the market value of the warrants at the time of redemption. None of the Private Warrants will be redeemable by us, subject to certain circumstances, so long as they are held by the Supernova Partners II LLC (“Supernova Sponsor”) or its permitted transferees.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warrant agreement provides that, subject to applicable law, the courts of the State of New York and the United States District Court for the Southern District of New York constitute the sole and exclusive forum for any action, proceeding or claim arising out of or relating to the warrant agreement, including claims under the Securities Act. We irrevocably submit to such jurisdiction and waive any objection to these courts as inconvenient or improper forums. Any purchaser or holder of Public or Private Warrants is deemed to have notice of and consented to these forum provisions.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These exclusive-forum provisions do not apply to actions brought to enforce any liability or duty created by the Exchange Act, or to any claim for which federal district courts of the United States of America are the sole and exclusive forum.</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If a warrant holder initiates any action within the scope of the forum provision in any court other than the designated New York Courts, such holder will be deemed to have consented to: (x) the personal jurisdiction of the New York state and federal courts for purposes of any action to enforce the forum provision and (y) service of process through the warrant holder’s counsel in the foreign action.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This choice-of-forum provision may limit a warrant holder’s ability to bring a claim in a judicial forum it considers favorable and may discourage such lawsuits. Conversely, if a court determines that the provision is inapplicable or unenforceable with respect to certain claims, we could incur additional costs and burdens associated with litigating in multiple jurisdictions, which could materially and adversely affect our business, financial condition and results of operations and divert management’s and the Board’s time and attention.</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We may be subject to securities litigation, which is expensive and could divert management attention.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bidi w:val="0"/>
        <w:spacing w:before="0" w:after="120"/>
        <w:ind w:left="0" w:right="0" w:firstLine="547"/>
        <w:jc w:val="both"/>
        <w:rPr>
          <w:rFonts w:ascii="Times New Roman;Times;serif" w:hAnsi="Times New Roman;Times;serif"/>
          <w:b/>
          <w:i/>
          <w:sz w:val="20"/>
        </w:rPr>
      </w:pPr>
      <w:r>
        <w:rPr>
          <w:rFonts w:ascii="Times New Roman;Times;serif" w:hAnsi="Times New Roman;Times;serif"/>
          <w:b/>
          <w:i/>
          <w:sz w:val="20"/>
        </w:rPr>
        <w:t>Information available in public media that is published by third parties, including blogs, articles, message boards and social and other media may include statements not attributable to the Company and may not be reliable or accurate.</w:t>
      </w:r>
    </w:p>
    <w:p>
      <w:pPr>
        <w:pStyle w:val="TextBody"/>
        <w:bidi w:val="0"/>
        <w:spacing w:before="0" w:after="120"/>
        <w:ind w:left="0" w:right="0" w:firstLine="547"/>
        <w:jc w:val="left"/>
        <w:rPr>
          <w:rFonts w:ascii="Times New Roman;Times;serif" w:hAnsi="Times New Roman;Times;serif"/>
          <w:sz w:val="20"/>
        </w:rPr>
      </w:pPr>
      <w:bookmarkStart w:id="55" w:name="_headingh.5g9lqg9i1d1g"/>
      <w:bookmarkEnd w:id="55"/>
      <w:r>
        <w:rPr>
          <w:rFonts w:ascii="Times New Roman;Times;serif" w:hAnsi="Times New Roman;Times;serif"/>
          <w:sz w:val="20"/>
        </w:rPr>
        <w:t>We have received, and may continue to receive, a high degree of media coverage that is published or otherwise disseminated by third parties, including blogs, articles, message boards and social and other media. This includes coverage that is not attributable to statements made by our officers. Information provided by third parties may not be reliable or accurate and could materially impact the trading price of our Common Stock, which could cause stockholders to lose their investments.</w:t>
      </w:r>
    </w:p>
    <w:p>
      <w:pPr>
        <w:pStyle w:val="TextBody"/>
        <w:pBdr/>
        <w:bidi w:val="0"/>
        <w:spacing w:before="0" w:after="120"/>
        <w:ind w:left="0" w:right="0" w:hanging="720"/>
        <w:jc w:val="left"/>
        <w:rPr>
          <w:rFonts w:ascii="Times New Roman;Times;serif" w:hAnsi="Times New Roman;Times;serif"/>
          <w:b/>
          <w:sz w:val="20"/>
        </w:rPr>
      </w:pPr>
      <w:bookmarkStart w:id="56" w:name="Item1BUnresolvedStaffComments_632747"/>
      <w:bookmarkStart w:id="57" w:name="_f6873fd7_947f_4f35_a003_4d32f0825139"/>
      <w:bookmarkEnd w:id="56"/>
      <w:bookmarkEnd w:id="57"/>
      <w:r>
        <w:rPr>
          <w:rFonts w:ascii="Times New Roman;Times;serif" w:hAnsi="Times New Roman;Times;serif"/>
          <w:b/>
          <w:sz w:val="20"/>
        </w:rPr>
        <w:t>ITEM 1B.          UNRESOLVED STAFF COMMENTS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20"/>
        <w:ind w:left="0" w:right="0" w:hanging="720"/>
        <w:jc w:val="left"/>
        <w:rPr>
          <w:rFonts w:ascii="Times New Roman;Times;serif" w:hAnsi="Times New Roman;Times;serif"/>
          <w:b/>
          <w:sz w:val="20"/>
        </w:rPr>
      </w:pPr>
      <w:bookmarkStart w:id="58" w:name="Item1C"/>
      <w:bookmarkStart w:id="59" w:name="_011d4717_e6fb_4a54_a471_ee9cb7a76494"/>
      <w:bookmarkEnd w:id="58"/>
      <w:bookmarkEnd w:id="59"/>
      <w:r>
        <w:rPr>
          <w:rFonts w:ascii="Times New Roman;Times;serif" w:hAnsi="Times New Roman;Times;serif"/>
          <w:b/>
          <w:sz w:val="20"/>
        </w:rPr>
        <w:t>ITEM 1C.          CYBERSECURITY</w:t>
      </w:r>
    </w:p>
    <w:p>
      <w:pPr>
        <w:pStyle w:val="TextBody"/>
        <w:bidi w:val="0"/>
        <w:spacing w:before="0" w:after="120"/>
        <w:ind w:left="0" w:right="0" w:hanging="0"/>
        <w:jc w:val="left"/>
        <w:rPr>
          <w:rFonts w:ascii="Times New Roman;Times;serif" w:hAnsi="Times New Roman;Times;serif"/>
          <w:b/>
          <w:sz w:val="20"/>
        </w:rPr>
      </w:pPr>
      <w:bookmarkStart w:id="60" w:name="_headingh.dkt7ad9s4ncn"/>
      <w:bookmarkEnd w:id="60"/>
      <w:r>
        <w:rPr>
          <w:rFonts w:ascii="Times New Roman;Times;serif" w:hAnsi="Times New Roman;Times;serif"/>
          <w:b/>
          <w:sz w:val="20"/>
        </w:rPr>
        <w:t>Risk management and strategy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 including information regarding our product architecture, software, algorithms, and applications (“Information Systems and Data”).</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information security function is supported by members of our legal team and a third-party service provider, which helps identify, assess and manage the Company’s cybersecurity threats and risks, including through the use of the Company’s risk register. This team identifies and assesses risks from cybersecurity threats by monitoring and evaluating our threat environment and the Company’s risk profile using various methods including, for example: manual and automated tools; subscribing to and analyzing reports and services that identify cybersecurity threats; conducting scans of our threat environment; evaluating threats reported to us; conducting vulnerability assessments to identify vulnerabilities; and analyzing external threat intelligence feeds.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Depending on the environment, product, or system, we implement and maintain various technical, physical, and organizational measures, processes, standards and policies designed to manage and mitigate material risks from cybersecurity threats to our Information Systems and Data, including, for example: performing risk analyses, establishing an incident response policy, having vulnerability management processes, and implementing certain security certificates for certain functions of our business; encrypting certain data, using network security controls; segregating data; maintaining access and physical security controls; managing, tracking, and disposing of assets; and monitoring our systems. In addition, we may refer to and perform assessments against the Center for Internet Security’s Critical Security Controls to help inform our cybersecurity program, as well as perform assessments such as penetration tests.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assessment and management of material risks from cybersecurity threats are integrated into the Company’s overall risk management processes. For example, (1) cybersecurity risk is addressed as a component of the Company’s enterprise risk management program and identified in the Company’s risk register; (2) our information security function works with management, including our Chief Technology Officer (“CTO”), to prioritize our risk management processes and mitigate cybersecurity threats that could more likely lead to a material impact to our business; (3) our senior management/committee evaluates material risks from cybersecurity threats against our overall business objectives and on a quarterly basis reports to the audit committee of the board of directors, which oversees our cybersecurity risk as part of our overall enterprise risk.</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use third-party service providers to assist us from time to time to identify, assess, and manage material risks from cybersecurity threats, including for example: professional service firms; threat intelligence service providers; cybersecurity consultants; and cybersecurity software and managed cybersecurity service providers. We use third-party service providers to perform a variety of functions throughout our business, such as application providers and public cloud providers, as well as various third-party suppliers that support our manufacturing and development processes. We use certain vendor management processes to manage cybersecurity risks associated with our use of these providers, which includes reviewing the written information security programs of certain of our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This can extend to contingent workers as well, who are required to complete background investigations and agree to adhere to policies, including for privacy and cybersecurity.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b/>
          <w:i/>
          <w:sz w:val="20"/>
        </w:rPr>
        <w:t>Governance</w:t>
      </w:r>
      <w:r>
        <w:rPr>
          <w:rFonts w:ascii="Times New Roman;Times;serif" w:hAnsi="Times New Roman;Times;serif"/>
          <w:sz w:val="20"/>
        </w:rPr>
        <w:t xml:space="preserve">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cybersecurity risk assessment and management processes are implemented and maintained by our legal team along with third-party service providers in coordination with the CTO. The CTO is responsible for hiring appropriate personnel, helping to integrate cybersecurity risk considerations into the Company’s overall risk management strategy, and communicating key priorities to relevant personnel. Our CTO is responsible for approving budgets, helping prepare for potential cybersecurity incidents, approving technical cybersecurity processes, and reviewing security assessments and other security-related reports.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CTO has over 20 years of experience in engineering and information technology management at various organizations. Our CTO collaborates regularly with our third-party service provider who provides a fractional Chief Information Security Officer, who has extensive experience in cybersecurity and a certification as a CISSP.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bookmarkStart w:id="61" w:name="_headingh.x5cg3r9qwf5z"/>
      <w:bookmarkEnd w:id="61"/>
      <w:r>
        <w:rPr>
          <w:rFonts w:ascii="Times New Roman;Times;serif" w:hAnsi="Times New Roman;Times;serif"/>
          <w:sz w:val="20"/>
        </w:rPr>
        <w:t>Our cybersecurity incident response and vulnerability management processes are designed to escalate certain cybersecurity incidents and vulnerabilities to members of management depending on the circumstances in accordance with the incident response policy, including the CTO, CFO, CEO, and others. Our information security function, together with our CTO, works with the Company’s incident response team to help the Company mitigate and remediate cybersecurity incidents of which they are notified. In addition, the Company’s incident response and vulnerability management processes include reporting to the audit committee of the board of directors for certain cybersecurity incidents in accordance with the incident response plan. The audit committee receives periodic reports from the CTO, which reflect input from the third-party service provider, concerning the Company’s risk profile, including significant cybersecurity threats and risk and the processes the Company has implemented to address them. The audit committee also has access to various reports, summaries and presentations related to cybersecurity threats, risk and mitigation.</w:t>
      </w:r>
    </w:p>
    <w:p>
      <w:pPr>
        <w:pStyle w:val="TextBody"/>
        <w:bidi w:val="0"/>
        <w:spacing w:lineRule="auto" w:line="343" w:before="0" w:after="120"/>
        <w:ind w:left="0" w:right="0" w:firstLine="547"/>
        <w:jc w:val="left"/>
        <w:rPr>
          <w:rFonts w:ascii="Times New Roman;Times;serif" w:hAnsi="Times New Roman;Times;serif"/>
          <w:b/>
          <w:i/>
          <w:sz w:val="20"/>
        </w:rPr>
      </w:pPr>
      <w:r>
        <w:rPr>
          <w:rFonts w:ascii="Times New Roman;Times;serif" w:hAnsi="Times New Roman;Times;serif"/>
          <w:b/>
          <w:i/>
          <w:sz w:val="20"/>
        </w:rPr>
        <w:t>Cybersecurity Threats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As of December 31, 2025, we have not experienced any material risks from cybersecurity threats, including as a result of any previous cybersecurity incidents or threats, that have materially affected the business strategy, results of operations or financial condition of the Company or are reasonably likely to have such a material effect. However, we have in the past and also anticipate in the future we will be subject to cybersecurity incidents. We have in place insurance coverage designed to provide coverage in connection with cybersecurity incidents, provided, however, that such insurance coverage may be insufficient to cover all insured losses or all types of claims that may arise. For a description of the risks from cybersecurity threats that may materially affect the Company and how they may do so, see our risk factors under Part 1. Item 1A. Risk Factors in this Annual Report on Form 10-K, including </w:t>
      </w:r>
      <w:r>
        <w:rPr>
          <w:rFonts w:ascii="Times New Roman;Times;serif" w:hAnsi="Times New Roman;Times;serif"/>
          <w:i/>
          <w:sz w:val="20"/>
        </w:rPr>
        <w:t>If our information technology systems or data, or those of third parties upon which we rely, are or were compromised, we could experience adverse consequences, which may adversely affect our business</w:t>
      </w:r>
      <w:r>
        <w:rPr>
          <w:rFonts w:ascii="Times New Roman;Times;serif" w:hAnsi="Times New Roman;Times;serif"/>
          <w:sz w:val="20"/>
        </w:rPr>
        <w:t>.</w:t>
      </w:r>
    </w:p>
    <w:p>
      <w:pPr>
        <w:pStyle w:val="TextBody"/>
        <w:pBdr/>
        <w:bidi w:val="0"/>
        <w:spacing w:before="0" w:after="120"/>
        <w:ind w:left="0" w:right="0" w:hanging="720"/>
        <w:jc w:val="both"/>
        <w:rPr>
          <w:rFonts w:ascii="Times New Roman;Times;serif" w:hAnsi="Times New Roman;Times;serif"/>
          <w:b/>
          <w:sz w:val="20"/>
        </w:rPr>
      </w:pPr>
      <w:bookmarkStart w:id="62" w:name="Item2Properties_627814"/>
      <w:bookmarkStart w:id="63" w:name="_5b11273f_d8f5_4c09_b4db_5921ec4905e3"/>
      <w:bookmarkEnd w:id="62"/>
      <w:bookmarkEnd w:id="63"/>
      <w:r>
        <w:rPr>
          <w:rFonts w:ascii="Times New Roman;Times;serif" w:hAnsi="Times New Roman;Times;serif"/>
          <w:b/>
          <w:sz w:val="20"/>
        </w:rPr>
        <w:t>ITEM 2.             PROPERTIES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principal office is located in Berkeley, California, where we lease approximately 15,625 square feet pursuant to a lease that expires October 31, 2028. Our Fab-1 facility is located in Fremont, California, where the company leases approximately 53,800 square feet pursuant to a lease that expires September 30, 2029. We also have leased office spaces for our international operations in the United Kingdom and Australia. We believe that our existing facilities are adequate to meet our current requirements. See Note 10 in the notes to our consolidated financial statements included elsewhere in this Annual Report on Form 10-K for more information about our lease commitments.</w:t>
      </w:r>
    </w:p>
    <w:p>
      <w:pPr>
        <w:pStyle w:val="TextBody"/>
        <w:bidi w:val="0"/>
        <w:spacing w:before="0" w:after="120"/>
        <w:ind w:left="0" w:right="0" w:hanging="0"/>
        <w:jc w:val="both"/>
        <w:rPr>
          <w:rFonts w:ascii="Times New Roman;Times;serif" w:hAnsi="Times New Roman;Times;serif"/>
          <w:b/>
          <w:sz w:val="20"/>
        </w:rPr>
      </w:pPr>
      <w:bookmarkStart w:id="64" w:name="Item3LegalProceedings_164510"/>
      <w:bookmarkStart w:id="65" w:name="_ecc8e69d_3edf_4191_9dd2_3bdc45d6e1c5"/>
      <w:bookmarkEnd w:id="64"/>
      <w:bookmarkEnd w:id="65"/>
      <w:r>
        <w:rPr>
          <w:rFonts w:ascii="Times New Roman;Times;serif" w:hAnsi="Times New Roman;Times;serif"/>
          <w:b/>
          <w:sz w:val="20"/>
        </w:rPr>
        <w:t>ITEM 3.             LEGAL PROCEEDINGS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From time to time, we may be subject to actions, claims, suits and other legal proceedings arising in the ordinary course of business. Our management believes that while the results of any litigation or other legal proceedings are uncertain, we are not currently a party to any material legal proceedings that, if determined adversely to us, would have a material adverse effect on our business, financial position, results of operations or cash flows. </w:t>
      </w:r>
    </w:p>
    <w:p>
      <w:pPr>
        <w:pStyle w:val="TextBody"/>
        <w:bidi w:val="0"/>
        <w:spacing w:before="0" w:after="120"/>
        <w:ind w:left="0" w:right="0" w:hanging="0"/>
        <w:jc w:val="both"/>
        <w:rPr>
          <w:rFonts w:ascii="Times New Roman;Times;serif" w:hAnsi="Times New Roman;Times;serif"/>
          <w:b/>
          <w:sz w:val="20"/>
        </w:rPr>
      </w:pPr>
      <w:bookmarkStart w:id="66" w:name="Item4MineSafetyDisclosures_640268"/>
      <w:bookmarkStart w:id="67" w:name="_b4fc41b1_f9d7_44d9_9a72_afa683c86184"/>
      <w:bookmarkEnd w:id="66"/>
      <w:bookmarkEnd w:id="67"/>
      <w:r>
        <w:rPr>
          <w:rFonts w:ascii="Times New Roman;Times;serif" w:hAnsi="Times New Roman;Times;serif"/>
          <w:b/>
          <w:sz w:val="20"/>
        </w:rPr>
        <w:t>ITEM 4.             MINE SAFETY DISCLOSURES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2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68" w:name="Item5"/>
      <w:bookmarkStart w:id="69" w:name="PARTII_753338"/>
      <w:bookmarkStart w:id="70" w:name="_af42a39d_9b4b_4fa8_acac_6292ef40d295"/>
      <w:bookmarkEnd w:id="68"/>
      <w:bookmarkEnd w:id="69"/>
      <w:bookmarkEnd w:id="70"/>
      <w:r>
        <w:rPr>
          <w:rFonts w:ascii="Times New Roman;Times;serif" w:hAnsi="Times New Roman;Times;serif"/>
          <w:b/>
          <w:sz w:val="20"/>
        </w:rPr>
        <w:t>PART II</w:t>
      </w:r>
    </w:p>
    <w:p>
      <w:pPr>
        <w:pStyle w:val="TextBody"/>
        <w:bidi w:val="0"/>
        <w:spacing w:before="0" w:after="120"/>
        <w:ind w:left="0" w:right="0" w:hanging="0"/>
        <w:jc w:val="both"/>
        <w:rPr>
          <w:rFonts w:ascii="Times New Roman;Times;serif" w:hAnsi="Times New Roman;Times;serif"/>
          <w:b/>
          <w:sz w:val="20"/>
        </w:rPr>
      </w:pPr>
      <w:bookmarkStart w:id="71" w:name="ITEM5MARKETFOR"/>
      <w:bookmarkEnd w:id="71"/>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Market Information for Common Stock</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Common Stock and Public Warrants trade on The Nasdaq Capital Market under the symbols “RGTI” and “RGTIW,” respectively.</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Stockholders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of March 1, 2026, there were approximately 94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Equity Compensation Plan Information</w:t>
      </w:r>
    </w:p>
    <w:p>
      <w:pPr>
        <w:pStyle w:val="TextBody"/>
        <w:bidi w:val="0"/>
        <w:spacing w:before="0" w:after="0"/>
        <w:ind w:left="0" w:right="0" w:firstLine="555"/>
        <w:jc w:val="both"/>
        <w:rPr>
          <w:rFonts w:ascii="Times New Roman;Times;serif" w:hAnsi="Times New Roman;Times;serif"/>
          <w:sz w:val="20"/>
        </w:rPr>
      </w:pPr>
      <w:r>
        <w:rPr>
          <w:rFonts w:ascii="Times New Roman;Times;serif" w:hAnsi="Times New Roman;Times;serif"/>
          <w:sz w:val="20"/>
        </w:rPr>
        <w:t>Information required by Item 5 of Form 10-K regarding our equity compensation plans is incorporated herein by reference to Item 12 of Part III of this Annual Report on Form 10-K.</w:t>
      </w:r>
    </w:p>
    <w:p>
      <w:pPr>
        <w:pStyle w:val="TextBody"/>
        <w:bidi w:val="0"/>
        <w:spacing w:before="120" w:after="0"/>
        <w:ind w:left="0" w:right="0" w:hanging="0"/>
        <w:jc w:val="both"/>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120" w:after="0"/>
        <w:ind w:left="0" w:right="0" w:firstLine="555"/>
        <w:jc w:val="both"/>
        <w:rPr>
          <w:rFonts w:ascii="Times New Roman;Times;serif" w:hAnsi="Times New Roman;Times;serif"/>
          <w:sz w:val="20"/>
        </w:rPr>
      </w:pPr>
      <w:r>
        <w:rPr>
          <w:rFonts w:ascii="Times New Roman;Times;serif" w:hAnsi="Times New Roman;Times;serif"/>
          <w:sz w:val="20"/>
        </w:rPr>
        <w:t>Other than as previously disclosed in our Current Reports on Form 8-K or Quarterly Reports on Form 10-Q filed with the SEC, we did not issue any unregistered equity securities during the 12 months ended December 31, 2025.</w:t>
      </w:r>
    </w:p>
    <w:p>
      <w:pPr>
        <w:pStyle w:val="TextBody"/>
        <w:bidi w:val="0"/>
        <w:spacing w:before="120" w:after="0"/>
        <w:ind w:left="0" w:right="0" w:hanging="0"/>
        <w:jc w:val="left"/>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bidi w:val="0"/>
        <w:spacing w:before="120" w:after="0"/>
        <w:ind w:left="0" w:right="0" w:firstLine="555"/>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62"/>
        <w:jc w:val="left"/>
        <w:rPr/>
      </w:pPr>
      <w:r>
        <w:rPr/>
        <w:t>​</w:t>
      </w:r>
    </w:p>
    <w:p>
      <w:pPr>
        <w:pStyle w:val="TextBody"/>
        <w:bidi w:val="0"/>
        <w:spacing w:before="0" w:after="120"/>
        <w:ind w:left="0" w:right="0" w:hanging="0"/>
        <w:jc w:val="both"/>
        <w:rPr>
          <w:rFonts w:ascii="Times New Roman;Times;serif" w:hAnsi="Times New Roman;Times;serif"/>
          <w:b/>
          <w:sz w:val="20"/>
        </w:rPr>
      </w:pPr>
      <w:bookmarkStart w:id="72" w:name="_0e52cfdd_61c8_471b_9e77_d49f8fa4fc30"/>
      <w:bookmarkEnd w:id="72"/>
      <w:r>
        <w:rPr>
          <w:rFonts w:ascii="Times New Roman;Times;serif" w:hAnsi="Times New Roman;Times;serif"/>
          <w:b/>
          <w:sz w:val="20"/>
        </w:rPr>
        <w:t>ITEM 6.             [RESERVED].</w:t>
      </w:r>
    </w:p>
    <w:p>
      <w:pPr>
        <w:pStyle w:val="TextBody"/>
        <w:bidi w:val="0"/>
        <w:spacing w:before="0" w:after="0"/>
        <w:ind w:left="0" w:right="0" w:hanging="0"/>
        <w:jc w:val="left"/>
        <w:rPr/>
      </w:pPr>
      <w:bookmarkStart w:id="73" w:name="ITEM6RESERVED_898388"/>
      <w:bookmarkEnd w:id="73"/>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bookmarkStart w:id="74" w:name="Item7ManagementsDiscussionandAnalysisofF"/>
      <w:bookmarkStart w:id="75" w:name="_66c77b5d_455e_4557_ae94_4037ac2a994f"/>
      <w:bookmarkEnd w:id="74"/>
      <w:bookmarkEnd w:id="75"/>
      <w:r>
        <w:rPr>
          <w:rFonts w:ascii="Times New Roman;Times;serif" w:hAnsi="Times New Roman;Times;serif"/>
          <w:b/>
          <w:sz w:val="20"/>
        </w:rPr>
        <w:t>ITEM 7.            MANAGEMENT’S DISCUSSION AND ANALYSIS OF FINANCIAL CONDITION AND RESULTS OF OPERATIONS.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consolidated financial statements and notes thereto included elsewhere in this Annual Report on Form 10-K.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“Cautionary Note Regarding Forward-Looking Statements”, “Risk Factors” and elsewhere in this Annual Report on Form 10-K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w:t>
      </w:r>
      <w:r>
        <w:rPr>
          <w:rFonts w:ascii="Times New Roman;Times;serif" w:hAnsi="Times New Roman;Times;serif"/>
          <w:i/>
          <w:sz w:val="20"/>
        </w:rPr>
        <w:t>.</w:t>
      </w:r>
    </w:p>
    <w:p>
      <w:pPr>
        <w:pStyle w:val="TextBody"/>
        <w:bidi w:val="0"/>
        <w:spacing w:before="0" w:after="120"/>
        <w:ind w:left="0" w:right="0" w:firstLine="540"/>
        <w:jc w:val="both"/>
        <w:rPr>
          <w:rFonts w:ascii="Times-Italic" w:hAnsi="Times-Italic"/>
          <w:sz w:val="20"/>
        </w:rPr>
      </w:pPr>
      <w:r>
        <w:rPr>
          <w:rFonts w:ascii="Times-Italic" w:hAnsi="Times-Italic"/>
          <w:sz w:val="20"/>
        </w:rPr>
        <w:t>For purposes of this discussion, “Rigetti,” “the Company,” “we,” “us” or “our” refer to Rigetti Computing, Inc. and its subsidiaries unless the context otherwise requires.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and providing access to quantum computing systems via the cloud in the form of Quantum Computing as a Service (“QCaaS’). However, the substantial majority of our current revenues are derived from development contracts, and we anticipate this market opportunity will continue to represent an important source of revenue for at least the next several years as we work to ramp up sales of QPUs, quantum computing systems and QCaaS. Additionally, we are working to further develop a revenue stream and forging important customer relationships by entering into technology development contracts with various partners.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are a vertically integrated company. We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 We have been generating revenue since 2018 through partnerships with government agencies and commercial organizations; however, we have not yet generated profits. We have incurred significant operating losses since inception. Our net losses were $216.2 million and $201.0 million for the years ended December 31, 2025 and December 31, 2024, respectively. We expect to continue to incur additional losses for the foreseeable future as we invest in research and development and infrastructure in line with our long-term business strategy. As of December 31, 2025, we had an accumulated deficit of $771.0 million.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Based on our forecasts, we believe that our existing cash, cash equivalents and marketable securities will be sufficient to meet our anticipated operating cash needs for at least the next twelve months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 or other sources, such as strategic collaborations or other transactions. In addition, we may seek additional capital even if we believe that we have sufficient funds for current or future operating plans.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the fourth quarter of 2024, we announced the public launch of our 84-qubit Ankaa-3 system, which featured an extensive hardware redesign. We achieved a key two-qubit gate fidelity milestone with Ankaa-3: successfully halving error rates in 2024 to achieve a 99.0% median two-qubit gate fidelity based on our internal testing. For information on gate fidelity, see “—Our Technology—Our Superconducting Quantum Processors—Fidelity.”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second quarter of 2025, we announced the public launch of our 36-qubit Cepheus-1-36Q system, our newest flagship quantum computer that utilizes our modular chip architecture and demonstrates our path to scaling to higher qubit count and higher performing systems. Made of four 9-qubit “chiplets,” we believe that Cepheus-1-36Q is the industry’s largest multi-chip quantum computer. As of January 2026, we achieved a 99.6% median two-qubit gate fidelity (based on internal testing) with Cepheus-1-36Q, successfully halving our error rate from our previous, single-chip 84-qubit Ankaa-3 system. </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Ankaa-3 and Cepheus-1-36Q are available to our partners via the Rigetti QCS platform. Cepheus-1-36Q is intended to enable users to operate our universal CZ gates for a wide range of algorithmic research, with a median gate time of 76 nanoseconds. Our CZ gates are designed to be optimized for fast gate times while reducing coherent errors, which improves fidelity and is key for executing quantum error correction techniques. Cepheus-1-36Q features scalable chip architecture with 3D signal delivery while incorporating enhancements to key technologies, such as enhanced intermodule coupler design to enable higher performance. Leveraging our full-stack platform and in-house quantum foundry capabilities, we believe that Cepheus-1-36Q demonstrates our ability to deliver increasingly higher performance quantum computers with larger qubit counts using our proprietary chiplet-based architecture. </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focused on continuing to improve our system performance. We recently achieved a two-qubit gate fidelity as high as 99.9% at 28 nanosecond gate speed on a prototype platform by using a new proprietary adiabatic CZ scheme. We continue to be at 99.9% one-qubit gate fidelity. In January 2026, we announced achievement of a median two-qubit gate fidelity (based on internal testing) of 99.7% on our 9-qubit system, 99.6% on our 36-qubit system and 99.0% on our 108-qubit system (Cepheus-1-108Q). Cepheus-1-108Q is based on twelve 9-qubit chiplets and leverages our proprietary modular chip architecture. </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received purchase orders for two Novera systems totaling approximately $5.7 million. Both systems are upgradeable, allowing the customers to increase the system qubit count for more complex computations and research. Delivery for both systems is expected in the first half of 2026.</w:t>
      </w:r>
    </w:p>
    <w:p>
      <w:pPr>
        <w:pStyle w:val="TextBody"/>
        <w:bidi w:val="0"/>
        <w:spacing w:before="0" w:after="120"/>
        <w:ind w:left="0" w:right="0" w:firstLine="547"/>
        <w:jc w:val="both"/>
        <w:rPr>
          <w:rFonts w:ascii="Times New Roman;Times;serif" w:hAnsi="Times New Roman;Times;serif"/>
          <w:b/>
          <w:i/>
          <w:sz w:val="2"/>
        </w:rPr>
      </w:pPr>
      <w:r>
        <w:rPr>
          <w:rFonts w:ascii="Times New Roman;Times;serif" w:hAnsi="Times New Roman;Times;serif"/>
          <w:b w:val="false"/>
          <w:i w:val="false"/>
          <w:caps w:val="false"/>
          <w:smallCaps w:val="false"/>
          <w:sz w:val="20"/>
        </w:rPr>
        <w:t>In January 2026, Rigetti Computing India P L, a wholly owned subsidiary of Rigetti Computing, Inc., announced that it received an $8.4 million purchase order to deliver a 108-qubit quantum computer to C-DAC. The system will be installed on-premises at C</w:t>
      </w:r>
      <w:r>
        <w:rPr>
          <w:rFonts w:ascii="Times New Roman;Times;serif" w:hAnsi="Times New Roman;Times;serif"/>
          <w:b/>
          <w:i/>
          <w:caps w:val="false"/>
          <w:smallCaps w:val="false"/>
          <w:sz w:val="2"/>
        </w:rPr>
        <w: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
        </w:rPr>
        <w:t> </w:t>
      </w:r>
      <w:r>
        <w:rPr>
          <w:rFonts w:ascii="Times New Roman;Times;serif" w:hAnsi="Times New Roman;Times;serif"/>
          <w:b w:val="false"/>
          <w:i w:val="false"/>
          <w:caps w:val="false"/>
          <w:smallCaps w:val="false"/>
          <w:sz w:val="20"/>
        </w:rPr>
        <w:t>DAC’s Bengaluru center and is expected to be deployed in the second half of 2026.</w:t>
      </w:r>
    </w:p>
    <w:p>
      <w:pPr>
        <w:pStyle w:val="TextBody"/>
        <w:bidi w:val="0"/>
        <w:spacing w:before="0" w:after="12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the production of our scalable multi-chip quantum processors in Fab-1 and our full-stack product development approach, we are working to develop quantum computing systems that demonstrate clear performance advantages over classical computing alternatives for multiple high-impact application areas.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2025 ATM Offering</w:t>
      </w:r>
    </w:p>
    <w:p>
      <w:pPr>
        <w:pStyle w:val="TextBody"/>
        <w:bidi w:val="0"/>
        <w:spacing w:lineRule="auto" w:line="240" w:before="0" w:after="120"/>
        <w:ind w:left="0" w:right="0" w:firstLine="547"/>
        <w:jc w:val="both"/>
        <w:rPr>
          <w:rFonts w:ascii="Times New Roman;Times;serif" w:hAnsi="Times New Roman;Times;serif"/>
          <w:sz w:val="14"/>
        </w:rPr>
      </w:pPr>
      <w:r>
        <w:rPr>
          <w:rFonts w:ascii="Times New Roman;Times;serif" w:hAnsi="Times New Roman;Times;serif"/>
          <w:sz w:val="20"/>
        </w:rPr>
        <w:t>On May 29, 2025, we entered into an Open Market Sale Agreement</w:t>
      </w:r>
      <w:r>
        <w:rPr>
          <w:rFonts w:ascii="Times New Roman;Times;serif" w:hAnsi="Times New Roman;Times;serif"/>
          <w:sz w:val="11"/>
        </w:rPr>
        <w:t>TM</w:t>
      </w:r>
      <w:r>
        <w:rPr>
          <w:rFonts w:ascii="Times New Roman;Times;serif" w:hAnsi="Times New Roman;Times;serif"/>
          <w:sz w:val="14"/>
        </w:rPr>
        <w:t> </w:t>
      </w:r>
      <w:r>
        <w:rPr>
          <w:rFonts w:ascii="Times New Roman;Times;serif" w:hAnsi="Times New Roman;Times;serif"/>
          <w:sz w:val="20"/>
        </w:rPr>
        <w:t>(the “Sales Agreement”) with Jefferies, LLC, with respect to an At-the-Market (“ATM”) offering program, pursuant to which we sold, from time to time at our sole discretion, shares of our common stock having an aggregate offering price of $350 million. The shares offered and sold in the ATM offering were issued pursuant to a shelf registration statement on Form S-3 and the related prospectus supplement. During the year ended December 31, 2025, we raised gross proceeds of $350 million from the sale of 30,309,780 shares of our common stock pursuant to the Sales Agreement, at a weighted average price of $11.55 per share. All of the shares were sold during our second quarter ended June 30, 2025. The net proceeds from the Sales Agreement during the year ended December 31, 2025 were $346.7 million. As of December 31, 2025, there were no remaining shares available for sale pursuant to the Sales Agreement.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Quanta Collaboration Agreement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shd w:fill="FFFFFF" w:val="clear"/>
        </w:rPr>
        <w:t>In February 2025, our wholly-owned subsidiary entered into the Collaboration Agreement with Quanta, whereby the parties may enter into written statements of work from time to time pursuant to which Quanta will develop Covered Components listed in such statement of work that meet our specifications and requirements. “Covered Components” may include control systems, dilution refrigerators, flexible cables, and select other non-QPU components suitable for our quantum computing products. In addition, the parties have each</w:t>
      </w:r>
      <w:r>
        <w:rPr>
          <w:rFonts w:ascii="Times New Roman;Times;serif" w:hAnsi="Times New Roman;Times;serif"/>
          <w:sz w:val="20"/>
        </w:rPr>
        <w:t xml:space="preserve"> </w:t>
      </w:r>
      <w:r>
        <w:rPr>
          <w:rFonts w:ascii="Times New Roman;Times;serif" w:hAnsi="Times New Roman;Times;serif"/>
          <w:sz w:val="20"/>
          <w:shd w:fill="FFFFFF" w:val="clear"/>
        </w:rPr>
        <w:t>agreed to invest at least $250 million over the next five years in the field of quantum computing (and Quanta’s investment will be towards personnel and capital expenditures for developing products and services and manufacturing capability in furtherance of our product roadmap). </w:t>
      </w:r>
      <w:r>
        <w:rPr>
          <w:rFonts w:ascii="Times New Roman;Times;serif" w:hAnsi="Times New Roman;Times;serif"/>
          <w:sz w:val="20"/>
        </w:rPr>
        <w:t>No equity or joint venture was formed under the Collaboration Agreement and costs incurred by us under the Collaboration Agreement, consisting of expenditures for research and development and related capital, will be accounted for in accordance with GAAP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Under the Collaboration Agreement, we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one-half undivided interest in, all such joint project technology and all newly-created or newly-arising IP rights with respect thereto.</w:t>
      </w:r>
    </w:p>
    <w:p>
      <w:pPr>
        <w:pStyle w:val="TextBody"/>
        <w:bidi w:val="0"/>
        <w:spacing w:before="0" w:after="12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In connection with the Collaboration Agreement, on February 27, 2025, we entered into a Securities Purchase Agreement with Quanta, pursuant to which we agreed to sell and issue to Quanta in a private placement transaction 3,020,412 shares of our Common Stock at a price per share of approximately $11.59, for an aggregate value of approximately $35.0 million. The private placement transaction, which was subject to regulatory clearance, closed on April 29, 2025.</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120"/>
        <w:ind w:left="0" w:right="0" w:firstLine="540"/>
        <w:jc w:val="both"/>
        <w:rPr>
          <w:rFonts w:ascii="Times New Roman;Times;serif" w:hAnsi="Times New Roman;Times;serif"/>
          <w:sz w:val="20"/>
        </w:rPr>
      </w:pPr>
      <w:r>
        <w:rPr>
          <w:rFonts w:ascii="Liberation Serif" w:hAnsi="Liberation Serif"/>
          <w:sz w:val="20"/>
        </w:rPr>
        <w:t>Results of our operations have varied and may continue to vary based on the impact of changes in the domestic or global economy. Negative conditions in the general economy both in the United States and abroad, including conditions resulting from changes in gross domestic product growth, inflation, interest rates, financial and credit market fluctuations, supply chain constraints, international trade policies including tariffs and export controls, national security interests, pandemics, political turmoil, government shutdowns, natural catastrophes, warfare, and terrorist attacks in the United States or elsewhere, could negatively affect our business, including progress toward the development of quantum computing by increasing the cost of materials and components and our operating costs. </w:t>
      </w:r>
      <w:r>
        <w:rPr>
          <w:rFonts w:ascii="Times New Roman;Times;serif" w:hAnsi="Times New Roman;Times;serif"/>
          <w:sz w:val="20"/>
        </w:rPr>
        <w:t>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 </w:t>
      </w:r>
      <w:r>
        <w:rPr>
          <w:rFonts w:ascii="Liberation Serif" w:hAnsi="Liberation Serif"/>
          <w:sz w:val="20"/>
        </w:rPr>
        <w:t>and the trading price of our Common Stock could decline.</w:t>
      </w:r>
      <w:r>
        <w:rPr>
          <w:rFonts w:ascii="Times New Roman;Times;serif" w:hAnsi="Times New Roman;Times;serif"/>
          <w:sz w:val="20"/>
        </w:rPr>
        <w:t xml:space="preserve"> </w:t>
      </w:r>
    </w:p>
    <w:p>
      <w:pPr>
        <w:pStyle w:val="TextBody"/>
        <w:bidi w:val="0"/>
        <w:spacing w:before="0" w:after="120"/>
        <w:ind w:left="0" w:right="0" w:firstLine="547"/>
        <w:jc w:val="both"/>
        <w:rPr>
          <w:rFonts w:ascii="Times New Roman;Times;serif" w:hAnsi="Times New Roman;Times;serif"/>
          <w:sz w:val="20"/>
        </w:rPr>
      </w:pPr>
      <w:r>
        <w:rPr>
          <w:rFonts w:ascii="Times-Roman" w:hAnsi="Times-Roman"/>
          <w:sz w:val="20"/>
        </w:rPr>
        <w:t xml:space="preserve">For further discussion of the potential impacts of macroeconomic events on our business, financial condition, and operating results, see the section titled “Risk Factors,” including the risk factor titled </w:t>
      </w:r>
      <w:r>
        <w:rPr>
          <w:rFonts w:ascii="Times New Roman;Times;serif" w:hAnsi="Times New Roman;Times;serif"/>
          <w:sz w:val="20"/>
        </w:rPr>
        <w:t>“</w:t>
      </w:r>
      <w:r>
        <w:rPr>
          <w:rFonts w:ascii="Times New Roman;Times;serif" w:hAnsi="Times New Roman;Times;serif"/>
          <w:i/>
          <w:sz w:val="20"/>
        </w:rPr>
        <w:t>Unstable or unfavorable market and economic conditions in our industry and or the global economy have had and may continue to have serious adverse consequences on our business, financial condition and share price. In the future, we may be required to record significant charges for impairment of our long-lived assets, other assets or investments.”</w:t>
      </w:r>
      <w:r>
        <w:rPr>
          <w:rFonts w:ascii="Times New Roman;Times;serif" w:hAnsi="Times New Roman;Times;serif"/>
          <w:sz w:val="20"/>
        </w:rPr>
        <w:t xml:space="preserve"> </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quantum computing systems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in areas of business interest.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120"/>
        <w:ind w:left="0" w:right="0" w:firstLine="547"/>
        <w:jc w:val="both"/>
        <w:rPr>
          <w:rFonts w:ascii="Liberation Serif" w:hAnsi="Liberation Serif"/>
          <w:sz w:val="20"/>
          <w:shd w:fill="FFFFFF" w:val="clear"/>
        </w:rPr>
      </w:pPr>
      <w:r>
        <w:rPr>
          <w:rFonts w:ascii="Liberation Serif" w:hAnsi="Liberation Serif"/>
          <w:sz w:val="20"/>
          <w:shd w:fill="FFFFFF" w:val="clear"/>
        </w:rPr>
        <w:t>Cost of revenue consists primarily of all direct and indirect costs associated with sales of QPUs, quantum computing systems,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12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Our operating expenses primarily consist of research and development, and selling, general and administrative expenses. </w:t>
      </w:r>
    </w:p>
    <w:p>
      <w:pPr>
        <w:pStyle w:val="TextBody"/>
        <w:bidi w:val="0"/>
        <w:spacing w:before="0" w:after="120"/>
        <w:ind w:left="0" w:right="0" w:firstLine="54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540"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include compensation, employee benefits, stock-based compensation, insurance, facility costs, professional service fees, and other general overhead costs other than those associated with research and development or sales of QPUs, quantum computing systems and providing development contracts, QCaaS offerings and other services. We expect selling, general and administrative expenses to increase as we grow our business, particularly </w:t>
      </w:r>
      <w:r>
        <w:rPr>
          <w:rFonts w:ascii="Times-Roman" w:hAnsi="Times-Roman"/>
          <w:sz w:val="20"/>
        </w:rPr>
        <w:t>to the extent we are able to demonstrate the usefulness of quantum computers and achieve quantum advantage, and subsequently enhance our product and service offerings, expand our customer base, and implement new marketing strategies.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Comparison of the years ended December 31, 2025 and 2024</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tables set forth our results of operations for the years indicated (in thousands):</w:t>
      </w:r>
    </w:p>
    <w:tbl>
      <w:tblPr>
        <w:tblW w:w="9392" w:type="dxa"/>
        <w:jc w:val="left"/>
        <w:tblInd w:w="0" w:type="dxa"/>
        <w:tblLayout w:type="fixed"/>
        <w:tblCellMar>
          <w:top w:w="0" w:type="dxa"/>
          <w:left w:w="0" w:type="dxa"/>
          <w:bottom w:w="0" w:type="dxa"/>
          <w:right w:w="0" w:type="dxa"/>
        </w:tblCellMar>
      </w:tblPr>
      <w:tblGrid>
        <w:gridCol w:w="3736"/>
        <w:gridCol w:w="346"/>
        <w:gridCol w:w="196"/>
        <w:gridCol w:w="811"/>
        <w:gridCol w:w="346"/>
        <w:gridCol w:w="196"/>
        <w:gridCol w:w="811"/>
        <w:gridCol w:w="346"/>
        <w:gridCol w:w="196"/>
        <w:gridCol w:w="721"/>
        <w:gridCol w:w="346"/>
        <w:gridCol w:w="931"/>
        <w:gridCol w:w="256"/>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372360" cy="175260"/>
                      <wp:effectExtent l="0" t="0" r="0" b="0"/>
                      <wp:wrapNone/>
                      <wp:docPr id="1" name="Frame1"/>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14985" cy="175260"/>
                      <wp:effectExtent l="0" t="0" r="0" b="0"/>
                      <wp:wrapNone/>
                      <wp:docPr id="4" name="Frame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14985" cy="175260"/>
                      <wp:effectExtent l="0" t="0" r="0" b="0"/>
                      <wp:wrapNone/>
                      <wp:docPr id="7" name="Frame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57835" cy="175260"/>
                      <wp:effectExtent l="0" t="0" r="0" b="0"/>
                      <wp:wrapNone/>
                      <wp:docPr id="10" name="Frame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91185" cy="175260"/>
                      <wp:effectExtent l="0" t="0" r="0" b="0"/>
                      <wp:wrapNone/>
                      <wp:docPr id="12" name="Frame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2560" cy="175260"/>
                      <wp:effectExtent l="0" t="0" r="0" b="0"/>
                      <wp:wrapNone/>
                      <wp:docPr id="13" name="Frame1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790" cy="175260"/>
                      <wp:effectExtent l="0" t="0" r="0" b="0"/>
                      <wp:wrapNone/>
                      <wp:docPr id="14" name="Frame1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346" w:type="dxa"/>
            <w:tcBorders/>
            <w:vAlign w:val="center"/>
          </w:tcPr>
          <w:p>
            <w:pPr>
              <w:pStyle w:val="TableContents"/>
              <w:bidi w:val="0"/>
              <w:spacing w:before="0" w:after="1"/>
              <w:ind w:left="0" w:right="0" w:hanging="0"/>
              <w:jc w:val="center"/>
              <w:rPr/>
            </w:pPr>
            <w:r>
              <w:rPr/>
              <w:t>​</w:t>
            </w:r>
          </w:p>
        </w:tc>
        <w:tc>
          <w:tcPr>
            <w:tcW w:w="21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 vs. 2024</w:t>
            </w:r>
          </w:p>
        </w:tc>
        <w:tc>
          <w:tcPr>
            <w:tcW w:w="25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7,088</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10,790</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(3,702)</w:t>
            </w:r>
          </w:p>
        </w:tc>
        <w:tc>
          <w:tcPr>
            <w:tcW w:w="346" w:type="dxa"/>
            <w:tcBorders/>
            <w:shd w:fill="CCEEFF" w:val="clear"/>
            <w:vAlign w:val="center"/>
          </w:tcPr>
          <w:p>
            <w:pPr>
              <w:pStyle w:val="TableContents"/>
              <w:bidi w:val="0"/>
              <w:spacing w:before="0" w:after="1"/>
              <w:ind w:left="0" w:right="0" w:hanging="0"/>
              <w:jc w:val="left"/>
              <w:rPr/>
            </w:pPr>
            <w:r>
              <w:rPr/>
              <w:t>  ​ ​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5,093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61,345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11,595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25,379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24,457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922</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12,517</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(84,660)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(68,510)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(16,150)</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3,255</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11,448</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(150,629)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(60,461)</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(43,742)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46,260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(131,550)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(132,478)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928</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(216,210)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(200,988)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(15,222)</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(216,210)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(200,988)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(15,222)</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120" w:after="120"/>
        <w:ind w:left="0" w:right="0" w:hanging="0"/>
        <w:jc w:val="left"/>
        <w:rPr>
          <w:rFonts w:ascii="Times New Roman;Times;serif" w:hAnsi="Times New Roman;Times;serif"/>
          <w:sz w:val="18"/>
        </w:rPr>
      </w:pPr>
      <w:r>
        <w:rPr>
          <w:rFonts w:ascii="Times New Roman;Times;serif" w:hAnsi="Times New Roman;Times;serif"/>
          <w:sz w:val="18"/>
        </w:rPr>
        <w:t>*NM - Not Meaningful</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Revenue decreased by $3.7 million for the year ended December 31, 2025, when compared to the year ended December 31, 2024. The decrease was mainly due to a $1.4 million reduction in revenue from collaborative research and professional services contracts, and a $2.4 million reduction in revenue from sales of collaborative research materials and quantum computers. During the year ended December 31, 2025, there were no Novera ™ sales. During the year ended December 31, 2024, revenue from Novera sales totaled $1.6 million. Our revenue has been negatively impacted by expiration of the National Quantum Initiative Act in September 2023 and its pending reauthorization in the United States Congress.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Our development contracts are typically, time and materials, cost-share based or fixed price milestone contracts and the timing and amounts of revenue recognized in any given period will vary significantly based on the work performed and/or satisfaction of performance obligations. The timing and delivery of sales of QPUs, quantum computing systems and QCaaS will also vary and impact revenue in any given quarterly or annual period. Revenue is expected to vary in terms of timing and size, resulting in significant fluctuations in revenue levels in future periods.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anticipated sales of on-premises QPUs and quantum computing systems.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Cost of revenue was relatively flat for the year ended December 31, 2025, when compared to the year ended December 31, 2024. The impact of lower revenue levels on cost of revenue was mostly offset by an unfavorable revenue mix, with more revenue and cost of revenue coming from contracts with higher costs and a lower gross margin profile.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cost of revenue and gross margins are impacted by the composition of our revenue and variability in the pricing and terms of our sales and development contracts. During the year ended December 31, 2025, we recognized revenue and cost of revenue from contracts to deliver 24-qubit and 36-qubit quantum computing systems, which have higher costs and a lower gross margin profile than most of our other contracts.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sales and development contracts.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Research and development expenses increased by $11.6 million for the year ended December 31, 2025, when compared to the year ended December 31, 2024.</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increase in research and development expenses during the year ended </w:t>
      </w:r>
      <w:r>
        <w:rPr>
          <w:rFonts w:ascii="Times New Roman;Times;serif" w:hAnsi="Times New Roman;Times;serif"/>
          <w:sz w:val="20"/>
          <w:shd w:fill="FFFFFF" w:val="clear"/>
        </w:rPr>
        <w:t>December 31, 2025</w:t>
      </w:r>
      <w:r>
        <w:rPr>
          <w:rFonts w:ascii="Times New Roman;Times;serif" w:hAnsi="Times New Roman;Times;serif"/>
          <w:sz w:val="20"/>
        </w:rPr>
        <w:t xml:space="preserve">, when compared to the year ended December 31, 2024, was mainly due to increases in salaries, employee related costs and stock-based compensation for existing employees to remain competitive in the marketplace for talent and new hires. Salaries and employee related costs increased by $4.4 million and stock-based compensation costs increased by $3.7 million during the year ended December 31, 2025, when compared to the year ended December 31, 2024. All other research and development costs including materials, consultants and information technology increased by $3.5 million during the year ended </w:t>
      </w:r>
      <w:r>
        <w:rPr>
          <w:rFonts w:ascii="Times New Roman;Times;serif" w:hAnsi="Times New Roman;Times;serif"/>
          <w:sz w:val="20"/>
          <w:shd w:fill="FFFFFF" w:val="clear"/>
        </w:rPr>
        <w:t>December 31, 2025</w:t>
      </w:r>
      <w:r>
        <w:rPr>
          <w:rFonts w:ascii="Times New Roman;Times;serif" w:hAnsi="Times New Roman;Times;serif"/>
          <w:sz w:val="20"/>
        </w:rPr>
        <w:t>, when compared to the year ended December 31, 2024, to support our research and development efforts.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anticipate that research and development expenditures will grow in the future as we continue to focus on our technology roadmap and goals of achieving quantum advantage and large-scale fault tolerant quantum computing. In the future, we may seek to significantly increase our capital expenditures, including to upgrade our current chip fabrication facility, and possibly invest in a new quantum chip fabrication facility, which would require a significant amount of cash for capital expenditures and increase our depreciation expense in future years.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Selling, general and administrative expenses increased by $0.9 million for the year ended December 31, 2025, when compared to the year ended December 31, 2024.</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increase in selling, general and administrative expenses during the year ended </w:t>
      </w:r>
      <w:r>
        <w:rPr>
          <w:rFonts w:ascii="Times New Roman;Times;serif" w:hAnsi="Times New Roman;Times;serif"/>
          <w:sz w:val="20"/>
          <w:shd w:fill="FFFFFF" w:val="clear"/>
        </w:rPr>
        <w:t>December 31, 2025</w:t>
      </w:r>
      <w:r>
        <w:rPr>
          <w:rFonts w:ascii="Times New Roman;Times;serif" w:hAnsi="Times New Roman;Times;serif"/>
          <w:sz w:val="20"/>
        </w:rPr>
        <w:t xml:space="preserve">, when compared to the year ended December 31, 2024, was mainly due to higher costs for proxy distribution and solicitation related to our annual meeting, which was driven by the increase in the number of beneficial owners of our common stock. In addition, lower bonus expenses were offset by higher stock-based compensation expenses for existing employees and other costs.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to incur additional selling, general and administrative expenses to support the growth of our business. Further, 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Interest expenses decreased by $3.2 million for the year ended </w:t>
      </w:r>
      <w:r>
        <w:rPr>
          <w:rFonts w:ascii="Times New Roman;Times;serif" w:hAnsi="Times New Roman;Times;serif"/>
          <w:sz w:val="20"/>
          <w:shd w:fill="FFFFFF" w:val="clear"/>
        </w:rPr>
        <w:t>December 31, 2025</w:t>
      </w:r>
      <w:r>
        <w:rPr>
          <w:rFonts w:ascii="Times New Roman;Times;serif" w:hAnsi="Times New Roman;Times;serif"/>
          <w:sz w:val="20"/>
        </w:rPr>
        <w:t>, when compared to the year ended December 31, 2024. The reduction in interest expense was due to the prepayment of our outstanding debt with Trinity Capital Inc. (“Trinity Capital”) in December 2024. A discussion regarding the debt prepayment is included in Note 7 to our consolidated financial statements for the year ended December 31, 2025, included elsewhere in this Annual Report on Form 10-K.</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Interest income was $16.6 million for the year ended December</w:t>
      </w:r>
      <w:r>
        <w:rPr>
          <w:rFonts w:ascii="Times New Roman;Times;serif" w:hAnsi="Times New Roman;Times;serif"/>
          <w:sz w:val="20"/>
          <w:shd w:fill="FFFFFF" w:val="clear"/>
        </w:rPr>
        <w:t xml:space="preserve"> 31, 2025, compared to $5.1 million for the year ended December 31, 2024</w:t>
      </w:r>
      <w:r>
        <w:rPr>
          <w:rFonts w:ascii="Times New Roman;Times;serif" w:hAnsi="Times New Roman;Times;serif"/>
          <w:sz w:val="20"/>
        </w:rPr>
        <w:t>. The increase in interest income during the year ended December 31, 2025 was d</w:t>
      </w:r>
      <w:r>
        <w:rPr>
          <w:rFonts w:ascii="Times New Roman;Times;serif" w:hAnsi="Times New Roman;Times;serif"/>
          <w:sz w:val="20"/>
          <w:shd w:fill="FFFFFF" w:val="clear"/>
        </w:rPr>
        <w:t>ue to an increase in the balances of our invested cash and available-for-sale investments resulting from our equity offerings during late 2024 and the year ended December 31, 2025. Fluctuations in the rates of interest earned on our investments</w:t>
      </w:r>
      <w:r>
        <w:rPr>
          <w:rFonts w:ascii="Times New Roman;Times;serif" w:hAnsi="Times New Roman;Times;serif"/>
          <w:sz w:val="20"/>
        </w:rPr>
        <w:t> also had an impact on interest income during the year.</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 discussion of the change in the fair value of the warrant liabilities is included in Note 8 to our consolidated financial statements for the year ended December 31, 2025, included elsewhere in this Annual Report on Form 10-K.</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change in fair value of warrant liabilities for the year ended December 31, 2025 was a loss of $150.6 million, compared to a loss of $90.2 million for the year ended December 31, 2024. The change in fair value for the year ended December 31, 2025 was primarily due to fluctuations in our stock price, while the change in fair value for the year ended December 31, 2024 was primarily due to fluctuations in our stock price and related share price volatility.</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earn-out liabilities is included in Note 9 to our consolidated financial statements for the year ended December 31, 2025, included elsewhere in this Annual Report on Form 10-K.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change in fair value of our earn-out liabilities for the year ended December 31, 2025 was a gain of $2.5 million, compared to a loss of $43.7 million for the year ended December 31, 2024. The change in fair value for the year ended December 31, 2025 was primarily due to fluctuations in our stock price, while the change in fair value for the year ended December 31, 2024 was primarily due to fluctuations in our stock price and related share price volatility.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As of December 31, 2025, all of the earn-out liabilities had been satisfied and the remaining liability balance is zero. We do </w:t>
      </w:r>
      <w:r>
        <w:rPr>
          <w:rFonts w:ascii="Times New Roman;Times;serif" w:hAnsi="Times New Roman;Times;serif"/>
          <w:color w:val="212529"/>
          <w:sz w:val="20"/>
          <w:shd w:fill="FFFFFF" w:val="clear"/>
        </w:rPr>
        <w:t>not expect these earn-out liabilities to have any impact on the consolidated financial statements in future periods.</w:t>
      </w:r>
    </w:p>
    <w:p>
      <w:pPr>
        <w:pStyle w:val="TextBody"/>
        <w:bidi w:val="0"/>
        <w:spacing w:before="0" w:after="0"/>
        <w:ind w:left="0" w:right="0" w:firstLine="540"/>
        <w:jc w:val="both"/>
        <w:rPr/>
      </w:pPr>
      <w:r>
        <w:rPr/>
        <w:t>​</w:t>
      </w:r>
    </w:p>
    <w:p>
      <w:pPr>
        <w:pStyle w:val="TextBody"/>
        <w:bidi w:val="0"/>
        <w:spacing w:before="0" w:after="120"/>
        <w:ind w:left="0" w:right="0" w:hanging="0"/>
        <w:jc w:val="both"/>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Loss on Extinguishment of Debt</w:t>
      </w:r>
    </w:p>
    <w:p>
      <w:pPr>
        <w:pStyle w:val="TextBody"/>
        <w:bidi w:val="0"/>
        <w:spacing w:before="0" w:after="120"/>
        <w:ind w:left="0" w:right="0" w:firstLine="54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On December 9, 2024, we prepaid in full all amounts owed under our Amended Loan Agreement with Trinity Capital Inc. We prepaid an aggregate of $9.5 million in outstanding principal balance, final payment fees of $0.9 million, plus accrued interest and a prepayment premium aggregating $0.1 million. During the year ended December 31, 2024, we recorded a $0.4 million loss on the prepayment and extinguishment of the outstanding principal balance owed under the Amended Loan Agreement.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have incurred a cumulative pre-tax loss for the past three years. We expect to continue to incur losses for income tax purposes for the foreseeable future and will continue to carry a full valuation allowance for our deferred tax assets. Accordingly, we did not record a provision for income taxes for either the year ended December 31, 2025 or the year ended December 31, 2024.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On July 4, 2025, new federal tax and budget legislation, known as the “One Big Beautiful Bill Act” (“OBBA”) was signed into law. We evaluated the impact of the OBBA and determined that its provisions did not have a material impact on our consolidated financial statements.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have incurred net losses and negative cash flows from operations since inception. Historically, we have financed our operations primarily through the sale and issuance of Common Stock, preferred stock, warrants, convertible notes, debt and revenues. During the years ended December 31, 2025 and December 31, 2024, we incurred net losses of $216.2 million and $201.0 million, respectively. As of December 31, 2025, we had an accumulated deficit of $771.0 million, and we expect to incur additional losses for the foreseeable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believe that our existing balances of cash, cash equivalents and available-for-sale investments will be sufficient to meet our anticipated operating cash needs for at least the next twelve months based on our current business plan, and expectations and assumptions considering current macroeconomic conditions. Our operating plan may change because of factors currently unknown, including factors described herein,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Annual Report on Form 10-K.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market corrections resulting from the impact of macroeconomic conditions could materially affect our business and the value of our securities.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 In the future, we may seek to significantly increase our capital expenditures, including to upgrade our chip fabrication facility, possibly invest in a new quantum chip fabrication facility and for additional quantum computing refrigerators, which would require a significant amount of cash for capital expenditures.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With respect to our longer-term future cash requirements, we will require a significant amount of cash for expenditure as we invest in ongoing research and development and business operations, including with respect to the Collaboration Agreement with Quanta, pursuant to which we are required to invest at least $250.0 million in the field of quantum computing in furtherance of our product roadmap over a five-year period that commenced on February 27, 2025.</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Until such time as we can generate significant revenue from sales of QPUs and quantum computing systems, our development contracts and other services, including our QCaaS offering, we believe we will meet our cash requirements and obligations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In addition, the likelihood that Public Warrant holders will exercise their warrants, and therefore the amount of cash proceeds that we would receive, is dependent upon the trading price of our Common Stock. If the trading price for our Common Stock is less than $11.50 per share, we believe holders of our Public Warrants will be unlikely to exercise their warrants. To the extent our warrants are exercised, additional shares of Common Stock will be issued, which will result in dilution to the holders of our Common Stock and increase the number of shares eligible for resale in the public market.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titled “Risk Factors” in this Annual Report on Form 10-K.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Macroeconomic conditions, including inflation, interest rates and impacts from government policy and actions, such as international trade restrictions and policies and tariffs, may have adverse consequences, which may result in an economic recession globally or in the U.S., which could lead to a reduction in product demand, a decrease in corporate capital expenditures, prolonged unemployment, labors shortages, reduction in consumer confidence, adverse geopolitical and macroeconomic events, or any similar </w:t>
        <w:br/>
        <w:t>negative economic condition. In addition, macroeconomic and geopolitical conditions may lead to disruptions to, and volatility and uncertainty in, the credit and financial markets in the U.S. and worldwide.</w:t>
      </w:r>
    </w:p>
    <w:p>
      <w:pPr>
        <w:pStyle w:val="TextBody"/>
        <w:bidi w:val="0"/>
        <w:spacing w:before="0" w:after="120"/>
        <w:ind w:left="0" w:right="0" w:hanging="0"/>
        <w:jc w:val="both"/>
        <w:rPr/>
      </w:pPr>
      <w:r>
        <w:rPr/>
        <w:t> </w:t>
      </w:r>
      <w:r>
        <w:rPr>
          <w:rFonts w:ascii="Times New Roman;Times;serif" w:hAnsi="Times New Roman;Times;serif"/>
          <w:b/>
          <w:sz w:val="20"/>
        </w:rPr>
        <w:t>Cash Flows Used in Operating Activities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Net cash used in operating activities during the year ended December 31, 2025 was $58.5 million, primarily resulting from our net loss of $216.2 million, partially offset by non-cash expenses totaling $165.5 million. Changes in operating assets and liabilities had a $7.9 million unfavorable impact on net cash used in operating activities during the year ended December 31, 2025.</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Net cash used in operating activities during the year ended December 31, 2024 was $50.6 million, primarily resulting from our net loss of $201.0 million, partially offset by non-cash expenses totaling $153.4 million. Changes in operating assets and liabilities had a $3.1 million unfavorable impact on net cash used in operating activities during the year ended December 31, 2024.</w:t>
      </w:r>
    </w:p>
    <w:p>
      <w:pPr>
        <w:pStyle w:val="TextBody"/>
        <w:bidi w:val="0"/>
        <w:spacing w:before="0" w:after="12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Cash used in operating activities increased by $7.9 million during the year ended December 31, 2025 when compared to the year ended December 31, 2024. The $15.2 million increase in our net loss for the year ended December 31, 2025, when compared to our net loss for the year ended December 31, 2024, was primarily due to the non-cash changes in the fair value of our derivative warrant and earn-out liabilities. Non-cash expenses impacting our net loss increased by $12.1 million to $165.5 million during the year ended December 31, 2025, when compared to the year ended December 31, 2024. Operating assets and liabilities had a $4.8 million unfavorable impact on the change in cash used in operating activities during the year ended December 31, 2025, when compared to the year ended December 31, 2024, mostly due to lower accounts receivable collections and payments for prepaids and other assets.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Cash used in investing activities during the year ended December 31, 2025 totaled $403.3 million, resulting from $635.6 </w:t>
      </w:r>
      <w:r>
        <w:rPr>
          <w:rFonts w:ascii="Times New Roman;Times;serif" w:hAnsi="Times New Roman;Times;serif"/>
          <w:sz w:val="20"/>
          <w:shd w:fill="FFFFFF" w:val="clear"/>
        </w:rPr>
        <w:t>million</w:t>
      </w:r>
      <w:r>
        <w:rPr>
          <w:rFonts w:ascii="Times New Roman;Times;serif" w:hAnsi="Times New Roman;Times;serif"/>
          <w:sz w:val="20"/>
        </w:rPr>
        <w:t> of purchases of available-for-sale securities and $18.7 </w:t>
      </w:r>
      <w:r>
        <w:rPr>
          <w:rFonts w:ascii="Times New Roman;Times;serif" w:hAnsi="Times New Roman;Times;serif"/>
          <w:sz w:val="20"/>
          <w:shd w:fill="FFFFFF" w:val="clear"/>
        </w:rPr>
        <w:t>million</w:t>
      </w:r>
      <w:r>
        <w:rPr>
          <w:rFonts w:ascii="Times New Roman;Times;serif" w:hAnsi="Times New Roman;Times;serif"/>
          <w:sz w:val="20"/>
        </w:rPr>
        <w:t> of purchases of property and equipment, partially offset by $251.0 </w:t>
      </w:r>
      <w:r>
        <w:rPr>
          <w:rFonts w:ascii="Times New Roman;Times;serif" w:hAnsi="Times New Roman;Times;serif"/>
          <w:sz w:val="20"/>
          <w:shd w:fill="FFFFFF" w:val="clear"/>
        </w:rPr>
        <w:t>million</w:t>
      </w:r>
      <w:r>
        <w:rPr>
          <w:rFonts w:ascii="Times New Roman;Times;serif" w:hAnsi="Times New Roman;Times;serif"/>
          <w:sz w:val="20"/>
        </w:rPr>
        <w:t> of maturities of available-for-sale securities.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Cash used in investing activities during </w:t>
      </w:r>
      <w:r>
        <w:rPr>
          <w:rFonts w:ascii="Times New Roman;Times;serif" w:hAnsi="Times New Roman;Times;serif"/>
          <w:sz w:val="20"/>
          <w:shd w:fill="FFFFFF" w:val="clear"/>
        </w:rPr>
        <w:t>the year ended December 31</w:t>
      </w:r>
      <w:r>
        <w:rPr>
          <w:rFonts w:ascii="Times New Roman;Times;serif" w:hAnsi="Times New Roman;Times;serif"/>
          <w:sz w:val="20"/>
        </w:rPr>
        <w:t xml:space="preserve"> 2024 totaled $78.4 million, resulting from $224.8 million of purchases of available-for-sale securities and $11.1 million of purchases of property and equipment, offset in part by $157.5 million of maturities of available-for-sale securities.</w:t>
      </w:r>
    </w:p>
    <w:p>
      <w:pPr>
        <w:pStyle w:val="TextBody"/>
        <w:bidi w:val="0"/>
        <w:spacing w:before="0" w:after="12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Net cash used in investing activities during the year ended December 31, 2025 increased by $324.9 million when compared to the year ended December 31, 2024, primarily due to investment of proceeds from our $350 million ATM program, resulting in higher purchases of </w:t>
      </w:r>
      <w:r>
        <w:rPr>
          <w:rFonts w:ascii="Times New Roman;Times;serif" w:hAnsi="Times New Roman;Times;serif"/>
          <w:sz w:val="20"/>
        </w:rPr>
        <w:t>available-for-sale securities.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during the </w:t>
      </w:r>
      <w:r>
        <w:rPr>
          <w:rFonts w:ascii="Times New Roman;Times;serif" w:hAnsi="Times New Roman;Times;serif"/>
          <w:sz w:val="20"/>
          <w:shd w:fill="FFFFFF" w:val="clear"/>
        </w:rPr>
        <w:t>year ended December 31, 2025 </w:t>
      </w:r>
      <w:r>
        <w:rPr>
          <w:rFonts w:ascii="Times New Roman;Times;serif" w:hAnsi="Times New Roman;Times;serif"/>
          <w:sz w:val="20"/>
        </w:rPr>
        <w:t>totaled $439.1 million. We received net proceeds of $346.7 million from the sale of 30,309,780 shares of Common Stock pursuant to our ATM program that was completed during the year ended December 31, 2025. We received proceeds of $35.0 million from the sale of 3,020,412 shares of Common Stock from the private placement transaction with Quanta. We received proceeds of $50.0 million from the exercise of warrants, $2.0 million from the exercise of stock options and $6.3 million from tax withholdings on sell-to-cover equity award transactions. We also paid $0.9 million for offering costs.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Cash provided by financing activities during </w:t>
      </w:r>
      <w:r>
        <w:rPr>
          <w:rFonts w:ascii="Times New Roman;Times;serif" w:hAnsi="Times New Roman;Times;serif"/>
          <w:sz w:val="20"/>
          <w:shd w:fill="FFFFFF" w:val="clear"/>
        </w:rPr>
        <w:t>the year ended December 31</w:t>
      </w:r>
      <w:r>
        <w:rPr>
          <w:rFonts w:ascii="Times New Roman;Times;serif" w:hAnsi="Times New Roman;Times;serif"/>
          <w:sz w:val="20"/>
        </w:rPr>
        <w:t xml:space="preserve">, 2024 totaled $175.5 million, reflecting proceeds of $12.8 million, net of commissions, from the sale of 10.1 million shares of Common Stock to B. Riley Principal Capital II, LLC (“B. Riley”) through the Common Stock Purchase Agreement (the “Purchase Agreement”) we entered into with B. Riley on August 11, 2022, proceeds of $97.5 million, net of commissions, from the sale of 68.8 million shares of Common Stock under the At-the-Market Sales Agreement (the “Prior ATM Agreement”) we entered into with B. Riley Securities, Inc. and Needham &amp; Company, LLC on March 15, 2024, proceeds of $96.0 million, net of commissions, from the sale of 50.0 million shares of Common Stock through a registered direct offering and proceeds of $0.6 million from the exercise of stock options and warrants.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Cash provided by financing activities increased by $263.6 million during the</w:t>
      </w:r>
      <w:r>
        <w:rPr>
          <w:rFonts w:ascii="Times New Roman;Times;serif" w:hAnsi="Times New Roman;Times;serif"/>
          <w:sz w:val="20"/>
          <w:shd w:fill="FFFFFF" w:val="clear"/>
        </w:rPr>
        <w:t> year </w:t>
      </w:r>
      <w:r>
        <w:rPr>
          <w:rFonts w:ascii="Times New Roman;Times;serif" w:hAnsi="Times New Roman;Times;serif"/>
          <w:sz w:val="20"/>
        </w:rPr>
        <w:t>ended December 31, 2025, when compared to the </w:t>
      </w:r>
      <w:r>
        <w:rPr>
          <w:rFonts w:ascii="Times New Roman;Times;serif" w:hAnsi="Times New Roman;Times;serif"/>
          <w:sz w:val="20"/>
          <w:shd w:fill="FFFFFF" w:val="clear"/>
        </w:rPr>
        <w:t xml:space="preserve">year </w:t>
      </w:r>
      <w:r>
        <w:rPr>
          <w:rFonts w:ascii="Times New Roman;Times;serif" w:hAnsi="Times New Roman;Times;serif"/>
          <w:sz w:val="20"/>
        </w:rPr>
        <w:t xml:space="preserve">ended December 31, 2024. The increase was primarily due to the $346.7 million of net proceeds we received from our $350.0 million ATM offering completed in June 2025. Other factors favorably impacting the increase in cash provided by financing activities during the year ended December 31, 2025, when compared to the year ended December 31, 2024, include proceeds from the exercise of warrants of $50.0 million, proceeds of $35.0 million from the sale of common stock to Quanta, a $12.5 million favorable change in the impact of tax withholdings on sell-to-cover equity award transactions and a $23.3 million reduction in payments of principal of notes payable due to the prepayment of our outstanding debt with Trinity Capital in December 2024. These increases were offset in part by proceeds of $206.3 million from sales of Common Stock during the year ended December 31,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Contractual Obligations and Contingencies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See Note 19 to our consolidated financial statements located in “Part II Item 8 – Financial Statements and Supplementary Data. Notes to Consolidated Financial Statements” in this Annual Report on Form 10-K for a description of our contractual obligations and contingencies.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This Management’s Discussion and Analysis of Financial Condition and Results of Operations is based on our consolidated financial statements included in this Annual Report on Form 10-K, which have been prepared in accordance with GAAP.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Preparation of these financial statements requires us to make estimates and assumptions that affect the reported amounts of assets and liabilities and the disclosure of contingent assets and liabilities. We also make estimates and assumptions that affect revenue and expenses during the reporting periods.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estimates are based on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While our significant accounting policies are described in the Notes to our consolidated financial statements for the year ended December 31, 2025, included elsewhere in this Annual Report on Form 10-K, we believe the following critical accounting estimates are most important to understanding and evaluating our reported financial results.</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 and Private Warrants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sz w:val="20"/>
          <w:shd w:fill="FFFFFF" w:val="clear"/>
        </w:rPr>
        <w:t>December 31,</w:t>
      </w:r>
      <w:r>
        <w:rPr>
          <w:rFonts w:ascii="Times New Roman;Times;serif" w:hAnsi="Times New Roman;Times;serif"/>
          <w:sz w:val="20"/>
        </w:rPr>
        <w:t xml:space="preserve"> 2025, there were 8,728,586 Private and Public Warrants outstanding, consisting of 1,000,674 Private Warrants and 7,727,912 Public Warrants. Each whole warrant entitles the holder to purchase one share of our Common Stock at a price of $11.50 per share, subject to adjustments and will expire on March 2, 2027 at 5:00 p.m., New York City time or earlier upon redemption or liquidation.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our stock and should be classified as a liability.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Since the Private Warrants meet the definition of a derivative, we recorded the Private Warrants as liabilities in the consolidated balance sheet at fair value upon the closing of the Business Combination (described in Note 2 to our consolidated financial statements included elsewhere in this Annual Report on Form 10-K), with subsequent changes in the fair value recognized in the consolidated statements of operations at each reporting date. The fair value of the Private Warrants was measured using the Black-Scholes option-pricing model at each measurement date.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Public Warrants also fail to meet the indexation guidance in ASC 815 and are accounted for as liabilities as the Public Warrants include a provision whereby in a scenario in which there is not an effective registration statement, the warrant holders have a cap, 0.361 shares of Common Stock per warrant (subject to adjustment), on the issuable number of shares in a cashless exercise. Subsequent to the separate listing and trading of the Public Warrants, the fair value of the Public Warrants has been measured based on the observable listed prices for such warrants.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There are a number of variables impacting the Black-Scholes option-pricing model used to value the derivative liability for the Private Warrants. The most impactful variable is the price of our Common Stock. The derivative liability for the Private Warrants will correspondingly increase or decrease as the price of our Common Stock increases or decreases.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of December 31, 2025 and December 31, 2024 the fair value of the derivative liability for the Private Warrants was $16.8 million and $22.8 million, respectively, with the change in the fair value of the derivative warrant liabilities recorded in the consolidated statements of operations each reporting period.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December 31, 2025 and December 31, 2024 the fair value of the derivative liability for the Public Warrants was $85.8 million and $70.3 million, respectively, with the change in the fair value of the derivative warrant liabilities recorded in the consolidated statements of operations each reporting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Earn-Out Liabilities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On March 2, 2022 (the “Closing Date”), a merger transaction between Rigetti Holdings, Inc. (“Legacy Rigetti”) and Supernova Partners Acquisition Company II, Ltd. (“SNII”) was completed (the “Business Combination”). Upon the closing of the Business Combination, SNII, Supernova Partners II, LLC and SNII’s directors and officers (collectively the “Sponsor Holders”) subjected certain shares of our Common Stock that they own ( the “Sponsor Vesting Shares”) to forfeiture and vesting if thresholds related to the weighted average price of our Common Stock were not met for the duration of various specified consecutive day trading periods during the five-year period following the Closing Date (the “Earn-out Triggering Events”). Any such shares held by the Sponsor Holders that remain unvested after the fifth anniversary of the closing of the Business Combination were to be forfeited.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 total of 2,479,000 shares of our Common Stock held by the Sponsor Holders had a $12.50 per share price threshold for vesting (such shares, the “Promote Sponsor Vesting Shares”) and a total of 580,273 shares of our Common Stock held by the Sponsor Holders had a $15.00 per share price threshold for vesting (such shares, the “Sponsor Redemption Based Vesting Shares,” and, collectively with the Promote Sponsor Vesting Shares, the “Sponsor Vesting Shares”).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Sponsor Vesting Shares were accounted for as liability classified instruments because the Earn-Out Triggering Events that determined the number of Sponsor Vesting Shares to be earned back by the Sponsor Holders include outcomes that were not solely indexed to our Common Stock. The aggregate fair value of the Sponsor Vesting Shares at the time of the closing of the Business Combination was estimated using a Monte Carlo simulation model and was determined to be $20.4 million. There were a number of variables impacting the Monte Carlo simulation model used to value the earn-out liabilities, with the most impactful being the price of our Common Stock. Prior to vesting, the earn-out liabilities were adjusted to fair value each reporting period using the Monte Carlo simulation model.</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During the year ended December 31, 2025, the Earn-out Triggering Events for each of the Sponsor Redemption-Based Vesting Shares and the Promote Sponsor Vesting Shares were satisfied, and the underlying earn-out liabilities were adjusted to fair value using the closing market price of our Common Stock on their respective vesting dates. The earn-out liability for the Sponsor Redemption-Based Vesting Shares as of their August 14, 2025, vesting date was $10.4 million. The earn-out liability for the Promote Sponsor Vesting Shares as of their February 6, 2025, vesting date was $32.9 million. The earn-out liabilities for the Sponsor Redemption-Based Vesting Shares and the Promote Sponsor Vesting Shares were recorded to additional paid-in capital on their respective vesting dates.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of December 31, 2025, all of the Earn-out Triggering Events related to the Sponsor Vesting Shares had occurred, the Sponsor Vesting Shares were fully vested and the remaining liability balance was zero. As of December 31, 2024, the fair value of the earn-out liabilities was $45.9 million, with the change in the fair value of the earn-out liabilities recorded in the consolidated statements of operations.</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Revenue consists primarily of our contracts for the sale of QPUs, quantum computing systems, custom computing components, access to Rigetti quantum computing systems, collaborative research services and professional services.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Revenue related to the sale of QPUs, quantum computing systems, including </w:t>
      </w:r>
      <w:r>
        <w:rPr>
          <w:rFonts w:ascii="Times New Roman;Times;serif" w:hAnsi="Times New Roman;Times;serif"/>
          <w:sz w:val="20"/>
          <w:shd w:fill="FFFFFF" w:val="clear"/>
        </w:rPr>
        <w:t xml:space="preserve">Novera™ and </w:t>
      </w:r>
      <w:r>
        <w:rPr>
          <w:rFonts w:ascii="Times New Roman;Times;serif" w:hAnsi="Times New Roman;Times;serif"/>
          <w:sz w:val="20"/>
        </w:rPr>
        <w:t>Cepheus</w:t>
      </w:r>
      <w:r>
        <w:rPr>
          <w:rFonts w:ascii="Times New Roman;Times;serif" w:hAnsi="Times New Roman;Times;serif"/>
          <w:sz w:val="20"/>
          <w:shd w:fill="FFFFFF" w:val="clear"/>
        </w:rPr>
        <w:t>™</w:t>
      </w:r>
      <w:r>
        <w:rPr>
          <w:rFonts w:ascii="Times New Roman;Times;serif" w:hAnsi="Times New Roman;Times;serif"/>
          <w:sz w:val="20"/>
        </w:rPr>
        <w:t>, and custom quantum computing components is recognized at a point in time when obligations under the terms of the contract are satisfied and control is transferred to the customer, generally upon shipment for sales of QPUs and quantum computing systems, and upon customer acceptance for sales of custom quantum computing components.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Revenue related to usage-based access to Rigetti quantum computing systems is recognized over time as the systems are accessed using an output method based on compute credit hours expended.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Revenue related to collaborative research services and professional services is recognized over time, based on hours or costs incurred. For fixed price milestone-based contracts, if a milestone is deemed probable of being met, revenue is recognized over the time period the performance obligation is satisfied using an input measure based on actual labor hours or costs incurred. For those milestones not deemed probable of being met, revenue is recognized upon satisfaction of the performance obligation. Revenue related to cost-share contracts is recognized using an input based on actual reimbursable costs incurred.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fixed fee development contracts vary in term from one to five years, with the majority of such contracts having a term of six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 As a result of the quarterly reviews, revisions in the estimated effort to complete the contract are reflected in the period in which the change is identified.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These revisions may impact the overall progress related to transfer of control and therefore result in either increases or decreases in revenues as well as increases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management. To date, we have not experienced any changes in estimates that have had a material impact on our results from operations or financial position.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contracts with customers may include renewal, upgrade rights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certain of the Company’s sales contracts for the Novera QPU contain material upgrade rights which have been deferred.</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consolidated financial statements for the year ended December 31, 2025 included elsewhere in this Annual Report on Form 10-K.</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(“EGC”)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We will remain an EGC under the JOBS Act until the earliest of (a) December 31, 2026, (b) the last date of our fiscal year in which we have total annual gross revenue of at least $1.235 billion, (c) the date on which we are deemed to be a “large accelerated filer” under the rules of the SEC or (d) the date on which we have issued more than $1.0 billion in non-convertible debt securities during the previous three years. Under the current rules of the SEC, we will no longer be eligible to take advantage of the scaled disclosures available to smaller reporting companies beginning with our Quarterly Report on Form 10-Q for the first quarter of 2026. </w:t>
      </w:r>
    </w:p>
    <w:p>
      <w:pPr>
        <w:pStyle w:val="TextBody"/>
        <w:bidi w:val="0"/>
        <w:spacing w:before="0" w:after="240"/>
        <w:ind w:left="0" w:right="0" w:firstLine="547"/>
        <w:jc w:val="both"/>
        <w:rPr/>
      </w:pPr>
      <w:r>
        <w:rPr/>
        <w:t>​</w:t>
      </w:r>
    </w:p>
    <w:p>
      <w:pPr>
        <w:pStyle w:val="TextBody"/>
        <w:bidi w:val="0"/>
        <w:spacing w:before="0" w:after="120"/>
        <w:ind w:left="0" w:right="0" w:hanging="0"/>
        <w:jc w:val="both"/>
        <w:rPr>
          <w:rFonts w:ascii="Times New Roman;Times;serif" w:hAnsi="Times New Roman;Times;serif"/>
          <w:b/>
          <w:sz w:val="20"/>
        </w:rPr>
      </w:pPr>
      <w:bookmarkStart w:id="76" w:name="Item7AQuantitativeandQualitativeDisclosu"/>
      <w:bookmarkStart w:id="77" w:name="_86b7b2cc_58d5_4362_a8f3_a8025f4a7bcf"/>
      <w:bookmarkEnd w:id="76"/>
      <w:bookmarkEnd w:id="77"/>
      <w:r>
        <w:rPr>
          <w:rFonts w:ascii="Times New Roman;Times;serif" w:hAnsi="Times New Roman;Times;serif"/>
          <w:b/>
          <w:sz w:val="20"/>
        </w:rPr>
        <w:t>ITEM 7A.             Quantitative and Qualitative Disclosures About Market Risk.</w:t>
      </w:r>
    </w:p>
    <w:p>
      <w:pPr>
        <w:pStyle w:val="TextBody"/>
        <w:bidi w:val="0"/>
        <w:spacing w:before="0" w:after="120"/>
        <w:ind w:left="0" w:right="0" w:firstLine="630"/>
        <w:jc w:val="both"/>
        <w:rPr>
          <w:rFonts w:ascii="Times New Roman;Times;serif" w:hAnsi="Times New Roman;Times;serif"/>
          <w:sz w:val="20"/>
        </w:rPr>
      </w:pPr>
      <w:r>
        <w:rPr>
          <w:rFonts w:ascii="Times New Roman;Times;serif" w:hAnsi="Times New Roman;Times;serif"/>
          <w:sz w:val="20"/>
        </w:rPr>
        <w:t>We are utilizing scaled disclosures for a smaller reporting company as defined by Rule12b-2 of the Exchange Act and are not required to provide the information required under this item.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8" w:name="Item8FinancialStatementsandSupplementary"/>
      <w:bookmarkStart w:id="79" w:name="_af9890f5_a6c0_45a7_8320_f4235320e1ff"/>
      <w:bookmarkEnd w:id="78"/>
      <w:bookmarkEnd w:id="79"/>
      <w:r>
        <w:rPr>
          <w:rFonts w:ascii="Times New Roman;Times;serif" w:hAnsi="Times New Roman;Times;serif"/>
          <w:b/>
          <w:sz w:val="20"/>
        </w:rPr>
        <w:t>ITEM 8.               CONSOLIDATED FINANCIAL STATEMENTS AND SUPPLEMENTARY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p>
      <w:pPr>
        <w:pStyle w:val="TextBody"/>
        <w:bidi w:val="0"/>
        <w:spacing w:before="0" w:after="240"/>
        <w:ind w:left="0" w:right="0" w:hanging="0"/>
        <w:jc w:val="both"/>
        <w:rPr/>
      </w:pPr>
      <w:r>
        <w:rPr/>
        <w:t>​</w:t>
      </w:r>
    </w:p>
    <w:tbl>
      <w:tblPr>
        <w:tblW w:w="7083" w:type="dxa"/>
        <w:jc w:val="left"/>
        <w:tblInd w:w="0" w:type="dxa"/>
        <w:tblLayout w:type="fixed"/>
        <w:tblCellMar>
          <w:top w:w="0" w:type="dxa"/>
          <w:left w:w="0" w:type="dxa"/>
          <w:bottom w:w="0" w:type="dxa"/>
          <w:right w:w="0" w:type="dxa"/>
        </w:tblCellMar>
      </w:tblPr>
      <w:tblGrid>
        <w:gridCol w:w="6376"/>
        <w:gridCol w:w="346"/>
        <w:gridCol w:w="361"/>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63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both"/>
              <w:rPr/>
            </w:pPr>
            <w:r>
              <w:rPr/>
              <w:t>  ​ ​ ​</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6376" w:type="dxa"/>
            <w:tcBorders/>
            <w:vAlign w:val="center"/>
          </w:tcPr>
          <w:p>
            <w:pPr>
              <w:pStyle w:val="TableContents"/>
              <w:pBdr/>
              <w:bidi w:val="0"/>
              <w:spacing w:before="0" w:after="0"/>
              <w:ind w:left="0" w:right="0" w:hanging="0"/>
              <w:jc w:val="both"/>
              <w:rPr/>
            </w:pPr>
            <w:hyperlink w:anchor="Report">
              <w:r>
                <w:rPr>
                  <w:rStyle w:val="InternetLink"/>
                  <w:rFonts w:ascii="Times New Roman;Times;serif" w:hAnsi="Times New Roman;Times;serif"/>
                  <w:b w:val="false"/>
                  <w:i w:val="false"/>
                  <w:caps w:val="false"/>
                  <w:smallCaps w:val="false"/>
                  <w:sz w:val="20"/>
                </w:rPr>
                <w:t xml:space="preserve">Report of Independent Registered Public Accounting Firm </w:t>
              </w:r>
            </w:hyperlink>
            <w:r>
              <w:rPr>
                <w:rFonts w:ascii="Times New Roman;Times;serif" w:hAnsi="Times New Roman;Times;serif"/>
                <w:sz w:val="20"/>
              </w:rPr>
              <w:t>(PCAOB ID #243)</w:t>
            </w:r>
          </w:p>
        </w:tc>
        <w:tc>
          <w:tcPr>
            <w:tcW w:w="346" w:type="dxa"/>
            <w:tcBorders/>
            <w:vAlign w:val="center"/>
          </w:tcPr>
          <w:p>
            <w:pPr>
              <w:pStyle w:val="TableContents"/>
              <w:bidi w:val="0"/>
              <w:spacing w:before="0" w:after="20"/>
              <w:ind w:left="0" w:right="0" w:hanging="0"/>
              <w:jc w:val="both"/>
              <w:rPr/>
            </w:pPr>
            <w:r>
              <w:rPr/>
              <w:t>​</w:t>
            </w:r>
          </w:p>
        </w:tc>
        <w:tc>
          <w:tcPr>
            <w:tcW w:w="36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64</w:t>
            </w:r>
          </w:p>
        </w:tc>
      </w:tr>
      <w:tr>
        <w:trPr/>
        <w:tc>
          <w:tcPr>
            <w:tcW w:w="6376" w:type="dxa"/>
            <w:tcBorders/>
            <w:vAlign w:val="center"/>
          </w:tcPr>
          <w:p>
            <w:pPr>
              <w:pStyle w:val="TableContents"/>
              <w:pBdr/>
              <w:bidi w:val="0"/>
              <w:spacing w:before="0" w:after="0"/>
              <w:ind w:left="0" w:right="0" w:hanging="0"/>
              <w:jc w:val="both"/>
              <w:rPr/>
            </w:pPr>
            <w:hyperlink w:anchor="BALANCESHEETS_335761">
              <w:r>
                <w:rPr>
                  <w:rStyle w:val="InternetLink"/>
                  <w:rFonts w:ascii="Times New Roman;Times;serif" w:hAnsi="Times New Roman;Times;serif"/>
                  <w:b w:val="false"/>
                  <w:i w:val="false"/>
                  <w:caps w:val="false"/>
                  <w:smallCaps w:val="false"/>
                  <w:sz w:val="20"/>
                </w:rPr>
                <w:t xml:space="preserve">Consolidated Balance Sheets </w:t>
              </w:r>
            </w:hyperlink>
          </w:p>
        </w:tc>
        <w:tc>
          <w:tcPr>
            <w:tcW w:w="346" w:type="dxa"/>
            <w:tcBorders/>
            <w:vAlign w:val="center"/>
          </w:tcPr>
          <w:p>
            <w:pPr>
              <w:pStyle w:val="TableContents"/>
              <w:bidi w:val="0"/>
              <w:spacing w:before="0" w:after="20"/>
              <w:ind w:left="0" w:right="0" w:hanging="0"/>
              <w:jc w:val="both"/>
              <w:rPr/>
            </w:pPr>
            <w:r>
              <w:rPr/>
              <w:t>​</w:t>
            </w:r>
          </w:p>
        </w:tc>
        <w:tc>
          <w:tcPr>
            <w:tcW w:w="36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65</w:t>
            </w:r>
          </w:p>
        </w:tc>
      </w:tr>
      <w:tr>
        <w:trPr/>
        <w:tc>
          <w:tcPr>
            <w:tcW w:w="6376" w:type="dxa"/>
            <w:tcBorders/>
            <w:vAlign w:val="center"/>
          </w:tcPr>
          <w:p>
            <w:pPr>
              <w:pStyle w:val="TableContents"/>
              <w:pBdr/>
              <w:bidi w:val="0"/>
              <w:spacing w:before="0" w:after="0"/>
              <w:ind w:left="0" w:right="0" w:hanging="0"/>
              <w:jc w:val="both"/>
              <w:rPr/>
            </w:pPr>
            <w:hyperlink w:anchor="STATEMENTSOFOPERATIONS_959966">
              <w:r>
                <w:rPr>
                  <w:rStyle w:val="InternetLink"/>
                  <w:rFonts w:ascii="Times New Roman;Times;serif" w:hAnsi="Times New Roman;Times;serif"/>
                  <w:b w:val="false"/>
                  <w:i w:val="false"/>
                  <w:caps w:val="false"/>
                  <w:smallCaps w:val="false"/>
                  <w:sz w:val="20"/>
                </w:rPr>
                <w:t xml:space="preserve">Consolidated Statements of Operations </w:t>
              </w:r>
            </w:hyperlink>
          </w:p>
        </w:tc>
        <w:tc>
          <w:tcPr>
            <w:tcW w:w="346" w:type="dxa"/>
            <w:tcBorders/>
            <w:vAlign w:val="center"/>
          </w:tcPr>
          <w:p>
            <w:pPr>
              <w:pStyle w:val="TableContents"/>
              <w:bidi w:val="0"/>
              <w:spacing w:before="0" w:after="20"/>
              <w:ind w:left="0" w:right="0" w:hanging="0"/>
              <w:jc w:val="both"/>
              <w:rPr/>
            </w:pPr>
            <w:r>
              <w:rPr/>
              <w:t>​</w:t>
            </w:r>
          </w:p>
        </w:tc>
        <w:tc>
          <w:tcPr>
            <w:tcW w:w="36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66</w:t>
            </w:r>
          </w:p>
        </w:tc>
      </w:tr>
      <w:tr>
        <w:trPr/>
        <w:tc>
          <w:tcPr>
            <w:tcW w:w="6376" w:type="dxa"/>
            <w:tcBorders/>
            <w:vAlign w:val="center"/>
          </w:tcPr>
          <w:p>
            <w:pPr>
              <w:pStyle w:val="TableContents"/>
              <w:pBdr/>
              <w:bidi w:val="0"/>
              <w:spacing w:before="0" w:after="0"/>
              <w:ind w:left="0" w:right="0" w:hanging="0"/>
              <w:jc w:val="both"/>
              <w:rPr/>
            </w:pPr>
            <w:hyperlink w:anchor="STATEMENTSOFCOMPREHENSIVELOSS_938564">
              <w:r>
                <w:rPr>
                  <w:rStyle w:val="InternetLink"/>
                  <w:rFonts w:ascii="Times New Roman;Times;serif" w:hAnsi="Times New Roman;Times;serif"/>
                  <w:b w:val="false"/>
                  <w:i w:val="false"/>
                  <w:caps w:val="false"/>
                  <w:smallCaps w:val="false"/>
                  <w:sz w:val="20"/>
                </w:rPr>
                <w:t xml:space="preserve">Consolidated Statements of Comprehensive Loss </w:t>
              </w:r>
            </w:hyperlink>
          </w:p>
        </w:tc>
        <w:tc>
          <w:tcPr>
            <w:tcW w:w="346" w:type="dxa"/>
            <w:tcBorders/>
            <w:vAlign w:val="center"/>
          </w:tcPr>
          <w:p>
            <w:pPr>
              <w:pStyle w:val="TableContents"/>
              <w:bidi w:val="0"/>
              <w:spacing w:before="0" w:after="20"/>
              <w:ind w:left="0" w:right="0" w:hanging="0"/>
              <w:jc w:val="both"/>
              <w:rPr/>
            </w:pPr>
            <w:r>
              <w:rPr/>
              <w:t>​</w:t>
            </w:r>
          </w:p>
        </w:tc>
        <w:tc>
          <w:tcPr>
            <w:tcW w:w="36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67</w:t>
            </w:r>
          </w:p>
        </w:tc>
      </w:tr>
      <w:tr>
        <w:trPr/>
        <w:tc>
          <w:tcPr>
            <w:tcW w:w="6376" w:type="dxa"/>
            <w:tcBorders/>
            <w:vAlign w:val="center"/>
          </w:tcPr>
          <w:p>
            <w:pPr>
              <w:pStyle w:val="TableContents"/>
              <w:pBdr/>
              <w:bidi w:val="0"/>
              <w:spacing w:before="0" w:after="0"/>
              <w:ind w:left="0" w:right="0" w:hanging="0"/>
              <w:jc w:val="both"/>
              <w:rPr/>
            </w:pPr>
            <w:hyperlink w:anchor="STOCKHOLDERSEQUITY_440253">
              <w:r>
                <w:rPr>
                  <w:rStyle w:val="InternetLink"/>
                  <w:rFonts w:ascii="Times New Roman;Times;serif" w:hAnsi="Times New Roman;Times;serif"/>
                  <w:b w:val="false"/>
                  <w:i w:val="false"/>
                  <w:caps w:val="false"/>
                  <w:smallCaps w:val="false"/>
                  <w:sz w:val="20"/>
                </w:rPr>
                <w:t xml:space="preserve">Consolidated Statements of Stockholders’ Equity </w:t>
              </w:r>
            </w:hyperlink>
          </w:p>
        </w:tc>
        <w:tc>
          <w:tcPr>
            <w:tcW w:w="346" w:type="dxa"/>
            <w:tcBorders/>
            <w:vAlign w:val="center"/>
          </w:tcPr>
          <w:p>
            <w:pPr>
              <w:pStyle w:val="TableContents"/>
              <w:bidi w:val="0"/>
              <w:spacing w:before="0" w:after="20"/>
              <w:ind w:left="0" w:right="0" w:hanging="0"/>
              <w:jc w:val="both"/>
              <w:rPr/>
            </w:pPr>
            <w:r>
              <w:rPr/>
              <w:t>​</w:t>
            </w:r>
          </w:p>
        </w:tc>
        <w:tc>
          <w:tcPr>
            <w:tcW w:w="36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68</w:t>
            </w:r>
          </w:p>
        </w:tc>
      </w:tr>
      <w:tr>
        <w:trPr/>
        <w:tc>
          <w:tcPr>
            <w:tcW w:w="6376" w:type="dxa"/>
            <w:tcBorders/>
            <w:vAlign w:val="center"/>
          </w:tcPr>
          <w:p>
            <w:pPr>
              <w:pStyle w:val="TableContents"/>
              <w:pBdr/>
              <w:bidi w:val="0"/>
              <w:spacing w:before="0" w:after="0"/>
              <w:ind w:left="0" w:right="0" w:hanging="0"/>
              <w:jc w:val="both"/>
              <w:rPr/>
            </w:pPr>
            <w:hyperlink w:anchor="CASHFLOWS_679143">
              <w:r>
                <w:rPr>
                  <w:rStyle w:val="InternetLink"/>
                  <w:rFonts w:ascii="Times New Roman;Times;serif" w:hAnsi="Times New Roman;Times;serif"/>
                  <w:b w:val="false"/>
                  <w:i w:val="false"/>
                  <w:caps w:val="false"/>
                  <w:smallCaps w:val="false"/>
                  <w:sz w:val="20"/>
                </w:rPr>
                <w:t xml:space="preserve">Consolidated Statements of Cash Flows </w:t>
              </w:r>
            </w:hyperlink>
          </w:p>
        </w:tc>
        <w:tc>
          <w:tcPr>
            <w:tcW w:w="346" w:type="dxa"/>
            <w:tcBorders/>
            <w:vAlign w:val="center"/>
          </w:tcPr>
          <w:p>
            <w:pPr>
              <w:pStyle w:val="TableContents"/>
              <w:bidi w:val="0"/>
              <w:spacing w:before="0" w:after="20"/>
              <w:ind w:left="0" w:right="0" w:hanging="0"/>
              <w:jc w:val="both"/>
              <w:rPr/>
            </w:pPr>
            <w:r>
              <w:rPr/>
              <w:t>​</w:t>
            </w:r>
          </w:p>
        </w:tc>
        <w:tc>
          <w:tcPr>
            <w:tcW w:w="36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69</w:t>
            </w:r>
          </w:p>
        </w:tc>
      </w:tr>
      <w:tr>
        <w:trPr/>
        <w:tc>
          <w:tcPr>
            <w:tcW w:w="6376" w:type="dxa"/>
            <w:tcBorders/>
            <w:vAlign w:val="center"/>
          </w:tcPr>
          <w:p>
            <w:pPr>
              <w:pStyle w:val="TableContents"/>
              <w:pBdr/>
              <w:bidi w:val="0"/>
              <w:spacing w:before="0" w:after="0"/>
              <w:ind w:left="0" w:right="0" w:hanging="0"/>
              <w:jc w:val="both"/>
              <w:rPr/>
            </w:pPr>
            <w:hyperlink w:anchor="NOTESTOCONSOLIDATEDFINANCIALSTATEMENTS_3">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before="0" w:after="20"/>
              <w:ind w:left="0" w:right="0" w:hanging="0"/>
              <w:jc w:val="both"/>
              <w:rPr/>
            </w:pPr>
            <w:r>
              <w:rPr/>
              <w:t>​</w:t>
            </w:r>
          </w:p>
        </w:tc>
        <w:tc>
          <w:tcPr>
            <w:tcW w:w="36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70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0" w:name="Report"/>
      <w:bookmarkStart w:id="81" w:name="ReportofIndependentRegisteredPublicAccou"/>
      <w:bookmarkStart w:id="82" w:name="_909b2994_a54a_49a3_bf9e_523b00903de9"/>
      <w:bookmarkEnd w:id="80"/>
      <w:bookmarkEnd w:id="81"/>
      <w:bookmarkEnd w:id="82"/>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and Board of Directors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Berkeley, California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the Consolidated Financial Statements</w:t>
      </w:r>
    </w:p>
    <w:p>
      <w:pPr>
        <w:pStyle w:val="TextBody"/>
        <w:bidi w:val="0"/>
        <w:spacing w:before="240" w:after="94"/>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Rigetti Computing, Inc. (the “Company”) as of December 31, 2025 and 2024,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BDO USA, P.C.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Spokane, Washington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4, 2026</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3" w:name="BalanceSheet"/>
      <w:bookmarkStart w:id="84" w:name="_8ddc71f8_8d5e_45f4_a315_3a9c23df5ddb"/>
      <w:bookmarkEnd w:id="83"/>
      <w:bookmarkEnd w:id="84"/>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85" w:name="BALANCESHEETS_335761"/>
      <w:bookmarkEnd w:id="85"/>
      <w:r>
        <w:rPr>
          <w:rFonts w:ascii="Times New Roman;Times;serif" w:hAnsi="Times New Roman;Times;serif"/>
          <w:b/>
          <w:sz w:val="20"/>
        </w:rPr>
        <w:t>CONSOLIDATED BALANCE SHEETS</w:t>
      </w:r>
    </w:p>
    <w:p>
      <w:pPr>
        <w:pStyle w:val="TextBody"/>
        <w:bidi w:val="0"/>
        <w:spacing w:before="0" w:after="200"/>
        <w:ind w:left="0" w:right="0" w:hanging="0"/>
        <w:jc w:val="center"/>
        <w:rPr>
          <w:rFonts w:ascii="Times New Roman;Times;serif" w:hAnsi="Times New Roman;Times;serif"/>
          <w:i/>
          <w:sz w:val="20"/>
        </w:rPr>
      </w:pPr>
      <w:r>
        <w:rPr>
          <w:rFonts w:ascii="Times New Roman;Times;serif" w:hAnsi="Times New Roman;Times;serif"/>
          <w:i/>
          <w:sz w:val="20"/>
        </w:rPr>
        <w:t>(in thousands, except share and per share amounts)</w:t>
      </w:r>
    </w:p>
    <w:p>
      <w:pPr>
        <w:pStyle w:val="Normal"/>
        <w:bidi w:val="0"/>
        <w:spacing w:before="0" w:after="0"/>
        <w:jc w:val="left"/>
        <w:rPr>
          <w:sz w:val="4"/>
          <w:szCs w:val="4"/>
        </w:rPr>
      </w:pPr>
      <w:r>
        <w:rPr>
          <w:sz w:val="4"/>
          <w:szCs w:val="4"/>
        </w:rPr>
      </w:r>
      <w:bookmarkStart w:id="86" w:name="Tc_a3Tk38GtnU6bZwgruPB7Lg_37_5"/>
      <w:bookmarkStart w:id="87" w:name="Tc_LmltQS7EYkKr66H9rA85FQ_37_2"/>
      <w:bookmarkStart w:id="88" w:name="Tc_9rQoaOj1sUSbG8UThkUgAg_37_0"/>
      <w:bookmarkStart w:id="89" w:name="Tc_ImIjb9a82Uyh8twnU13cFA_36_0"/>
      <w:bookmarkStart w:id="90" w:name="Tc_6HsZFpBKPkCjbLkYMCt_LQ_35_0"/>
      <w:bookmarkStart w:id="91" w:name="Tc_V81mx3Sct0el6AlX_cToUA_34_0"/>
      <w:bookmarkStart w:id="92" w:name="Tc_9nIE6bzeq0GGun_VuSLpfQ_33_0"/>
      <w:bookmarkStart w:id="93" w:name="Tc_rXZqFDpyL0et8yfZsCxqcA_32_0"/>
      <w:bookmarkStart w:id="94" w:name="Tc_62ozqDWQ6kCnP82a8K2b1Q_31_0"/>
      <w:bookmarkStart w:id="95" w:name="Tc_F7NE3JNZzEilh-MCTxJmUw_30_0"/>
      <w:bookmarkStart w:id="96" w:name="Tc_Lx--BI0nw0qd7AaFTFMdLQ_29_0"/>
      <w:bookmarkStart w:id="97" w:name="Tc_IYAInGcRaUOdgRhN5I6G4g_28_0"/>
      <w:bookmarkStart w:id="98" w:name="Tc_xLkeLAhrYUKfFlGkmxE5-g_27_0"/>
      <w:bookmarkStart w:id="99" w:name="Tc_xxhECLZD80ivO3NJHP6q5g_26_0"/>
      <w:bookmarkStart w:id="100" w:name="Tc_J_pE-l21w06taqO-_wzQHA_25_0"/>
      <w:bookmarkStart w:id="101" w:name="Tc_xJPYeC_7DEKC6skCjvuyeA_24_0"/>
      <w:bookmarkStart w:id="102" w:name="Tc_3a3D6CxcZUmdn5U22X46fw_23_0"/>
      <w:bookmarkStart w:id="103" w:name="Tc_Yp_CExVWp0mHXF-lq2MudA_22_0"/>
      <w:bookmarkStart w:id="104" w:name="Tc_HBbGpfMf5kGaLuOfrTdmiA_21_0"/>
      <w:bookmarkStart w:id="105" w:name="Tc_n2L0SsrXkUq2KUOUiq5byQ_20_0"/>
      <w:bookmarkStart w:id="106" w:name="Tc_2o-TrhSem0OONRYFRmusYA_19_5"/>
      <w:bookmarkStart w:id="107" w:name="Tc_WJC9Z66yZkOLPWYw0XrNhg_19_2"/>
      <w:bookmarkStart w:id="108" w:name="Tc_Jtc2PQjU1kqSDdhdk7OJ1Q_19_0"/>
      <w:bookmarkStart w:id="109" w:name="Tc_Bzw1cP44BUG8pAusirg4ig_18_0"/>
      <w:bookmarkStart w:id="110" w:name="Tc_tYMWpLt_FkqfYp_HhSJ6Hg_17_0"/>
      <w:bookmarkStart w:id="111" w:name="Tc_JlnBsr2Y9UaZtk0lEBn0wg_15_5"/>
      <w:bookmarkStart w:id="112" w:name="Tc_Sz4bDJsC5USSjjBlyWDjmg_15_2"/>
      <w:bookmarkStart w:id="113" w:name="Tc_nzBSQMJdd0u4G9zInMC1OA_15_0"/>
      <w:bookmarkStart w:id="114" w:name="Tc_pqHJWm1PqE6ME0rV8cX3qA_14_0"/>
      <w:bookmarkStart w:id="115" w:name="Tc_tR6UytxBy0imYEpUhDpc1g_13_0"/>
      <w:bookmarkStart w:id="116" w:name="Tc_KBHBQfQQ-EO_jrdf-lHMug_12_0"/>
      <w:bookmarkStart w:id="117" w:name="Tc_OqQ2UEwVgk2BwVPuqH4IXw_11_0"/>
      <w:bookmarkStart w:id="118" w:name="Tc_eIRjuyHNbkaYn-CV_MBiMg_10_0"/>
      <w:bookmarkStart w:id="119" w:name="Tc_uRLjPUwYU06U3h3R3b8E8A_9_0"/>
      <w:bookmarkStart w:id="120" w:name="Tc_PD1Ao0CJsUqbHiQOV2x-GA_8_0"/>
      <w:bookmarkStart w:id="121" w:name="Tc_ypv1C53Pvkqhipu8Vwxx2Q_7_0"/>
      <w:bookmarkStart w:id="122" w:name="Tc_KHFIatx2MUabrBsthl_URw_6_0"/>
      <w:bookmarkStart w:id="123" w:name="Tc_M0jEj6SenkCptjnLTgYghQ_5_5"/>
      <w:bookmarkStart w:id="124" w:name="Tc_9A9o3_kNYk-yzbrtif6NCA_5_2"/>
      <w:bookmarkStart w:id="125" w:name="Tc_HvpYMQPuekGoy_zPlUZhtg_5_0"/>
      <w:bookmarkStart w:id="126" w:name="Tc_J8WpvT-ye0WWONagyWwUTw_4_0"/>
      <w:bookmarkStart w:id="127" w:name="Tc_cAnTHZpIJ0-IoNohG6onZA_3_0"/>
      <w:bookmarkStart w:id="128" w:name="Tc_vUEJquO6mEKqBZ_ta7GxSw_2_5"/>
      <w:bookmarkStart w:id="129" w:name="Tc_otcPYXkl906bccLuxEUmOg_2_2"/>
      <w:bookmarkStart w:id="130" w:name="Tc_tbeV2SPk8kCHoJL4exGhKg_1_5"/>
      <w:bookmarkStart w:id="131" w:name="Tc_LQk5FeDTBUSLTgqJpzGrkQ_1_2"/>
      <w:bookmarkStart w:id="132" w:name="_0d0b4b2d_eda4_42ad_b757_b962bd7c104c"/>
      <w:bookmarkStart w:id="133" w:name="Tc_a3Tk38GtnU6bZwgruPB7Lg_37_5"/>
      <w:bookmarkStart w:id="134" w:name="Tc_LmltQS7EYkKr66H9rA85FQ_37_2"/>
      <w:bookmarkStart w:id="135" w:name="Tc_9rQoaOj1sUSbG8UThkUgAg_37_0"/>
      <w:bookmarkStart w:id="136" w:name="Tc_ImIjb9a82Uyh8twnU13cFA_36_0"/>
      <w:bookmarkStart w:id="137" w:name="Tc_6HsZFpBKPkCjbLkYMCt_LQ_35_0"/>
      <w:bookmarkStart w:id="138" w:name="Tc_V81mx3Sct0el6AlX_cToUA_34_0"/>
      <w:bookmarkStart w:id="139" w:name="Tc_9nIE6bzeq0GGun_VuSLpfQ_33_0"/>
      <w:bookmarkStart w:id="140" w:name="Tc_rXZqFDpyL0et8yfZsCxqcA_32_0"/>
      <w:bookmarkStart w:id="141" w:name="Tc_62ozqDWQ6kCnP82a8K2b1Q_31_0"/>
      <w:bookmarkStart w:id="142" w:name="Tc_F7NE3JNZzEilh-MCTxJmUw_30_0"/>
      <w:bookmarkStart w:id="143" w:name="Tc_Lx--BI0nw0qd7AaFTFMdLQ_29_0"/>
      <w:bookmarkStart w:id="144" w:name="Tc_IYAInGcRaUOdgRhN5I6G4g_28_0"/>
      <w:bookmarkStart w:id="145" w:name="Tc_xLkeLAhrYUKfFlGkmxE5-g_27_0"/>
      <w:bookmarkStart w:id="146" w:name="Tc_xxhECLZD80ivO3NJHP6q5g_26_0"/>
      <w:bookmarkStart w:id="147" w:name="Tc_J_pE-l21w06taqO-_wzQHA_25_0"/>
      <w:bookmarkStart w:id="148" w:name="Tc_xJPYeC_7DEKC6skCjvuyeA_24_0"/>
      <w:bookmarkStart w:id="149" w:name="Tc_3a3D6CxcZUmdn5U22X46fw_23_0"/>
      <w:bookmarkStart w:id="150" w:name="Tc_Yp_CExVWp0mHXF-lq2MudA_22_0"/>
      <w:bookmarkStart w:id="151" w:name="Tc_HBbGpfMf5kGaLuOfrTdmiA_21_0"/>
      <w:bookmarkStart w:id="152" w:name="Tc_n2L0SsrXkUq2KUOUiq5byQ_20_0"/>
      <w:bookmarkStart w:id="153" w:name="Tc_2o-TrhSem0OONRYFRmusYA_19_5"/>
      <w:bookmarkStart w:id="154" w:name="Tc_WJC9Z66yZkOLPWYw0XrNhg_19_2"/>
      <w:bookmarkStart w:id="155" w:name="Tc_Jtc2PQjU1kqSDdhdk7OJ1Q_19_0"/>
      <w:bookmarkStart w:id="156" w:name="Tc_Bzw1cP44BUG8pAusirg4ig_18_0"/>
      <w:bookmarkStart w:id="157" w:name="Tc_tYMWpLt_FkqfYp_HhSJ6Hg_17_0"/>
      <w:bookmarkStart w:id="158" w:name="Tc_JlnBsr2Y9UaZtk0lEBn0wg_15_5"/>
      <w:bookmarkStart w:id="159" w:name="Tc_Sz4bDJsC5USSjjBlyWDjmg_15_2"/>
      <w:bookmarkStart w:id="160" w:name="Tc_nzBSQMJdd0u4G9zInMC1OA_15_0"/>
      <w:bookmarkStart w:id="161" w:name="Tc_pqHJWm1PqE6ME0rV8cX3qA_14_0"/>
      <w:bookmarkStart w:id="162" w:name="Tc_tR6UytxBy0imYEpUhDpc1g_13_0"/>
      <w:bookmarkStart w:id="163" w:name="Tc_KBHBQfQQ-EO_jrdf-lHMug_12_0"/>
      <w:bookmarkStart w:id="164" w:name="Tc_OqQ2UEwVgk2BwVPuqH4IXw_11_0"/>
      <w:bookmarkStart w:id="165" w:name="Tc_eIRjuyHNbkaYn-CV_MBiMg_10_0"/>
      <w:bookmarkStart w:id="166" w:name="Tc_uRLjPUwYU06U3h3R3b8E8A_9_0"/>
      <w:bookmarkStart w:id="167" w:name="Tc_PD1Ao0CJsUqbHiQOV2x-GA_8_0"/>
      <w:bookmarkStart w:id="168" w:name="Tc_ypv1C53Pvkqhipu8Vwxx2Q_7_0"/>
      <w:bookmarkStart w:id="169" w:name="Tc_KHFIatx2MUabrBsthl_URw_6_0"/>
      <w:bookmarkStart w:id="170" w:name="Tc_M0jEj6SenkCptjnLTgYghQ_5_5"/>
      <w:bookmarkStart w:id="171" w:name="Tc_9A9o3_kNYk-yzbrtif6NCA_5_2"/>
      <w:bookmarkStart w:id="172" w:name="Tc_HvpYMQPuekGoy_zPlUZhtg_5_0"/>
      <w:bookmarkStart w:id="173" w:name="Tc_J8WpvT-ye0WWONagyWwUTw_4_0"/>
      <w:bookmarkStart w:id="174" w:name="Tc_cAnTHZpIJ0-IoNohG6onZA_3_0"/>
      <w:bookmarkStart w:id="175" w:name="Tc_vUEJquO6mEKqBZ_ta7GxSw_2_5"/>
      <w:bookmarkStart w:id="176" w:name="Tc_otcPYXkl906bccLuxEUmOg_2_2"/>
      <w:bookmarkStart w:id="177" w:name="Tc_tbeV2SPk8kCHoJL4exGhKg_1_5"/>
      <w:bookmarkStart w:id="178" w:name="Tc_LQk5FeDTBUSLTgqJpzGrkQ_1_2"/>
      <w:bookmarkStart w:id="179" w:name="_0d0b4b2d_eda4_42ad_b757_b962bd7c104c"/>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W w:w="10205" w:type="dxa"/>
        <w:jc w:val="left"/>
        <w:tblInd w:w="0" w:type="dxa"/>
        <w:tblLayout w:type="fixed"/>
        <w:tblCellMar>
          <w:top w:w="0" w:type="dxa"/>
          <w:left w:w="0" w:type="dxa"/>
          <w:bottom w:w="0" w:type="dxa"/>
          <w:right w:w="0" w:type="dxa"/>
        </w:tblCellMar>
      </w:tblPr>
      <w:tblGrid>
        <w:gridCol w:w="7245"/>
        <w:gridCol w:w="346"/>
        <w:gridCol w:w="211"/>
        <w:gridCol w:w="931"/>
        <w:gridCol w:w="346"/>
        <w:gridCol w:w="211"/>
        <w:gridCol w:w="915"/>
      </w:tblGrid>
      <w:tr>
        <w:trPr/>
        <w:tc>
          <w:tcPr>
            <w:tcW w:w="72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175260"/>
                      <wp:effectExtent l="0" t="0" r="0" b="0"/>
                      <wp:wrapNone/>
                      <wp:docPr id="17" name="Frame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1025" cy="175260"/>
                      <wp:effectExtent l="0" t="0" r="0" b="0"/>
                      <wp:wrapNone/>
                      <wp:docPr id="20" name="Frame20"/>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2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pPr>
            <w:r>
              <w:rPr/>
              <w:t>  ​</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67,674</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398,660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2,427</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3,156</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9,081</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454,760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206,758</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25,068</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44,643</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7,993</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284,787</w:t>
            </w:r>
          </w:p>
        </w:tc>
      </w:tr>
      <w:tr>
        <w:trPr/>
        <w:tc>
          <w:tcPr>
            <w:tcW w:w="72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  ​</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8,005</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11,867</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6,641</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93,095</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158,198</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w:t>
            </w:r>
          </w:p>
        </w:tc>
      </w:tr>
      <w:tr>
        <w:trPr/>
        <w:tc>
          <w:tcPr>
            <w:tcW w:w="724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Common stock, par value $0.0001 per share, 1,000,000,000 shares authorized, 331,282,895 shares issued and outstanding at </w:t>
            </w:r>
            <w:r>
              <w:rPr>
                <w:rFonts w:ascii="Times New Roman;Times;serif" w:hAnsi="Times New Roman;Times;serif"/>
                <w:b w:val="false"/>
                <w:i w:val="false"/>
                <w:caps w:val="false"/>
                <w:smallCaps w:val="false"/>
                <w:sz w:val="20"/>
              </w:rPr>
              <w:t>December 31, 2025</w:t>
            </w:r>
            <w:r>
              <w:rPr>
                <w:rFonts w:ascii="Times New Roman;Times;serif" w:hAnsi="Times New Roman;Times;serif"/>
                <w:sz w:val="20"/>
              </w:rPr>
              <w:t xml:space="preserve"> and 283,546,871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1,316,126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681,202</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(770,957)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(554,747)</w:t>
            </w:r>
          </w:p>
        </w:tc>
      </w:tr>
      <w:tr>
        <w:trPr/>
        <w:tc>
          <w:tcPr>
            <w:tcW w:w="7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546,199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7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284,787</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 accompanying notes to consolidated financial</w:t>
      </w:r>
      <w:r>
        <w:rPr>
          <w:rFonts w:ascii="Times New Roman;Times;serif" w:hAnsi="Times New Roman;Times;serif"/>
          <w:sz w:val="20"/>
        </w:rPr>
        <w:t xml:space="preserve"> </w:t>
      </w:r>
      <w:r>
        <w:rPr>
          <w:rFonts w:ascii="Times New Roman;Times;serif" w:hAnsi="Times New Roman;Times;serif"/>
          <w:i/>
          <w:sz w:val="20"/>
        </w:rPr>
        <w:t>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0" w:name="StatementsofOperations"/>
      <w:bookmarkStart w:id="181" w:name="_c001eb6a_288d_4472_a4ae_c96cb66c6fc2"/>
      <w:bookmarkEnd w:id="180"/>
      <w:bookmarkEnd w:id="181"/>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82" w:name="STATEMENTSOFOPERATIONS_959966"/>
      <w:bookmarkEnd w:id="182"/>
      <w:r>
        <w:rPr>
          <w:rFonts w:ascii="Times New Roman;Times;serif" w:hAnsi="Times New Roman;Times;serif"/>
          <w:b/>
          <w:sz w:val="20"/>
        </w:rPr>
        <w:t>CONSOLIDATED STATEMENTS OF OPERATIONS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(in thousands, except for per share data)</w:t>
      </w:r>
    </w:p>
    <w:p>
      <w:pPr>
        <w:pStyle w:val="Normal"/>
        <w:bidi w:val="0"/>
        <w:spacing w:before="0" w:after="0"/>
        <w:jc w:val="left"/>
        <w:rPr>
          <w:sz w:val="4"/>
          <w:szCs w:val="4"/>
        </w:rPr>
      </w:pPr>
      <w:r>
        <w:rPr>
          <w:sz w:val="4"/>
          <w:szCs w:val="4"/>
        </w:rPr>
      </w:r>
      <w:bookmarkStart w:id="183" w:name="Tc_FnvgceBxzEu2ju_P30zfcQ_23_0"/>
      <w:bookmarkStart w:id="184" w:name="Tc_1UNU2V8WHUS0jGvbxEvPiQ_22_5"/>
      <w:bookmarkStart w:id="185" w:name="Tc_i11kP03ivkOtnBoYHdsfXw_22_2"/>
      <w:bookmarkStart w:id="186" w:name="Tc_rJQNnkZJ00yHxmesGp4rZw_22_0"/>
      <w:bookmarkStart w:id="187" w:name="Tc_-U4a0B7iw02ujSFzLUZp1w_21_5"/>
      <w:bookmarkStart w:id="188" w:name="Tc_Ug9Li0nrc0yZ__aASsmN-A_21_2"/>
      <w:bookmarkStart w:id="189" w:name="Tc_FmiFb-NmtEiaV5pCupri-A_21_0"/>
      <w:bookmarkStart w:id="190" w:name="Tc_idOqD0zOlkq4VksueigpwA_20_0"/>
      <w:bookmarkStart w:id="191" w:name="Tc__c-xy6523UurzKM0MDeNsg_19_0"/>
      <w:bookmarkStart w:id="192" w:name="Tc_ZvKorCXRikGFmmUqQ-hrWA_18_0"/>
      <w:bookmarkStart w:id="193" w:name="Tc_R_Wfo7KT8U2PYqD4ycRvUg_17_0"/>
      <w:bookmarkStart w:id="194" w:name="Tc_s6dwGXV_Zk2BCgfe6Q_yjA_16_0"/>
      <w:bookmarkStart w:id="195" w:name="Tc_SRgOTe_Q8Uy54TIW69tT1g_15_0"/>
      <w:bookmarkStart w:id="196" w:name="Tc_u65cdgsaEEeOhAYyAfEqGA_14_0"/>
      <w:bookmarkStart w:id="197" w:name="Tc_DO60VwiopUGwYt3tq5Kb_w_13_0"/>
      <w:bookmarkStart w:id="198" w:name="Tc_8ciERrBsSkGcxg6CFz-zOQ_12_0"/>
      <w:bookmarkStart w:id="199" w:name="Tc__IIGO-EAI0C8MfUIxqFtyQ_11_0"/>
      <w:bookmarkStart w:id="200" w:name="Tc_GDsZajYrskylnmfcJzSYig_10_0"/>
      <w:bookmarkStart w:id="201" w:name="Tc_Dfm28_WqjUqx0lO0VeLOUw_9_0"/>
      <w:bookmarkStart w:id="202" w:name="Tc_9q0f-NNCtEOf2hZNvkS6hg_8_0"/>
      <w:bookmarkStart w:id="203" w:name="Tc_8UlOobMqUkqAftNRT5ZLZw_7_0"/>
      <w:bookmarkStart w:id="204" w:name="Tc_x0mOTQcjFkCcVe1QKuScAQ_6_0"/>
      <w:bookmarkStart w:id="205" w:name="Tc_txHg7B5vzki7GuIH9VwbtA_5_0"/>
      <w:bookmarkStart w:id="206" w:name="Tc_UNWsBIagKUWbJRkkl1tlIA_4_5"/>
      <w:bookmarkStart w:id="207" w:name="Tc_d8-hGjRew0mEx7cg8VZ8KA_4_2"/>
      <w:bookmarkStart w:id="208" w:name="Tc_lHCk6B3bSESWatb7zkhuhw_4_0"/>
      <w:bookmarkStart w:id="209" w:name="Tc_3S0ss2qNKk2VQ4e-Ov0cVw_3_5"/>
      <w:bookmarkStart w:id="210" w:name="Tc_hN3EkNoGCUOPbd4xxW-36g_3_2"/>
      <w:bookmarkStart w:id="211" w:name="Tc_-pdExgG6_0OC88IhHqBbBA_2_2"/>
      <w:bookmarkStart w:id="212" w:name="_f7131c1a_6a12_48d7_b85b_5f841f74e404"/>
      <w:bookmarkStart w:id="213" w:name="_a3cf82f4_3f44_4a38_8809_947274e20b84"/>
      <w:bookmarkStart w:id="214" w:name="Tc_FnvgceBxzEu2ju_P30zfcQ_23_0"/>
      <w:bookmarkStart w:id="215" w:name="Tc_1UNU2V8WHUS0jGvbxEvPiQ_22_5"/>
      <w:bookmarkStart w:id="216" w:name="Tc_i11kP03ivkOtnBoYHdsfXw_22_2"/>
      <w:bookmarkStart w:id="217" w:name="Tc_rJQNnkZJ00yHxmesGp4rZw_22_0"/>
      <w:bookmarkStart w:id="218" w:name="Tc_-U4a0B7iw02ujSFzLUZp1w_21_5"/>
      <w:bookmarkStart w:id="219" w:name="Tc_Ug9Li0nrc0yZ__aASsmN-A_21_2"/>
      <w:bookmarkStart w:id="220" w:name="Tc_FmiFb-NmtEiaV5pCupri-A_21_0"/>
      <w:bookmarkStart w:id="221" w:name="Tc_idOqD0zOlkq4VksueigpwA_20_0"/>
      <w:bookmarkStart w:id="222" w:name="Tc__c-xy6523UurzKM0MDeNsg_19_0"/>
      <w:bookmarkStart w:id="223" w:name="Tc_ZvKorCXRikGFmmUqQ-hrWA_18_0"/>
      <w:bookmarkStart w:id="224" w:name="Tc_R_Wfo7KT8U2PYqD4ycRvUg_17_0"/>
      <w:bookmarkStart w:id="225" w:name="Tc_s6dwGXV_Zk2BCgfe6Q_yjA_16_0"/>
      <w:bookmarkStart w:id="226" w:name="Tc_SRgOTe_Q8Uy54TIW69tT1g_15_0"/>
      <w:bookmarkStart w:id="227" w:name="Tc_u65cdgsaEEeOhAYyAfEqGA_14_0"/>
      <w:bookmarkStart w:id="228" w:name="Tc_DO60VwiopUGwYt3tq5Kb_w_13_0"/>
      <w:bookmarkStart w:id="229" w:name="Tc_8ciERrBsSkGcxg6CFz-zOQ_12_0"/>
      <w:bookmarkStart w:id="230" w:name="Tc__IIGO-EAI0C8MfUIxqFtyQ_11_0"/>
      <w:bookmarkStart w:id="231" w:name="Tc_GDsZajYrskylnmfcJzSYig_10_0"/>
      <w:bookmarkStart w:id="232" w:name="Tc_Dfm28_WqjUqx0lO0VeLOUw_9_0"/>
      <w:bookmarkStart w:id="233" w:name="Tc_9q0f-NNCtEOf2hZNvkS6hg_8_0"/>
      <w:bookmarkStart w:id="234" w:name="Tc_8UlOobMqUkqAftNRT5ZLZw_7_0"/>
      <w:bookmarkStart w:id="235" w:name="Tc_x0mOTQcjFkCcVe1QKuScAQ_6_0"/>
      <w:bookmarkStart w:id="236" w:name="Tc_txHg7B5vzki7GuIH9VwbtA_5_0"/>
      <w:bookmarkStart w:id="237" w:name="Tc_UNWsBIagKUWbJRkkl1tlIA_4_5"/>
      <w:bookmarkStart w:id="238" w:name="Tc_d8-hGjRew0mEx7cg8VZ8KA_4_2"/>
      <w:bookmarkStart w:id="239" w:name="Tc_lHCk6B3bSESWatb7zkhuhw_4_0"/>
      <w:bookmarkStart w:id="240" w:name="Tc_3S0ss2qNKk2VQ4e-Ov0cVw_3_5"/>
      <w:bookmarkStart w:id="241" w:name="Tc_hN3EkNoGCUOPbd4xxW-36g_3_2"/>
      <w:bookmarkStart w:id="242" w:name="Tc_-pdExgG6_0OC88IhHqBbBA_2_2"/>
      <w:bookmarkStart w:id="243" w:name="_f7131c1a_6a12_48d7_b85b_5f841f74e404"/>
      <w:bookmarkStart w:id="244" w:name="_a3cf82f4_3f44_4a38_8809_947274e20b84"/>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10205" w:type="dxa"/>
        <w:jc w:val="left"/>
        <w:tblInd w:w="0" w:type="dxa"/>
        <w:tblLayout w:type="fixed"/>
        <w:tblCellMar>
          <w:top w:w="0" w:type="dxa"/>
          <w:left w:w="0" w:type="dxa"/>
          <w:bottom w:w="0" w:type="dxa"/>
          <w:right w:w="0" w:type="dxa"/>
        </w:tblCellMar>
      </w:tblPr>
      <w:tblGrid>
        <w:gridCol w:w="7275"/>
        <w:gridCol w:w="346"/>
        <w:gridCol w:w="211"/>
        <w:gridCol w:w="883"/>
        <w:gridCol w:w="346"/>
        <w:gridCol w:w="211"/>
        <w:gridCol w:w="933"/>
      </w:tblGrid>
      <w:tr>
        <w:trPr/>
        <w:tc>
          <w:tcPr>
            <w:tcW w:w="72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60705" cy="175260"/>
                      <wp:effectExtent l="0" t="0" r="0" b="0"/>
                      <wp:wrapNone/>
                      <wp:docPr id="23" name="Frame23"/>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2455" cy="175260"/>
                      <wp:effectExtent l="0" t="0" r="0" b="0"/>
                      <wp:wrapNone/>
                      <wp:docPr id="26" name="Frame2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left"/>
              <w:rPr/>
            </w:pPr>
            <w:r>
              <w:rPr/>
              <w:t>​</w:t>
            </w:r>
          </w:p>
        </w:tc>
      </w:tr>
      <w:tr>
        <w:trPr/>
        <w:tc>
          <w:tcPr>
            <w:tcW w:w="72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5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 December 31,</w:t>
            </w:r>
          </w:p>
        </w:tc>
      </w:tr>
      <w:tr>
        <w:trPr/>
        <w:tc>
          <w:tcPr>
            <w:tcW w:w="72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10,790</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5,093</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5,697</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pPr>
            <w:r>
              <w:rPr/>
              <w:t>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49,750</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24,457</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74,207</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(68,510)</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pPr>
            <w:r>
              <w:rPr/>
              <w:t>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(3,255)</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5,113</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(90,168)</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(43,742)</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(132,478)</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(200,988)</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(200,988)</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per share attributable to common stockholders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309,763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184,666</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 accompanying notes to consolidated financial</w:t>
      </w:r>
      <w:r>
        <w:rPr>
          <w:rFonts w:ascii="Times New Roman;Times;serif" w:hAnsi="Times New Roman;Times;serif"/>
          <w:sz w:val="20"/>
        </w:rPr>
        <w:t xml:space="preserve"> </w:t>
      </w:r>
      <w:r>
        <w:rPr>
          <w:rFonts w:ascii="Times New Roman;Times;serif" w:hAnsi="Times New Roman;Times;serif"/>
          <w:i/>
          <w:sz w:val="20"/>
        </w:rPr>
        <w:t>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5" w:name="StatementsofComprehensiveloss"/>
      <w:bookmarkStart w:id="246" w:name="_5ecad245_e995_45e8_be6e_b6ef6fe80ca6"/>
      <w:bookmarkEnd w:id="245"/>
      <w:bookmarkEnd w:id="246"/>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47" w:name="STATEMENTSOFCOMPREHENSIVELOSS_938564"/>
      <w:bookmarkEnd w:id="247"/>
      <w:r>
        <w:rPr>
          <w:rFonts w:ascii="Times New Roman;Times;serif" w:hAnsi="Times New Roman;Times;serif"/>
          <w:b/>
          <w:sz w:val="20"/>
        </w:rPr>
        <w:t>CONSOLIDATED STATEMENTS OF COMPREHENSIVE LOSS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Normal"/>
        <w:bidi w:val="0"/>
        <w:spacing w:before="0" w:after="0"/>
        <w:jc w:val="left"/>
        <w:rPr>
          <w:sz w:val="4"/>
          <w:szCs w:val="4"/>
        </w:rPr>
      </w:pPr>
      <w:r>
        <w:rPr>
          <w:sz w:val="4"/>
          <w:szCs w:val="4"/>
        </w:rPr>
      </w:r>
      <w:bookmarkStart w:id="248" w:name="Tc_iBTGlNboHEmxS5AoqBoWsA_11_5"/>
      <w:bookmarkStart w:id="249" w:name="Tc_7xxosmFTpESygB6029aIug_11_2"/>
      <w:bookmarkStart w:id="250" w:name="Tc_me17H0lLm0espw3asb6iMw_11_0"/>
      <w:bookmarkStart w:id="251" w:name="Tc_olNTEzNg9EC8j-oorXMjdg_10_0"/>
      <w:bookmarkStart w:id="252" w:name="Tc_86i5XGYv1E-Bdg3E5ZlnuA_9_0"/>
      <w:bookmarkStart w:id="253" w:name="Tc_R0Q2QOJ_T0yPugJ_XxVGpg_8_0"/>
      <w:bookmarkStart w:id="254" w:name="Tc_TRkl8-TnvEa66u_ZOi6YyQ_7_0"/>
      <w:bookmarkStart w:id="255" w:name="Tc_TptvaTf0ckeJ9S0CtTv7Mw_6_0"/>
      <w:bookmarkStart w:id="256" w:name="Tc_RPYIHlg7UEawDlgVEE0y5g_5_0"/>
      <w:bookmarkStart w:id="257" w:name="Tc_5T9vAQewLk2eXd5hOIhw0A_4_5"/>
      <w:bookmarkStart w:id="258" w:name="Tc_XPV_48Q9uUGzz3u-F8MeZg_4_2"/>
      <w:bookmarkStart w:id="259" w:name="Tc_m2lEXF75W02UJQ2omg-qxw_4_0"/>
      <w:bookmarkStart w:id="260" w:name="Tc_wee7u1f_DEGMIE6Qndn0QA_3_5"/>
      <w:bookmarkStart w:id="261" w:name="Tc_Qfm1pGVRvkO8Wof74iOm8g_3_2"/>
      <w:bookmarkStart w:id="262" w:name="Tc__vUo6cYS3Ey1qbxPgwOCSw_2_2"/>
      <w:bookmarkStart w:id="263" w:name="_c6fc9e1e_3ff9_44ad_9a57_ee2b986f82da"/>
      <w:bookmarkStart w:id="264" w:name="Tc_iBTGlNboHEmxS5AoqBoWsA_11_5"/>
      <w:bookmarkStart w:id="265" w:name="Tc_7xxosmFTpESygB6029aIug_11_2"/>
      <w:bookmarkStart w:id="266" w:name="Tc_me17H0lLm0espw3asb6iMw_11_0"/>
      <w:bookmarkStart w:id="267" w:name="Tc_olNTEzNg9EC8j-oorXMjdg_10_0"/>
      <w:bookmarkStart w:id="268" w:name="Tc_86i5XGYv1E-Bdg3E5ZlnuA_9_0"/>
      <w:bookmarkStart w:id="269" w:name="Tc_R0Q2QOJ_T0yPugJ_XxVGpg_8_0"/>
      <w:bookmarkStart w:id="270" w:name="Tc_TRkl8-TnvEa66u_ZOi6YyQ_7_0"/>
      <w:bookmarkStart w:id="271" w:name="Tc_TptvaTf0ckeJ9S0CtTv7Mw_6_0"/>
      <w:bookmarkStart w:id="272" w:name="Tc_RPYIHlg7UEawDlgVEE0y5g_5_0"/>
      <w:bookmarkStart w:id="273" w:name="Tc_5T9vAQewLk2eXd5hOIhw0A_4_5"/>
      <w:bookmarkStart w:id="274" w:name="Tc_XPV_48Q9uUGzz3u-F8MeZg_4_2"/>
      <w:bookmarkStart w:id="275" w:name="Tc_m2lEXF75W02UJQ2omg-qxw_4_0"/>
      <w:bookmarkStart w:id="276" w:name="Tc_wee7u1f_DEGMIE6Qndn0QA_3_5"/>
      <w:bookmarkStart w:id="277" w:name="Tc_Qfm1pGVRvkO8Wof74iOm8g_3_2"/>
      <w:bookmarkStart w:id="278" w:name="Tc__vUo6cYS3Ey1qbxPgwOCSw_2_2"/>
      <w:bookmarkStart w:id="279" w:name="_c6fc9e1e_3ff9_44ad_9a57_ee2b986f82da"/>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tbl>
      <w:tblPr>
        <w:tblW w:w="8047" w:type="dxa"/>
        <w:jc w:val="left"/>
        <w:tblInd w:w="0" w:type="dxa"/>
        <w:tblLayout w:type="fixed"/>
        <w:tblCellMar>
          <w:top w:w="0" w:type="dxa"/>
          <w:left w:w="0" w:type="dxa"/>
          <w:bottom w:w="0" w:type="dxa"/>
          <w:right w:w="0" w:type="dxa"/>
        </w:tblCellMar>
      </w:tblPr>
      <w:tblGrid>
        <w:gridCol w:w="5086"/>
        <w:gridCol w:w="346"/>
        <w:gridCol w:w="211"/>
        <w:gridCol w:w="901"/>
        <w:gridCol w:w="346"/>
        <w:gridCol w:w="211"/>
        <w:gridCol w:w="946"/>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229610" cy="175260"/>
                      <wp:effectExtent l="0" t="0" r="0" b="0"/>
                      <wp:wrapNone/>
                      <wp:docPr id="27" name="Frame27"/>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72135" cy="175260"/>
                      <wp:effectExtent l="0" t="0" r="0" b="0"/>
                      <wp:wrapNone/>
                      <wp:docPr id="30" name="Frame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00710" cy="175260"/>
                      <wp:effectExtent l="0" t="0" r="0" b="0"/>
                      <wp:wrapNone/>
                      <wp:docPr id="33" name="Frame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r>
      <w:tr>
        <w:trPr/>
        <w:tc>
          <w:tcPr>
            <w:tcW w:w="5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(200,988)</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  ​</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available-for-sale debt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income (loss)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(loss) after income taxes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(215,318)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(201,127)</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0" w:name="_1f2f4069_1d93_4a7b_92e2_343bd8a73760"/>
      <w:bookmarkEnd w:id="280"/>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81" w:name="Equity"/>
      <w:bookmarkStart w:id="282" w:name="STOCKHOLDERSEQUITY_440253"/>
      <w:bookmarkEnd w:id="281"/>
      <w:bookmarkEnd w:id="282"/>
      <w:r>
        <w:rPr>
          <w:rFonts w:ascii="Times New Roman;Times;serif" w:hAnsi="Times New Roman;Times;serif"/>
          <w:b/>
          <w:sz w:val="20"/>
        </w:rPr>
        <w:t>CONSOLIDATED STATEMENTS OF STOCKHOLDERS’ EQUITY</w:t>
      </w:r>
    </w:p>
    <w:p>
      <w:pPr>
        <w:pStyle w:val="TextBody"/>
        <w:bidi w:val="0"/>
        <w:spacing w:before="0" w:after="20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Normal"/>
        <w:bidi w:val="0"/>
        <w:spacing w:before="0" w:after="0"/>
        <w:jc w:val="left"/>
        <w:rPr>
          <w:sz w:val="4"/>
          <w:szCs w:val="4"/>
        </w:rPr>
      </w:pPr>
      <w:r>
        <w:rPr>
          <w:sz w:val="4"/>
          <w:szCs w:val="4"/>
        </w:rPr>
      </w:r>
      <w:bookmarkStart w:id="283" w:name="Tc_jKU7AC3ysEeoXNto4T9i7g_30_16"/>
      <w:bookmarkStart w:id="284" w:name="Tc_jrM3oAk5tESc96Aqx5RiQw_30_13"/>
      <w:bookmarkStart w:id="285" w:name="Tc_JO435bjmIEmNXJvwtU1Hrg_30_10"/>
      <w:bookmarkStart w:id="286" w:name="Tc_EiXvNauVNUyLTbMHmTcmgg_30_7"/>
      <w:bookmarkStart w:id="287" w:name="Tc_jpoWt0xLTkutiB-Cn9jRIA_30_4"/>
      <w:bookmarkStart w:id="288" w:name="Tc_Wxq0P8WuUkmZsxMzZMqGDg_30_0"/>
      <w:bookmarkStart w:id="289" w:name="Tc_Gwi7lErvAEi1B_Xebd_6gA_29_11"/>
      <w:bookmarkStart w:id="290" w:name="Tc_o4kPTHSLLEK-GEm9MtCJxA_29_8"/>
      <w:bookmarkStart w:id="291" w:name="Tc_49v7x3T6AECKkUr7bWwRxw_29_5"/>
      <w:bookmarkStart w:id="292" w:name="Tc_4XH22pUqkEuJGshjtesb9Q_29_2"/>
      <w:bookmarkStart w:id="293" w:name="Tc_OCjCDWBRIkWmTuH5Lu24LA_29_0"/>
      <w:bookmarkStart w:id="294" w:name="Tc_yuh2L5cy40KDt1xf_ffd_g_28_14"/>
      <w:bookmarkStart w:id="295" w:name="Tc_IiWkKX7zrEeEUGb7z8ua2Q_28_8"/>
      <w:bookmarkStart w:id="296" w:name="Tc_phEC4xSOL0aXcv33qRqK9Q_28_5"/>
      <w:bookmarkStart w:id="297" w:name="Tc_77C8pVpHr0e4HU6dLKxyFQ_28_2"/>
      <w:bookmarkStart w:id="298" w:name="Tc_tPz4NVLOBk6iMMFcyr_DGQ_28_0"/>
      <w:bookmarkStart w:id="299" w:name="Tc_Aglvhz3sk0mYmTpzyY1kTg_27_14"/>
      <w:bookmarkStart w:id="300" w:name="Tc_i2kRZcWzjUiJWKkJRmY_HQ_27_8"/>
      <w:bookmarkStart w:id="301" w:name="Tc_uOyQAaX_mEaTD6DvVMDg7Q_27_5"/>
      <w:bookmarkStart w:id="302" w:name="Tc_rOGOt9Qaj0S1KfD93Uq9rg_27_2"/>
      <w:bookmarkStart w:id="303" w:name="Tc_lWgUTKOhQUWUDSvmuBkscQ_27_0"/>
      <w:bookmarkStart w:id="304" w:name="Tc_F_1aZhpL002vceRUcEX0_A_26_14"/>
      <w:bookmarkStart w:id="305" w:name="Tc_PzRmY1Sp3UmVMXlAN8v5GQ_26_11"/>
      <w:bookmarkStart w:id="306" w:name="Tc_OhVyaiVSCkOEHP5-zj_AHg_26_5"/>
      <w:bookmarkStart w:id="307" w:name="Tc_cqWSjDwZREWIN8kNm-pdDA_26_2"/>
      <w:bookmarkStart w:id="308" w:name="Tc_HmigPFz300CW8o3RlnyzOA_26_0"/>
      <w:bookmarkStart w:id="309" w:name="Tc_ER-WiKf7XE2dpl3lwHir7Q_25_14"/>
      <w:bookmarkStart w:id="310" w:name="Tc_tKXP047tck-syI73ppRAWg_25_11"/>
      <w:bookmarkStart w:id="311" w:name="Tc_Doc6FXs-yEeG-TN-H5BxXA_25_5"/>
      <w:bookmarkStart w:id="312" w:name="Tc_1uYRdCoaoUSeMmSSLASvmg_25_2"/>
      <w:bookmarkStart w:id="313" w:name="Tc_UimUiI0yyUmFoMEb93GuRA_25_0"/>
      <w:bookmarkStart w:id="314" w:name="Tc_WFIajSVvqk-PxrQEKiGWMQ_24_14"/>
      <w:bookmarkStart w:id="315" w:name="Tc_UISgXPRAM0axnFjSZBoJUQ_24_11"/>
      <w:bookmarkStart w:id="316" w:name="Tc_8cH85j0PwUah6A93kTyPLQ_24_5"/>
      <w:bookmarkStart w:id="317" w:name="Tc_Ny-kRbgMZkStP8uhelCJiQ_24_2"/>
      <w:bookmarkStart w:id="318" w:name="Tc_0OR2lAuMp0mPHNVqs9iB7g_24_0"/>
      <w:bookmarkStart w:id="319" w:name="Tc_WWWTaNEyxkO_2ckbrvBrUw_23_14"/>
      <w:bookmarkStart w:id="320" w:name="Tc_NPwG6xPEbkWQuPynjPXwNA_23_11"/>
      <w:bookmarkStart w:id="321" w:name="Tc_SmPqn3XdvE-pZ-jgUvo0FA_23_5"/>
      <w:bookmarkStart w:id="322" w:name="Tc_m0gQHmMKz0ukCbWNocGEfw_23_2"/>
      <w:bookmarkStart w:id="323" w:name="Tc_stL1j1oXBE6EU2EITodM1w_23_0"/>
      <w:bookmarkStart w:id="324" w:name="Tc_5FoHIuOcMUShM_SOXcDtWA_22_14"/>
      <w:bookmarkStart w:id="325" w:name="Tc_ZuGaPdSfVU2dPrZRiBHsow_22_11"/>
      <w:bookmarkStart w:id="326" w:name="Tc_b_fWj6g2aEOiU7vBfC7IOg_22_0"/>
      <w:bookmarkStart w:id="327" w:name="Tc_1arhfxJXSk-aBR2WTnnCig_21_14"/>
      <w:bookmarkStart w:id="328" w:name="Tc_6QV2hEVPMka68WmgHARrag_21_11"/>
      <w:bookmarkStart w:id="329" w:name="Tc_QsRvOfaI0UiNA_gX2_pBNA_21_5"/>
      <w:bookmarkStart w:id="330" w:name="Tc_th8biJ0QIEeYZpfsVVY2ZA_21_0"/>
      <w:bookmarkStart w:id="331" w:name="Tc_jz3lll7SbkeNENsfBCzRMA_20_17"/>
      <w:bookmarkStart w:id="332" w:name="Tc_DQSeSHehi06xr0uCnoff-g_20_14"/>
      <w:bookmarkStart w:id="333" w:name="Tc_eKxtLZ-RlUqTdNtWlwEJCw_20_11"/>
      <w:bookmarkStart w:id="334" w:name="Tc_JtMqDXKJ80SFsTL0vdkDBA_20_8"/>
      <w:bookmarkStart w:id="335" w:name="Tc_IaIfuBpCTUSrE0l1xtCYiQ_20_5"/>
      <w:bookmarkStart w:id="336" w:name="Tc_ysymBg6usUmu8DvVtlciLQ_20_0"/>
      <w:bookmarkStart w:id="337" w:name="Tc_rtYiRWVTnkaLuEE0PHaXrg_19_14"/>
      <w:bookmarkStart w:id="338" w:name="Tc_XmDTup_oyE-v0DsdLI9XyA_19_11"/>
      <w:bookmarkStart w:id="339" w:name="Tc_phyAq6szIk6ypwJXR6Jg8g_19_0"/>
      <w:bookmarkStart w:id="340" w:name="Tc_AFGCeyn9tkO1De3g7346-w_18_14"/>
      <w:bookmarkStart w:id="341" w:name="Tc_e1lIZXnDaUuqdEL1QAR8BA_18_11"/>
      <w:bookmarkStart w:id="342" w:name="Tc_dcPG4MNOT0SHUamAXp0YSg_18_5"/>
      <w:bookmarkStart w:id="343" w:name="Tc_jpTghOBv0k-pdxNCj_ra0A_18_0"/>
      <w:bookmarkStart w:id="344" w:name="Tc_DRVy9HxJREKu1MuyKFZVlA_17_16"/>
      <w:bookmarkStart w:id="345" w:name="Tc_ztkpF5jPLUCBLIOarjGOZw_17_13"/>
      <w:bookmarkStart w:id="346" w:name="Tc_uq-iIcTF7UGjW0Tl4j3_9Q_17_10"/>
      <w:bookmarkStart w:id="347" w:name="Tc_6IMEDeob9kKBsxPkFgrt-A_17_7"/>
      <w:bookmarkStart w:id="348" w:name="Tc_MpaZRxIXYECYTv_yfY_T6w_17_4"/>
      <w:bookmarkStart w:id="349" w:name="Tc_NCjMeDAjjUObpNlmyazQwQ_17_0"/>
      <w:bookmarkStart w:id="350" w:name="Tc_DFCPjqqPzkayoQmd2Edp2w_16_11"/>
      <w:bookmarkStart w:id="351" w:name="Tc_ganbNOEv-0K-T8TxdUaJxA_16_8"/>
      <w:bookmarkStart w:id="352" w:name="Tc_u9y1XNqffE-0x3RFnxVdow_16_5"/>
      <w:bookmarkStart w:id="353" w:name="Tc_GCt6iKdwLEaRgQNrsURFuw_16_2"/>
      <w:bookmarkStart w:id="354" w:name="Tc_CGRcaZF1akmO0zZuMzSR0A_16_0"/>
      <w:bookmarkStart w:id="355" w:name="Tc_TUpGFhcaC0uvWtQ4MxIFzw_15_14"/>
      <w:bookmarkStart w:id="356" w:name="Tc_ZkL10HdELkeet5YjZIoqpQ_15_8"/>
      <w:bookmarkStart w:id="357" w:name="Tc_rJ7IeU0L30KnKIHFHXYjBA_15_5"/>
      <w:bookmarkStart w:id="358" w:name="Tc_PeeLtIp39Ea5Aju32ddQqQ_15_2"/>
      <w:bookmarkStart w:id="359" w:name="Tc_GZWNk9h9P02zQz3OM1qM9g_15_0"/>
      <w:bookmarkStart w:id="360" w:name="Tc_f2Q32bFGHUK9G81VwFckpA_14_14"/>
      <w:bookmarkStart w:id="361" w:name="Tc_AEahgmNk4E-fKkE9lWRx5Q_14_8"/>
      <w:bookmarkStart w:id="362" w:name="Tc_qje_fZ93k06BMRYnWkgbcw_14_5"/>
      <w:bookmarkStart w:id="363" w:name="Tc_o6ij304Lck-p1LCP-f5REw_14_2"/>
      <w:bookmarkStart w:id="364" w:name="Tc_dl3AwATpKkySfYYBqfuDyA_14_0"/>
      <w:bookmarkStart w:id="365" w:name="Tc_t6ZelbvsHE-bV42UswbEcg_13_14"/>
      <w:bookmarkStart w:id="366" w:name="Tc_pO982thtD0uTvJYu9Rbu9g_13_11"/>
      <w:bookmarkStart w:id="367" w:name="Tc_WHprcEJDo0-U1SBxKUX2Wg_13_5"/>
      <w:bookmarkStart w:id="368" w:name="Tc_7BCQQ_K_kE-qrIGLU0TUEw_13_2"/>
      <w:bookmarkStart w:id="369" w:name="Tc_VqUZXOrDwUGJTu4a_4smlQ_13_0"/>
      <w:bookmarkStart w:id="370" w:name="Tc_fu_DCQ5t5U2_y_V3byKMVg_12_14"/>
      <w:bookmarkStart w:id="371" w:name="Tc_-mAzm5Uz4U2kbckfel9-_Q_12_11"/>
      <w:bookmarkStart w:id="372" w:name="Tc_gzE7oi99ZkGxbkhf4Ft2dg_12_5"/>
      <w:bookmarkStart w:id="373" w:name="Tc_YK4vJBF_N0WcXV_8VKI1nQ_12_2"/>
      <w:bookmarkStart w:id="374" w:name="Tc_79b08RCO5E-6BEmKwBcF0Q_12_0"/>
      <w:bookmarkStart w:id="375" w:name="Tc_-3c96vplDU25u0bnvLYsaQ_11_14"/>
      <w:bookmarkStart w:id="376" w:name="Tc__NduIXvP9ky-J8BfSoQsrg_11_11"/>
      <w:bookmarkStart w:id="377" w:name="Tc_Sz8bWLssv0ypi9gbXVeyvQ_11_0"/>
      <w:bookmarkStart w:id="378" w:name="Tc_4ca5ekLXdEeBBTwY3MTThw_10_14"/>
      <w:bookmarkStart w:id="379" w:name="Tc_hV-JZQ6At0KVgZQ8W50x6A_10_11"/>
      <w:bookmarkStart w:id="380" w:name="Tc_UmB-wd5BSEaB_tz0L9SCjw_10_0"/>
      <w:bookmarkStart w:id="381" w:name="Tc_0h7F6ztMQka4jA2r6HeJGA_9_14"/>
      <w:bookmarkStart w:id="382" w:name="Tc_betFzzC2h0CTl0barnefCg_9_11"/>
      <w:bookmarkStart w:id="383" w:name="Tc_bflWd_T0M0eELVwEi1zWqg_9_0"/>
      <w:bookmarkStart w:id="384" w:name="Tc_fqz8rkqcQEarDXbPP_ClkQ_8_17"/>
      <w:bookmarkStart w:id="385" w:name="Tc_2df-x3GweUSJPoJuXQWBjw_8_14"/>
      <w:bookmarkStart w:id="386" w:name="Tc_-Bc8fLTnV0WJ6n61TnWWWA_8_11"/>
      <w:bookmarkStart w:id="387" w:name="Tc_pnq5NUnn_0id8O098c1w1Q_8_8"/>
      <w:bookmarkStart w:id="388" w:name="Tc_ZoCofs2beEagcmM7-AooSQ_8_5"/>
      <w:bookmarkStart w:id="389" w:name="Tc_qm9Ir7SltkGNS9yykj5tcw_8_0"/>
      <w:bookmarkStart w:id="390" w:name="Tc_3D3-wqa2ZkC5gb0JK1ADMQ_7_14"/>
      <w:bookmarkStart w:id="391" w:name="Tc_tNvGLzVqnEqceI1qz_b2Ow_7_11"/>
      <w:bookmarkStart w:id="392" w:name="Tc_VLUwU7l2SEq22sMLxdq79Q_7_5"/>
      <w:bookmarkStart w:id="393" w:name="Tc_13xRmOQ-qE-S4rS98BbHlQ_7_0"/>
      <w:bookmarkStart w:id="394" w:name="Tc_KCGgP-Jg7EeV7De0x8-h2w_6_14"/>
      <w:bookmarkStart w:id="395" w:name="Tc_DQgsJRPk9ES0D_UGskPd5Q_6_11"/>
      <w:bookmarkStart w:id="396" w:name="Tc_1FmdRWjOwUu_SVFBRz74rw_6_0"/>
      <w:bookmarkStart w:id="397" w:name="Tc_Wc6l_LEYEUO1ap8LyHoaIw_5_0"/>
      <w:bookmarkStart w:id="398" w:name="Tc_-cDBegK0OUiSOaYS4aZasw_4_16"/>
      <w:bookmarkStart w:id="399" w:name="Tc_jwNbNZ3E90WX21-qBa3QMg_4_13"/>
      <w:bookmarkStart w:id="400" w:name="Tc_0o5USw8v8UyZYsgXuoESiQ_4_10"/>
      <w:bookmarkStart w:id="401" w:name="Tc_Df_mhcqYrkOXK6Tytdsqkw_4_7"/>
      <w:bookmarkStart w:id="402" w:name="Tc_ygLEU1P1q0S1xP9QkntnAQ_4_4"/>
      <w:bookmarkStart w:id="403" w:name="Tc_d1JAMwSjWECvKLUJ4njZ8Q_4_2"/>
      <w:bookmarkStart w:id="404" w:name="Tc_Pd-x2UKedkG0B2RwV3cUyw_3_16"/>
      <w:bookmarkStart w:id="405" w:name="Tc_zneW1jutBkObg0ClHkuP8g_3_13"/>
      <w:bookmarkStart w:id="406" w:name="Tc_Am3WE8pwQkK6jXLF7a_dbw_3_10"/>
      <w:bookmarkStart w:id="407" w:name="Tc_O8z1eZSIG0GvXtlRandySg_3_7"/>
      <w:bookmarkStart w:id="408" w:name="Tc_5yM9L71jXUO51qV1qmNz4w_3_2"/>
      <w:bookmarkStart w:id="409" w:name="Tc_mZ_GoPIY-kaxZJOVSmN_Wg_2_16"/>
      <w:bookmarkStart w:id="410" w:name="Tc_FxcmhYV-p06ZP97lYUBOFA_2_10"/>
      <w:bookmarkStart w:id="411" w:name="Tc_UpGnWNaJIkWd6jAxqIgIiA_2_7"/>
      <w:bookmarkStart w:id="412" w:name="Tc_bvk2v6WjxkGqt6wjdSW2VQ_1_10"/>
      <w:bookmarkStart w:id="413" w:name="_00abcd5c_5bf7_43c0_b6a2_8b1896169573"/>
      <w:bookmarkStart w:id="414" w:name="Tc_jKU7AC3ysEeoXNto4T9i7g_30_16"/>
      <w:bookmarkStart w:id="415" w:name="Tc_jrM3oAk5tESc96Aqx5RiQw_30_13"/>
      <w:bookmarkStart w:id="416" w:name="Tc_JO435bjmIEmNXJvwtU1Hrg_30_10"/>
      <w:bookmarkStart w:id="417" w:name="Tc_EiXvNauVNUyLTbMHmTcmgg_30_7"/>
      <w:bookmarkStart w:id="418" w:name="Tc_jpoWt0xLTkutiB-Cn9jRIA_30_4"/>
      <w:bookmarkStart w:id="419" w:name="Tc_Wxq0P8WuUkmZsxMzZMqGDg_30_0"/>
      <w:bookmarkStart w:id="420" w:name="Tc_Gwi7lErvAEi1B_Xebd_6gA_29_11"/>
      <w:bookmarkStart w:id="421" w:name="Tc_o4kPTHSLLEK-GEm9MtCJxA_29_8"/>
      <w:bookmarkStart w:id="422" w:name="Tc_49v7x3T6AECKkUr7bWwRxw_29_5"/>
      <w:bookmarkStart w:id="423" w:name="Tc_4XH22pUqkEuJGshjtesb9Q_29_2"/>
      <w:bookmarkStart w:id="424" w:name="Tc_OCjCDWBRIkWmTuH5Lu24LA_29_0"/>
      <w:bookmarkStart w:id="425" w:name="Tc_yuh2L5cy40KDt1xf_ffd_g_28_14"/>
      <w:bookmarkStart w:id="426" w:name="Tc_IiWkKX7zrEeEUGb7z8ua2Q_28_8"/>
      <w:bookmarkStart w:id="427" w:name="Tc_phEC4xSOL0aXcv33qRqK9Q_28_5"/>
      <w:bookmarkStart w:id="428" w:name="Tc_77C8pVpHr0e4HU6dLKxyFQ_28_2"/>
      <w:bookmarkStart w:id="429" w:name="Tc_tPz4NVLOBk6iMMFcyr_DGQ_28_0"/>
      <w:bookmarkStart w:id="430" w:name="Tc_Aglvhz3sk0mYmTpzyY1kTg_27_14"/>
      <w:bookmarkStart w:id="431" w:name="Tc_i2kRZcWzjUiJWKkJRmY_HQ_27_8"/>
      <w:bookmarkStart w:id="432" w:name="Tc_uOyQAaX_mEaTD6DvVMDg7Q_27_5"/>
      <w:bookmarkStart w:id="433" w:name="Tc_rOGOt9Qaj0S1KfD93Uq9rg_27_2"/>
      <w:bookmarkStart w:id="434" w:name="Tc_lWgUTKOhQUWUDSvmuBkscQ_27_0"/>
      <w:bookmarkStart w:id="435" w:name="Tc_F_1aZhpL002vceRUcEX0_A_26_14"/>
      <w:bookmarkStart w:id="436" w:name="Tc_PzRmY1Sp3UmVMXlAN8v5GQ_26_11"/>
      <w:bookmarkStart w:id="437" w:name="Tc_OhVyaiVSCkOEHP5-zj_AHg_26_5"/>
      <w:bookmarkStart w:id="438" w:name="Tc_cqWSjDwZREWIN8kNm-pdDA_26_2"/>
      <w:bookmarkStart w:id="439" w:name="Tc_HmigPFz300CW8o3RlnyzOA_26_0"/>
      <w:bookmarkStart w:id="440" w:name="Tc_ER-WiKf7XE2dpl3lwHir7Q_25_14"/>
      <w:bookmarkStart w:id="441" w:name="Tc_tKXP047tck-syI73ppRAWg_25_11"/>
      <w:bookmarkStart w:id="442" w:name="Tc_Doc6FXs-yEeG-TN-H5BxXA_25_5"/>
      <w:bookmarkStart w:id="443" w:name="Tc_1uYRdCoaoUSeMmSSLASvmg_25_2"/>
      <w:bookmarkStart w:id="444" w:name="Tc_UimUiI0yyUmFoMEb93GuRA_25_0"/>
      <w:bookmarkStart w:id="445" w:name="Tc_WFIajSVvqk-PxrQEKiGWMQ_24_14"/>
      <w:bookmarkStart w:id="446" w:name="Tc_UISgXPRAM0axnFjSZBoJUQ_24_11"/>
      <w:bookmarkStart w:id="447" w:name="Tc_8cH85j0PwUah6A93kTyPLQ_24_5"/>
      <w:bookmarkStart w:id="448" w:name="Tc_Ny-kRbgMZkStP8uhelCJiQ_24_2"/>
      <w:bookmarkStart w:id="449" w:name="Tc_0OR2lAuMp0mPHNVqs9iB7g_24_0"/>
      <w:bookmarkStart w:id="450" w:name="Tc_WWWTaNEyxkO_2ckbrvBrUw_23_14"/>
      <w:bookmarkStart w:id="451" w:name="Tc_NPwG6xPEbkWQuPynjPXwNA_23_11"/>
      <w:bookmarkStart w:id="452" w:name="Tc_SmPqn3XdvE-pZ-jgUvo0FA_23_5"/>
      <w:bookmarkStart w:id="453" w:name="Tc_m0gQHmMKz0ukCbWNocGEfw_23_2"/>
      <w:bookmarkStart w:id="454" w:name="Tc_stL1j1oXBE6EU2EITodM1w_23_0"/>
      <w:bookmarkStart w:id="455" w:name="Tc_5FoHIuOcMUShM_SOXcDtWA_22_14"/>
      <w:bookmarkStart w:id="456" w:name="Tc_ZuGaPdSfVU2dPrZRiBHsow_22_11"/>
      <w:bookmarkStart w:id="457" w:name="Tc_b_fWj6g2aEOiU7vBfC7IOg_22_0"/>
      <w:bookmarkStart w:id="458" w:name="Tc_1arhfxJXSk-aBR2WTnnCig_21_14"/>
      <w:bookmarkStart w:id="459" w:name="Tc_6QV2hEVPMka68WmgHARrag_21_11"/>
      <w:bookmarkStart w:id="460" w:name="Tc_QsRvOfaI0UiNA_gX2_pBNA_21_5"/>
      <w:bookmarkStart w:id="461" w:name="Tc_th8biJ0QIEeYZpfsVVY2ZA_21_0"/>
      <w:bookmarkStart w:id="462" w:name="Tc_jz3lll7SbkeNENsfBCzRMA_20_17"/>
      <w:bookmarkStart w:id="463" w:name="Tc_DQSeSHehi06xr0uCnoff-g_20_14"/>
      <w:bookmarkStart w:id="464" w:name="Tc_eKxtLZ-RlUqTdNtWlwEJCw_20_11"/>
      <w:bookmarkStart w:id="465" w:name="Tc_JtMqDXKJ80SFsTL0vdkDBA_20_8"/>
      <w:bookmarkStart w:id="466" w:name="Tc_IaIfuBpCTUSrE0l1xtCYiQ_20_5"/>
      <w:bookmarkStart w:id="467" w:name="Tc_ysymBg6usUmu8DvVtlciLQ_20_0"/>
      <w:bookmarkStart w:id="468" w:name="Tc_rtYiRWVTnkaLuEE0PHaXrg_19_14"/>
      <w:bookmarkStart w:id="469" w:name="Tc_XmDTup_oyE-v0DsdLI9XyA_19_11"/>
      <w:bookmarkStart w:id="470" w:name="Tc_phyAq6szIk6ypwJXR6Jg8g_19_0"/>
      <w:bookmarkStart w:id="471" w:name="Tc_AFGCeyn9tkO1De3g7346-w_18_14"/>
      <w:bookmarkStart w:id="472" w:name="Tc_e1lIZXnDaUuqdEL1QAR8BA_18_11"/>
      <w:bookmarkStart w:id="473" w:name="Tc_dcPG4MNOT0SHUamAXp0YSg_18_5"/>
      <w:bookmarkStart w:id="474" w:name="Tc_jpTghOBv0k-pdxNCj_ra0A_18_0"/>
      <w:bookmarkStart w:id="475" w:name="Tc_DRVy9HxJREKu1MuyKFZVlA_17_16"/>
      <w:bookmarkStart w:id="476" w:name="Tc_ztkpF5jPLUCBLIOarjGOZw_17_13"/>
      <w:bookmarkStart w:id="477" w:name="Tc_uq-iIcTF7UGjW0Tl4j3_9Q_17_10"/>
      <w:bookmarkStart w:id="478" w:name="Tc_6IMEDeob9kKBsxPkFgrt-A_17_7"/>
      <w:bookmarkStart w:id="479" w:name="Tc_MpaZRxIXYECYTv_yfY_T6w_17_4"/>
      <w:bookmarkStart w:id="480" w:name="Tc_NCjMeDAjjUObpNlmyazQwQ_17_0"/>
      <w:bookmarkStart w:id="481" w:name="Tc_DFCPjqqPzkayoQmd2Edp2w_16_11"/>
      <w:bookmarkStart w:id="482" w:name="Tc_ganbNOEv-0K-T8TxdUaJxA_16_8"/>
      <w:bookmarkStart w:id="483" w:name="Tc_u9y1XNqffE-0x3RFnxVdow_16_5"/>
      <w:bookmarkStart w:id="484" w:name="Tc_GCt6iKdwLEaRgQNrsURFuw_16_2"/>
      <w:bookmarkStart w:id="485" w:name="Tc_CGRcaZF1akmO0zZuMzSR0A_16_0"/>
      <w:bookmarkStart w:id="486" w:name="Tc_TUpGFhcaC0uvWtQ4MxIFzw_15_14"/>
      <w:bookmarkStart w:id="487" w:name="Tc_ZkL10HdELkeet5YjZIoqpQ_15_8"/>
      <w:bookmarkStart w:id="488" w:name="Tc_rJ7IeU0L30KnKIHFHXYjBA_15_5"/>
      <w:bookmarkStart w:id="489" w:name="Tc_PeeLtIp39Ea5Aju32ddQqQ_15_2"/>
      <w:bookmarkStart w:id="490" w:name="Tc_GZWNk9h9P02zQz3OM1qM9g_15_0"/>
      <w:bookmarkStart w:id="491" w:name="Tc_f2Q32bFGHUK9G81VwFckpA_14_14"/>
      <w:bookmarkStart w:id="492" w:name="Tc_AEahgmNk4E-fKkE9lWRx5Q_14_8"/>
      <w:bookmarkStart w:id="493" w:name="Tc_qje_fZ93k06BMRYnWkgbcw_14_5"/>
      <w:bookmarkStart w:id="494" w:name="Tc_o6ij304Lck-p1LCP-f5REw_14_2"/>
      <w:bookmarkStart w:id="495" w:name="Tc_dl3AwATpKkySfYYBqfuDyA_14_0"/>
      <w:bookmarkStart w:id="496" w:name="Tc_t6ZelbvsHE-bV42UswbEcg_13_14"/>
      <w:bookmarkStart w:id="497" w:name="Tc_pO982thtD0uTvJYu9Rbu9g_13_11"/>
      <w:bookmarkStart w:id="498" w:name="Tc_WHprcEJDo0-U1SBxKUX2Wg_13_5"/>
      <w:bookmarkStart w:id="499" w:name="Tc_7BCQQ_K_kE-qrIGLU0TUEw_13_2"/>
      <w:bookmarkStart w:id="500" w:name="Tc_VqUZXOrDwUGJTu4a_4smlQ_13_0"/>
      <w:bookmarkStart w:id="501" w:name="Tc_fu_DCQ5t5U2_y_V3byKMVg_12_14"/>
      <w:bookmarkStart w:id="502" w:name="Tc_-mAzm5Uz4U2kbckfel9-_Q_12_11"/>
      <w:bookmarkStart w:id="503" w:name="Tc_gzE7oi99ZkGxbkhf4Ft2dg_12_5"/>
      <w:bookmarkStart w:id="504" w:name="Tc_YK4vJBF_N0WcXV_8VKI1nQ_12_2"/>
      <w:bookmarkStart w:id="505" w:name="Tc_79b08RCO5E-6BEmKwBcF0Q_12_0"/>
      <w:bookmarkStart w:id="506" w:name="Tc_-3c96vplDU25u0bnvLYsaQ_11_14"/>
      <w:bookmarkStart w:id="507" w:name="Tc__NduIXvP9ky-J8BfSoQsrg_11_11"/>
      <w:bookmarkStart w:id="508" w:name="Tc_Sz8bWLssv0ypi9gbXVeyvQ_11_0"/>
      <w:bookmarkStart w:id="509" w:name="Tc_4ca5ekLXdEeBBTwY3MTThw_10_14"/>
      <w:bookmarkStart w:id="510" w:name="Tc_hV-JZQ6At0KVgZQ8W50x6A_10_11"/>
      <w:bookmarkStart w:id="511" w:name="Tc_UmB-wd5BSEaB_tz0L9SCjw_10_0"/>
      <w:bookmarkStart w:id="512" w:name="Tc_0h7F6ztMQka4jA2r6HeJGA_9_14"/>
      <w:bookmarkStart w:id="513" w:name="Tc_betFzzC2h0CTl0barnefCg_9_11"/>
      <w:bookmarkStart w:id="514" w:name="Tc_bflWd_T0M0eELVwEi1zWqg_9_0"/>
      <w:bookmarkStart w:id="515" w:name="Tc_fqz8rkqcQEarDXbPP_ClkQ_8_17"/>
      <w:bookmarkStart w:id="516" w:name="Tc_2df-x3GweUSJPoJuXQWBjw_8_14"/>
      <w:bookmarkStart w:id="517" w:name="Tc_-Bc8fLTnV0WJ6n61TnWWWA_8_11"/>
      <w:bookmarkStart w:id="518" w:name="Tc_pnq5NUnn_0id8O098c1w1Q_8_8"/>
      <w:bookmarkStart w:id="519" w:name="Tc_ZoCofs2beEagcmM7-AooSQ_8_5"/>
      <w:bookmarkStart w:id="520" w:name="Tc_qm9Ir7SltkGNS9yykj5tcw_8_0"/>
      <w:bookmarkStart w:id="521" w:name="Tc_3D3-wqa2ZkC5gb0JK1ADMQ_7_14"/>
      <w:bookmarkStart w:id="522" w:name="Tc_tNvGLzVqnEqceI1qz_b2Ow_7_11"/>
      <w:bookmarkStart w:id="523" w:name="Tc_VLUwU7l2SEq22sMLxdq79Q_7_5"/>
      <w:bookmarkStart w:id="524" w:name="Tc_13xRmOQ-qE-S4rS98BbHlQ_7_0"/>
      <w:bookmarkStart w:id="525" w:name="Tc_KCGgP-Jg7EeV7De0x8-h2w_6_14"/>
      <w:bookmarkStart w:id="526" w:name="Tc_DQgsJRPk9ES0D_UGskPd5Q_6_11"/>
      <w:bookmarkStart w:id="527" w:name="Tc_1FmdRWjOwUu_SVFBRz74rw_6_0"/>
      <w:bookmarkStart w:id="528" w:name="Tc_Wc6l_LEYEUO1ap8LyHoaIw_5_0"/>
      <w:bookmarkStart w:id="529" w:name="Tc_-cDBegK0OUiSOaYS4aZasw_4_16"/>
      <w:bookmarkStart w:id="530" w:name="Tc_jwNbNZ3E90WX21-qBa3QMg_4_13"/>
      <w:bookmarkStart w:id="531" w:name="Tc_0o5USw8v8UyZYsgXuoESiQ_4_10"/>
      <w:bookmarkStart w:id="532" w:name="Tc_Df_mhcqYrkOXK6Tytdsqkw_4_7"/>
      <w:bookmarkStart w:id="533" w:name="Tc_ygLEU1P1q0S1xP9QkntnAQ_4_4"/>
      <w:bookmarkStart w:id="534" w:name="Tc_d1JAMwSjWECvKLUJ4njZ8Q_4_2"/>
      <w:bookmarkStart w:id="535" w:name="Tc_Pd-x2UKedkG0B2RwV3cUyw_3_16"/>
      <w:bookmarkStart w:id="536" w:name="Tc_zneW1jutBkObg0ClHkuP8g_3_13"/>
      <w:bookmarkStart w:id="537" w:name="Tc_Am3WE8pwQkK6jXLF7a_dbw_3_10"/>
      <w:bookmarkStart w:id="538" w:name="Tc_O8z1eZSIG0GvXtlRandySg_3_7"/>
      <w:bookmarkStart w:id="539" w:name="Tc_5yM9L71jXUO51qV1qmNz4w_3_2"/>
      <w:bookmarkStart w:id="540" w:name="Tc_mZ_GoPIY-kaxZJOVSmN_Wg_2_16"/>
      <w:bookmarkStart w:id="541" w:name="Tc_FxcmhYV-p06ZP97lYUBOFA_2_10"/>
      <w:bookmarkStart w:id="542" w:name="Tc_UpGnWNaJIkWd6jAxqIgIiA_2_7"/>
      <w:bookmarkStart w:id="543" w:name="Tc_bvk2v6WjxkGqt6wjdSW2VQ_1_10"/>
      <w:bookmarkStart w:id="544" w:name="_00abcd5c_5bf7_43c0_b6a2_8b189616957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tbl>
      <w:tblPr>
        <w:tblW w:w="10205" w:type="dxa"/>
        <w:jc w:val="left"/>
        <w:tblInd w:w="0" w:type="dxa"/>
        <w:tblLayout w:type="fixed"/>
        <w:tblCellMar>
          <w:top w:w="0" w:type="dxa"/>
          <w:left w:w="0" w:type="dxa"/>
          <w:bottom w:w="0" w:type="dxa"/>
          <w:right w:w="0" w:type="dxa"/>
        </w:tblCellMar>
      </w:tblPr>
      <w:tblGrid>
        <w:gridCol w:w="2130"/>
        <w:gridCol w:w="346"/>
        <w:gridCol w:w="781"/>
        <w:gridCol w:w="346"/>
        <w:gridCol w:w="261"/>
        <w:gridCol w:w="430"/>
        <w:gridCol w:w="346"/>
        <w:gridCol w:w="211"/>
        <w:gridCol w:w="931"/>
        <w:gridCol w:w="346"/>
        <w:gridCol w:w="370"/>
        <w:gridCol w:w="846"/>
        <w:gridCol w:w="346"/>
        <w:gridCol w:w="211"/>
        <w:gridCol w:w="845"/>
        <w:gridCol w:w="346"/>
        <w:gridCol w:w="211"/>
        <w:gridCol w:w="902"/>
      </w:tblGrid>
      <w:tr>
        <w:trPr/>
        <w:tc>
          <w:tcPr>
            <w:tcW w:w="2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52550" cy="175260"/>
                      <wp:effectExtent l="0" t="0" r="0" b="0"/>
                      <wp:wrapNone/>
                      <wp:docPr id="34" name="Frame34"/>
                      <a:graphic xmlns:a="http://schemas.openxmlformats.org/drawingml/2006/main">
                        <a:graphicData uri="http://schemas.microsoft.com/office/word/2010/wordprocessingShape">
                          <wps:wsp>
                            <wps:cNvSpPr txBox="1"/>
                            <wps:spPr>
                              <a:xfrm>
                                <a:off x="0" y="0"/>
                                <a:ext cx="1352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6" name="Frame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5735" cy="175260"/>
                      <wp:effectExtent l="0" t="0" r="0" b="0"/>
                      <wp:wrapNone/>
                      <wp:docPr id="38" name="Frame3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73050" cy="175260"/>
                      <wp:effectExtent l="0" t="0" r="0" b="0"/>
                      <wp:wrapNone/>
                      <wp:docPr id="39" name="Frame3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91185" cy="175260"/>
                      <wp:effectExtent l="0" t="0" r="0" b="0"/>
                      <wp:wrapNone/>
                      <wp:docPr id="42" name="Frame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4950" cy="175260"/>
                      <wp:effectExtent l="0" t="0" r="0" b="0"/>
                      <wp:wrapNone/>
                      <wp:docPr id="44" name="Frame44"/>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37210" cy="175260"/>
                      <wp:effectExtent l="0" t="0" r="0" b="0"/>
                      <wp:wrapNone/>
                      <wp:docPr id="45" name="Frame45"/>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36575" cy="175260"/>
                      <wp:effectExtent l="0" t="0" r="0" b="0"/>
                      <wp:wrapNone/>
                      <wp:docPr id="48" name="Frame48"/>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72770" cy="175260"/>
                      <wp:effectExtent l="0" t="0" r="0" b="0"/>
                      <wp:wrapNone/>
                      <wp:docPr id="51" name="Frame51"/>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left"/>
              <w:rPr/>
            </w:pPr>
            <w:r>
              <w:rPr/>
              <w:t>​</w:t>
            </w:r>
          </w:p>
        </w:tc>
      </w:tr>
      <w:tr>
        <w:trPr/>
        <w:tc>
          <w:tcPr>
            <w:tcW w:w="21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1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1"/>
              <w:ind w:left="0" w:right="0" w:hanging="0"/>
              <w:jc w:val="left"/>
              <w:rPr/>
            </w:pPr>
            <w:r>
              <w:rPr/>
              <w:t>  ​ ​ ​</w:t>
            </w:r>
          </w:p>
        </w:tc>
        <w:tc>
          <w:tcPr>
            <w:tcW w:w="10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1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46" w:type="dxa"/>
            <w:tcBorders/>
            <w:shd w:fill="CCEEFF" w:val="clear"/>
            <w:vAlign w:val="center"/>
          </w:tcPr>
          <w:p>
            <w:pPr>
              <w:pStyle w:val="TableContents"/>
              <w:bidi w:val="0"/>
              <w:spacing w:before="0" w:after="1"/>
              <w:ind w:left="0" w:right="0" w:hanging="0"/>
              <w:jc w:val="center"/>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147,066</w:t>
            </w:r>
          </w:p>
        </w:tc>
        <w:tc>
          <w:tcPr>
            <w:tcW w:w="346" w:type="dxa"/>
            <w:tcBorders/>
            <w:shd w:fill="CCEEFF" w:val="clear"/>
            <w:vAlign w:val="center"/>
          </w:tcPr>
          <w:p>
            <w:pPr>
              <w:pStyle w:val="TableContents"/>
              <w:bidi w:val="0"/>
              <w:spacing w:before="0" w:after="1"/>
              <w:ind w:left="0" w:right="0" w:hanging="0"/>
              <w:jc w:val="center"/>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463,089</w:t>
            </w:r>
          </w:p>
        </w:tc>
        <w:tc>
          <w:tcPr>
            <w:tcW w:w="346" w:type="dxa"/>
            <w:tcBorders/>
            <w:shd w:fill="CCEEFF" w:val="clear"/>
            <w:vAlign w:val="center"/>
          </w:tcPr>
          <w:p>
            <w:pPr>
              <w:pStyle w:val="TableContents"/>
              <w:bidi w:val="0"/>
              <w:spacing w:before="0" w:after="1"/>
              <w:ind w:left="0" w:right="0" w:hanging="0"/>
              <w:jc w:val="center"/>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(353,759)</w:t>
            </w:r>
          </w:p>
        </w:tc>
        <w:tc>
          <w:tcPr>
            <w:tcW w:w="34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109,588</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6,441</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pPr>
            <w:r>
              <w:rPr/>
              <w:t>—</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pursuant to the Common Stock Purchase Agreement - B. Riley</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10,057</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12,838</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sale of common stock through At-The-Market ("ATM") Offering</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68,809</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97,492</w:t>
            </w:r>
          </w:p>
        </w:tc>
        <w:tc>
          <w:tcPr>
            <w:tcW w:w="34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97,500</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registered direct offering</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95,995</w:t>
            </w:r>
          </w:p>
        </w:tc>
        <w:tc>
          <w:tcPr>
            <w:tcW w:w="34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96,000</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13,069</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13,069</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gains on available-for-sale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(200,988)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(200,988)</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283,547</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681,202</w:t>
            </w:r>
          </w:p>
        </w:tc>
        <w:tc>
          <w:tcPr>
            <w:tcW w:w="346"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(554,747)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4,830</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191,120</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191,121</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7,225</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pPr>
            <w:r>
              <w:rPr/>
              <w:t>—</w:t>
            </w:r>
          </w:p>
        </w:tc>
      </w:tr>
      <w:tr>
        <w:trPr/>
        <w:tc>
          <w:tcPr>
            <w:tcW w:w="213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sale of common stock from Quanta private placement transaction</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3,020</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sale of common stock through ATM Offering</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30,310</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346,716</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346,719</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32,946</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Sponsor Redemption-Based Vesting Shares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10,433</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10,433</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offering costs to equity upon share issuance</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17,605</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17,605</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gains on available-for-sale securities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21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(216,210)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(216,210)</w:t>
            </w:r>
          </w:p>
        </w:tc>
      </w:tr>
      <w:tr>
        <w:trPr/>
        <w:tc>
          <w:tcPr>
            <w:tcW w:w="213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2025</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331,283</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1,316,126</w:t>
            </w:r>
          </w:p>
        </w:tc>
        <w:tc>
          <w:tcPr>
            <w:tcW w:w="346"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(770,957)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546,199</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 notes to consolidated</w:t>
      </w:r>
      <w:r>
        <w:rPr>
          <w:rFonts w:ascii="Times New Roman;Times;serif" w:hAnsi="Times New Roman;Times;serif"/>
          <w:sz w:val="20"/>
        </w:rPr>
        <w:t xml:space="preserve"> </w:t>
      </w:r>
      <w:r>
        <w:rPr>
          <w:rFonts w:ascii="Times New Roman;Times;serif" w:hAnsi="Times New Roman;Times;serif"/>
          <w:i/>
          <w:sz w:val="20"/>
        </w:rPr>
        <w:t>financial statements.</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45" w:name="Cashflows"/>
      <w:bookmarkStart w:id="546" w:name="_bf5187d5_7fc8_49c5_8fea_1a5f53bf5c47"/>
      <w:bookmarkEnd w:id="545"/>
      <w:bookmarkEnd w:id="546"/>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47" w:name="CASHFLOWS_679143"/>
      <w:bookmarkEnd w:id="547"/>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Normal"/>
        <w:bidi w:val="0"/>
        <w:spacing w:before="0" w:after="0"/>
        <w:jc w:val="left"/>
        <w:rPr>
          <w:sz w:val="4"/>
          <w:szCs w:val="4"/>
        </w:rPr>
      </w:pPr>
      <w:r>
        <w:rPr>
          <w:sz w:val="4"/>
          <w:szCs w:val="4"/>
        </w:rPr>
      </w:r>
      <w:bookmarkStart w:id="548" w:name="Tc_8YgonaVQQEqJ-Ets2tFhUg_50_0"/>
      <w:bookmarkStart w:id="549" w:name="Tc_6MNdjw-lGkWzYk5KNXu6tQ_49_0"/>
      <w:bookmarkStart w:id="550" w:name="Tc_zeJfDToNJUOLU8gpIufaLA_48_0"/>
      <w:bookmarkStart w:id="551" w:name="Tc_XX1sGDWQN0-idV_TdI3k2Q_47_0"/>
      <w:bookmarkStart w:id="552" w:name="Tc_rVBr0aiAc068c7ZapLPBzw_46_0"/>
      <w:bookmarkStart w:id="553" w:name="Tc_pp69uRET1UuE0dJ95GTpqA_45_0"/>
      <w:bookmarkStart w:id="554" w:name="Tc_5iV-UjDmLkeJqyTLWK5xAw_44_0"/>
      <w:bookmarkStart w:id="555" w:name="Tc_UuEpC8rWkkix8N3Fcjozsw_43_5"/>
      <w:bookmarkStart w:id="556" w:name="Tc_IMQ_76MDaESMIMy-KrCn_Q_43_2"/>
      <w:bookmarkStart w:id="557" w:name="Tc_i5e_cdITY0W7IunNEnTBJQ_43_0"/>
      <w:bookmarkStart w:id="558" w:name="Tc_3n2NI3chY0SRZcE--pRvAQ_42_0"/>
      <w:bookmarkStart w:id="559" w:name="Tc_X0snI1DrF02Z2cgbWjqAXQ_41_5"/>
      <w:bookmarkStart w:id="560" w:name="Tc_hAV7uvf0d0CXNGCSwdpfhA_41_2"/>
      <w:bookmarkStart w:id="561" w:name="Tc_sV62Hj5CMkK9jeHk6TfP2A_41_0"/>
      <w:bookmarkStart w:id="562" w:name="Tc_0Ma06B8OG06lRZfHTZnHNQ_40_0"/>
      <w:bookmarkStart w:id="563" w:name="Tc_oRBALxT-l0uyugdlZzSYuA_39_0"/>
      <w:bookmarkStart w:id="564" w:name="Tc_h5EU3NXMcU6XyE0Fsj-eXQ_38_0"/>
      <w:bookmarkStart w:id="565" w:name="Tc_h3bkRSH30keNaXpYCT97Bw_37_0"/>
      <w:bookmarkStart w:id="566" w:name="Tc_OpcUFMFxyUCOM5uL6sIy_g_36_0"/>
      <w:bookmarkStart w:id="567" w:name="Tc_l3bC6bvmO0uuPDmVcWYGew_35_0"/>
      <w:bookmarkStart w:id="568" w:name="Tc_Nk197g79R0C8CryCzHT7bA_34_0"/>
      <w:bookmarkStart w:id="569" w:name="Tc_KDk4ghiB1UaCFMq-5ErvlQ_33_0"/>
      <w:bookmarkStart w:id="570" w:name="Tc_vFV11OdXH02uL6mxfM_jjg_32_0"/>
      <w:bookmarkStart w:id="571" w:name="Tc_O5-L7IQFKk2QM38wYpzLdQ_31_0"/>
      <w:bookmarkStart w:id="572" w:name="Tc_ll95fQadEU-5-gQ3Lsz9Ow_30_0"/>
      <w:bookmarkStart w:id="573" w:name="Tc_oSXZ7WvIg0qgzqXE6BwSXg_29_0"/>
      <w:bookmarkStart w:id="574" w:name="Tc_zF-1zGnlY0KJCCjLUTPaVQ_28_0"/>
      <w:bookmarkStart w:id="575" w:name="Tc_QaEfyn8JbUa3MhyiVe_igA_27_0"/>
      <w:bookmarkStart w:id="576" w:name="Tc_VKjqmjQgWEaeTDuhjKTR5A_26_0"/>
      <w:bookmarkStart w:id="577" w:name="Tc_oWbPs1VZi0m7pQPxJrXFTQ_25_0"/>
      <w:bookmarkStart w:id="578" w:name="Tc_4VYmnLDm6U695Q_hB4ipkQ_24_0"/>
      <w:bookmarkStart w:id="579" w:name="Tc_PiukdQmGqUOKl9s5dA6oTg_23_0"/>
      <w:bookmarkStart w:id="580" w:name="Tc_OA31LK68MkiAGAMgbYHE3Q_22_0"/>
      <w:bookmarkStart w:id="581" w:name="Tc_F0eV0xz9202v-TckPgRP1A_21_0"/>
      <w:bookmarkStart w:id="582" w:name="Tc_nUsXPW-CYkak475aIii0Sw_20_0"/>
      <w:bookmarkStart w:id="583" w:name="Tc_l6O7Ofdiw0CZtgfoC4oO9w_19_0"/>
      <w:bookmarkStart w:id="584" w:name="Tc_RybhXHK7rEePtoUx-8K8qA_18_0"/>
      <w:bookmarkStart w:id="585" w:name="Tc_NUyWankVfE-aqWr6gpLbkg_17_0"/>
      <w:bookmarkStart w:id="586" w:name="Tc_topVOx_TREq7NY8MLaUTGQ_16_0"/>
      <w:bookmarkStart w:id="587" w:name="Tc_A2EudL7NYEG-Y5HdiTKIuA_15_0"/>
      <w:bookmarkStart w:id="588" w:name="Tc_Bau5mg-afkyIljSLiujqLg_14_0"/>
      <w:bookmarkStart w:id="589" w:name="Tc_5iQ2R_hhV0iRMbmszTmbeg_13_0"/>
      <w:bookmarkStart w:id="590" w:name="Tc_J1aKwChY50KOE3SSJ310fg_12_0"/>
      <w:bookmarkStart w:id="591" w:name="Tc_SRlyczarAk-tdlOFByvy8w_11_0"/>
      <w:bookmarkStart w:id="592" w:name="Tc_oAc1bsZYc0aAFwwBa0RKzQ_10_0"/>
      <w:bookmarkStart w:id="593" w:name="Tc_cN8Avj9g2EGG_k58PgSRJQ_9_0"/>
      <w:bookmarkStart w:id="594" w:name="Tc_SuOm_0RKtEyzC-MqZdKHew_8_0"/>
      <w:bookmarkStart w:id="595" w:name="Tc_iWLMem-R1kiz3IHJry18nA_7_0"/>
      <w:bookmarkStart w:id="596" w:name="Tc_z2CXD-ZE6UKwY_8opOMuyw_6_0"/>
      <w:bookmarkStart w:id="597" w:name="Tc_9AgRGQIOQU-AihrnVfFaBA_5_5"/>
      <w:bookmarkStart w:id="598" w:name="Tc_BaQpXMFmH06IX1r5DPyIAQ_5_2"/>
      <w:bookmarkStart w:id="599" w:name="Tc_1k6hqR8rT0-06Y-FJLj5Ww_5_0"/>
      <w:bookmarkStart w:id="600" w:name="Tc_vH6xwE5aiE2j0xq2p2_-sw_4_0"/>
      <w:bookmarkStart w:id="601" w:name="Tc_tQ_S1SMNBk6yEo3jijqiDQ_3_5"/>
      <w:bookmarkStart w:id="602" w:name="Tc_ceUfbtmaVkq-WMUiJUbUAA_3_2"/>
      <w:bookmarkStart w:id="603" w:name="Tc_rdDNScNIBU-NRuS64rAiRw_2_2"/>
      <w:bookmarkStart w:id="604" w:name="_afe39445_93a3_4dc9_8dd3_7d896bf4641f"/>
      <w:bookmarkStart w:id="605" w:name="Tc_8YgonaVQQEqJ-Ets2tFhUg_50_0"/>
      <w:bookmarkStart w:id="606" w:name="Tc_6MNdjw-lGkWzYk5KNXu6tQ_49_0"/>
      <w:bookmarkStart w:id="607" w:name="Tc_zeJfDToNJUOLU8gpIufaLA_48_0"/>
      <w:bookmarkStart w:id="608" w:name="Tc_XX1sGDWQN0-idV_TdI3k2Q_47_0"/>
      <w:bookmarkStart w:id="609" w:name="Tc_rVBr0aiAc068c7ZapLPBzw_46_0"/>
      <w:bookmarkStart w:id="610" w:name="Tc_pp69uRET1UuE0dJ95GTpqA_45_0"/>
      <w:bookmarkStart w:id="611" w:name="Tc_5iV-UjDmLkeJqyTLWK5xAw_44_0"/>
      <w:bookmarkStart w:id="612" w:name="Tc_UuEpC8rWkkix8N3Fcjozsw_43_5"/>
      <w:bookmarkStart w:id="613" w:name="Tc_IMQ_76MDaESMIMy-KrCn_Q_43_2"/>
      <w:bookmarkStart w:id="614" w:name="Tc_i5e_cdITY0W7IunNEnTBJQ_43_0"/>
      <w:bookmarkStart w:id="615" w:name="Tc_3n2NI3chY0SRZcE--pRvAQ_42_0"/>
      <w:bookmarkStart w:id="616" w:name="Tc_X0snI1DrF02Z2cgbWjqAXQ_41_5"/>
      <w:bookmarkStart w:id="617" w:name="Tc_hAV7uvf0d0CXNGCSwdpfhA_41_2"/>
      <w:bookmarkStart w:id="618" w:name="Tc_sV62Hj5CMkK9jeHk6TfP2A_41_0"/>
      <w:bookmarkStart w:id="619" w:name="Tc_0Ma06B8OG06lRZfHTZnHNQ_40_0"/>
      <w:bookmarkStart w:id="620" w:name="Tc_oRBALxT-l0uyugdlZzSYuA_39_0"/>
      <w:bookmarkStart w:id="621" w:name="Tc_h5EU3NXMcU6XyE0Fsj-eXQ_38_0"/>
      <w:bookmarkStart w:id="622" w:name="Tc_h3bkRSH30keNaXpYCT97Bw_37_0"/>
      <w:bookmarkStart w:id="623" w:name="Tc_OpcUFMFxyUCOM5uL6sIy_g_36_0"/>
      <w:bookmarkStart w:id="624" w:name="Tc_l3bC6bvmO0uuPDmVcWYGew_35_0"/>
      <w:bookmarkStart w:id="625" w:name="Tc_Nk197g79R0C8CryCzHT7bA_34_0"/>
      <w:bookmarkStart w:id="626" w:name="Tc_KDk4ghiB1UaCFMq-5ErvlQ_33_0"/>
      <w:bookmarkStart w:id="627" w:name="Tc_vFV11OdXH02uL6mxfM_jjg_32_0"/>
      <w:bookmarkStart w:id="628" w:name="Tc_O5-L7IQFKk2QM38wYpzLdQ_31_0"/>
      <w:bookmarkStart w:id="629" w:name="Tc_ll95fQadEU-5-gQ3Lsz9Ow_30_0"/>
      <w:bookmarkStart w:id="630" w:name="Tc_oSXZ7WvIg0qgzqXE6BwSXg_29_0"/>
      <w:bookmarkStart w:id="631" w:name="Tc_zF-1zGnlY0KJCCjLUTPaVQ_28_0"/>
      <w:bookmarkStart w:id="632" w:name="Tc_QaEfyn8JbUa3MhyiVe_igA_27_0"/>
      <w:bookmarkStart w:id="633" w:name="Tc_VKjqmjQgWEaeTDuhjKTR5A_26_0"/>
      <w:bookmarkStart w:id="634" w:name="Tc_oWbPs1VZi0m7pQPxJrXFTQ_25_0"/>
      <w:bookmarkStart w:id="635" w:name="Tc_4VYmnLDm6U695Q_hB4ipkQ_24_0"/>
      <w:bookmarkStart w:id="636" w:name="Tc_PiukdQmGqUOKl9s5dA6oTg_23_0"/>
      <w:bookmarkStart w:id="637" w:name="Tc_OA31LK68MkiAGAMgbYHE3Q_22_0"/>
      <w:bookmarkStart w:id="638" w:name="Tc_F0eV0xz9202v-TckPgRP1A_21_0"/>
      <w:bookmarkStart w:id="639" w:name="Tc_nUsXPW-CYkak475aIii0Sw_20_0"/>
      <w:bookmarkStart w:id="640" w:name="Tc_l6O7Ofdiw0CZtgfoC4oO9w_19_0"/>
      <w:bookmarkStart w:id="641" w:name="Tc_RybhXHK7rEePtoUx-8K8qA_18_0"/>
      <w:bookmarkStart w:id="642" w:name="Tc_NUyWankVfE-aqWr6gpLbkg_17_0"/>
      <w:bookmarkStart w:id="643" w:name="Tc_topVOx_TREq7NY8MLaUTGQ_16_0"/>
      <w:bookmarkStart w:id="644" w:name="Tc_A2EudL7NYEG-Y5HdiTKIuA_15_0"/>
      <w:bookmarkStart w:id="645" w:name="Tc_Bau5mg-afkyIljSLiujqLg_14_0"/>
      <w:bookmarkStart w:id="646" w:name="Tc_5iQ2R_hhV0iRMbmszTmbeg_13_0"/>
      <w:bookmarkStart w:id="647" w:name="Tc_J1aKwChY50KOE3SSJ310fg_12_0"/>
      <w:bookmarkStart w:id="648" w:name="Tc_SRlyczarAk-tdlOFByvy8w_11_0"/>
      <w:bookmarkStart w:id="649" w:name="Tc_oAc1bsZYc0aAFwwBa0RKzQ_10_0"/>
      <w:bookmarkStart w:id="650" w:name="Tc_cN8Avj9g2EGG_k58PgSRJQ_9_0"/>
      <w:bookmarkStart w:id="651" w:name="Tc_SuOm_0RKtEyzC-MqZdKHew_8_0"/>
      <w:bookmarkStart w:id="652" w:name="Tc_iWLMem-R1kiz3IHJry18nA_7_0"/>
      <w:bookmarkStart w:id="653" w:name="Tc_z2CXD-ZE6UKwY_8opOMuyw_6_0"/>
      <w:bookmarkStart w:id="654" w:name="Tc_9AgRGQIOQU-AihrnVfFaBA_5_5"/>
      <w:bookmarkStart w:id="655" w:name="Tc_BaQpXMFmH06IX1r5DPyIAQ_5_2"/>
      <w:bookmarkStart w:id="656" w:name="Tc_1k6hqR8rT0-06Y-FJLj5Ww_5_0"/>
      <w:bookmarkStart w:id="657" w:name="Tc_vH6xwE5aiE2j0xq2p2_-sw_4_0"/>
      <w:bookmarkStart w:id="658" w:name="Tc_tQ_S1SMNBk6yEo3jijqiDQ_3_5"/>
      <w:bookmarkStart w:id="659" w:name="Tc_ceUfbtmaVkq-WMUiJUbUAA_3_2"/>
      <w:bookmarkStart w:id="660" w:name="Tc_rdDNScNIBU-NRuS64rAiRw_2_2"/>
      <w:bookmarkStart w:id="661" w:name="_afe39445_93a3_4dc9_8dd3_7d896bf4641f"/>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tbl>
      <w:tblPr>
        <w:tblW w:w="10205" w:type="dxa"/>
        <w:jc w:val="left"/>
        <w:tblInd w:w="0" w:type="dxa"/>
        <w:tblLayout w:type="fixed"/>
        <w:tblCellMar>
          <w:top w:w="0" w:type="dxa"/>
          <w:left w:w="0" w:type="dxa"/>
          <w:bottom w:w="0" w:type="dxa"/>
          <w:right w:w="0" w:type="dxa"/>
        </w:tblCellMar>
      </w:tblPr>
      <w:tblGrid>
        <w:gridCol w:w="7306"/>
        <w:gridCol w:w="346"/>
        <w:gridCol w:w="346"/>
        <w:gridCol w:w="809"/>
        <w:gridCol w:w="346"/>
        <w:gridCol w:w="196"/>
        <w:gridCol w:w="856"/>
      </w:tblGrid>
      <w:tr>
        <w:trPr/>
        <w:tc>
          <w:tcPr>
            <w:tcW w:w="7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639310" cy="175260"/>
                      <wp:effectExtent l="0" t="0" r="0" b="0"/>
                      <wp:wrapNone/>
                      <wp:docPr id="52" name="Frame52"/>
                      <a:graphic xmlns:a="http://schemas.openxmlformats.org/drawingml/2006/main">
                        <a:graphicData uri="http://schemas.microsoft.com/office/word/2010/wordprocessingShape">
                          <wps:wsp>
                            <wps:cNvSpPr txBox="1"/>
                            <wps:spPr>
                              <a:xfrm>
                                <a:off x="0" y="0"/>
                                <a:ext cx="463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13715" cy="175260"/>
                      <wp:effectExtent l="0" t="0" r="0" b="0"/>
                      <wp:wrapNone/>
                      <wp:docPr id="55" name="Frame55"/>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43560" cy="175260"/>
                      <wp:effectExtent l="0" t="0" r="0" b="0"/>
                      <wp:wrapNone/>
                      <wp:docPr id="58" name="Frame5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8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7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5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w:t>
            </w:r>
          </w:p>
        </w:tc>
      </w:tr>
      <w:tr>
        <w:trPr/>
        <w:tc>
          <w:tcPr>
            <w:tcW w:w="7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(216,210)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(200,988)</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6,906</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13,069</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43,742</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150,629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90,168</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available-for-sale securities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(3,622)</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 commitment fees and accretion of final payment fees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1,909</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2,602</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(2,434)</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(1,036)</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(2,681)</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(50,627)</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(11,098)</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(635,652)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(224,764)</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Maturities of available-for-sale securities </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157,500</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(403,328)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(78,362)</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principal of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(23,328)</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Common Stock Purchase Agreement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12,838</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ATM Offerings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346,719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97,500</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registered direct offering</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96,000</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from Quanta private placement transaction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offering costs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(1,833)</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proceeds (payments) from tax withholdings on sell-to-cover equity award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cash provided by financing activities </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439,086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175,459</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Effects of exchange rate changes on 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decrease in cash and cash equivalents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46,282</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beginning of period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21,392</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end of period </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67,674</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other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2,350</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accounts payable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addition to operating lease right-of-use asset and liability</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2,268</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earn-out liabilities to additional paid-in capital for vesting of Sponsor Vesting Shares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derivative liabilities to additional paid-in capital due to exercise of Public Warrants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on short 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66</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 notes to consolidated</w:t>
      </w:r>
      <w:r>
        <w:rPr>
          <w:rFonts w:ascii="Times New Roman;Times;serif" w:hAnsi="Times New Roman;Times;serif"/>
          <w:sz w:val="20"/>
        </w:rPr>
        <w:t xml:space="preserve"> </w:t>
      </w:r>
      <w:r>
        <w:rPr>
          <w:rFonts w:ascii="Times New Roman;Times;serif" w:hAnsi="Times New Roman;Times;serif"/>
          <w:i/>
          <w:sz w:val="20"/>
        </w:rPr>
        <w:t>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662" w:name="Notes"/>
      <w:bookmarkStart w:id="663" w:name="_76682017_498f_4702_8297_61ad8f02c3c5"/>
      <w:bookmarkEnd w:id="662"/>
      <w:bookmarkEnd w:id="663"/>
      <w:r>
        <w:rPr>
          <w:rFonts w:ascii="Times New Roman;Times;serif" w:hAnsi="Times New Roman;Times;serif"/>
          <w:b/>
          <w:sz w:val="20"/>
        </w:rPr>
        <w:t>RIGETTI COMPUTING, INC.</w:t>
      </w:r>
    </w:p>
    <w:p>
      <w:pPr>
        <w:pStyle w:val="TextBody"/>
        <w:bidi w:val="0"/>
        <w:spacing w:before="0" w:after="120"/>
        <w:ind w:left="0" w:right="0" w:hanging="0"/>
        <w:jc w:val="center"/>
        <w:rPr>
          <w:rFonts w:ascii="Times New Roman;Times;serif" w:hAnsi="Times New Roman;Times;serif"/>
          <w:b/>
          <w:sz w:val="20"/>
        </w:rPr>
      </w:pPr>
      <w:bookmarkStart w:id="664" w:name="NOTESTOCONSOLIDATEDFINANCIALSTATEMENTS_3"/>
      <w:bookmarkEnd w:id="664"/>
      <w:r>
        <w:rPr>
          <w:rFonts w:ascii="Times New Roman;Times;serif" w:hAnsi="Times New Roman;Times;serif"/>
          <w:b/>
          <w:sz w:val="20"/>
        </w:rPr>
        <w:t>NOTES TO CONSOLIDATED FINANCIAL STATEMENTS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(1) Description of Business</w:t>
      </w:r>
    </w:p>
    <w:p>
      <w:pPr>
        <w:pStyle w:val="TextBody"/>
        <w:bidi w:val="0"/>
        <w:spacing w:before="0" w:after="120"/>
        <w:ind w:left="0" w:right="0" w:firstLine="547"/>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builds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sells 9-qubit to 108-qubit quantum computing systems under the </w:t>
      </w:r>
      <w:r>
        <w:rPr>
          <w:rFonts w:ascii="Times New Roman;Times;serif" w:hAnsi="Times New Roman;Times;serif"/>
          <w:sz w:val="20"/>
          <w:shd w:fill="FFFFFF" w:val="clear"/>
        </w:rPr>
        <w:t xml:space="preserve">Novera™ and </w:t>
      </w:r>
      <w:r>
        <w:rPr>
          <w:rFonts w:ascii="Times New Roman;Times;serif" w:hAnsi="Times New Roman;Times;serif"/>
          <w:sz w:val="20"/>
        </w:rPr>
        <w:t>Cepheus</w:t>
      </w:r>
      <w:r>
        <w:rPr>
          <w:rFonts w:ascii="Times New Roman;Times;serif" w:hAnsi="Times New Roman;Times;serif"/>
          <w:sz w:val="18"/>
          <w:shd w:fill="FFFFFF" w:val="clear"/>
        </w:rPr>
        <w:t>™</w:t>
      </w:r>
      <w:r>
        <w:rPr>
          <w:rFonts w:ascii="Times New Roman;Times;serif" w:hAnsi="Times New Roman;Times;serif"/>
          <w:sz w:val="18"/>
        </w:rPr>
        <w:t xml:space="preserve"> </w:t>
      </w:r>
      <w:r>
        <w:rPr>
          <w:rFonts w:ascii="Times New Roman;Times;serif" w:hAnsi="Times New Roman;Times;serif"/>
          <w:sz w:val="20"/>
        </w:rPr>
        <w:t>trade names</w:t>
      </w:r>
      <w:r>
        <w:rPr>
          <w:rFonts w:ascii="Times New Roman;Times;serif" w:hAnsi="Times New Roman;Times;serif"/>
          <w:sz w:val="20"/>
          <w:shd w:fill="FFFFFF" w:val="clear"/>
        </w:rPr>
        <w:t>.</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Rigetti Quantum Cloud Services (QCS®) platform, the Company’s machines can be integrated into any public, private or hybrid cloud.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British Columbia, Canada and Mumbai, India. The Company’s revenue is derived primarily from operations in the United States and the United Kingdom.</w:t>
      </w:r>
    </w:p>
    <w:p>
      <w:pPr>
        <w:pStyle w:val="TextBody"/>
        <w:pBdr/>
        <w:bidi w:val="0"/>
        <w:spacing w:before="0" w:after="120"/>
        <w:ind w:left="0" w:right="0" w:hanging="54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The SNII Public Warrants and the SNII Private Warrants became warrants for Common Stock. The Company’s Common Stock and Public Warrants trade on the Nasdaq Capital Market under the ticker symbols “RGTI” and “RGTIW,” respectively.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meet liability classification subject to fair value adjustment measurements upon closing of the Business Combination. No goodwill or other intangible assets were recorded because of the Business Combination. 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potential need for additional capital (or financing) in the future,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will be sufficient to meet its anticipated operating cash needs for at least the next twelve months from the issuance date of these financial statements based on the Company’s current business plan and expectations and assumptions considering current macroeconomic conditions.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Macroeconomic Conditions</w:t>
      </w:r>
      <w:r>
        <w:rPr>
          <w:rFonts w:ascii="Times New Roman;Times;serif" w:hAnsi="Times New Roman;Times;serif"/>
          <w:sz w:val="20"/>
        </w:rPr>
        <w:t> </w:t>
      </w:r>
    </w:p>
    <w:p>
      <w:pPr>
        <w:pStyle w:val="TextBody"/>
        <w:bidi w:val="0"/>
        <w:spacing w:before="0" w:after="120"/>
        <w:ind w:left="0" w:right="0" w:firstLine="630"/>
        <w:jc w:val="both"/>
        <w:rPr>
          <w:rFonts w:ascii="Times New Roman;Times;serif" w:hAnsi="Times New Roman;Times;serif"/>
          <w:sz w:val="20"/>
        </w:rPr>
      </w:pPr>
      <w:r>
        <w:rPr>
          <w:rFonts w:ascii="Times New Roman;Times;serif" w:hAnsi="Times New Roman;Times;serif"/>
          <w:sz w:val="20"/>
        </w:rPr>
        <w:t xml:space="preserve">Results of the Company’s operations have varied and may continue to vary based in part on the impact of changes in the domestic or global economy. Negative conditions in the general economy both in the United States and abroad, including conditions resulting from changes in gross domestic product growth, inflation, financial and credit market fluctuations, supply chain constraints, international trade policies including tariffs and export controls, national security interests, pandemics, political turmoil, government shutdowns, natural catastrophes, warfare, and terrorist attacks in the United States or elsewhere, could negatively affect the Company’s business, including progress toward the development of quantum computing by increasing the cost of materials and components and our operating costs. It is not possible at this time to estimate the long-term impact that these and related events could have on the Company’s business, as the impact will depend on future developments, which are highly uncertain and cannot be predicted.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Principles of Consolidation</w:t>
      </w:r>
      <w:r>
        <w:rPr>
          <w:rFonts w:ascii="Times New Roman;Times;serif" w:hAnsi="Times New Roman;Times;serif"/>
          <w:sz w:val="20"/>
        </w:rPr>
        <w: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accompanying consolidated financial statements of the Company and its subsidiaries have been prepared in accordance with accounting principles generally accepted in the United States (“GAAP”) and applicable rules and regulations of the U.S. Securities and Exchange Commission (“SEC”). The consolidated financial statements include the accounts of the Company and its wholly-owned subsidiaries. All intercompany transactions and balances have been eliminated in consolidation.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Emerging Growth Company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The Company intends to use this extended transition period to enable it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preparation of the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consolidated financial statements; therefore, actual results could differ from those estimates.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120"/>
        <w:ind w:left="0" w:right="90" w:firstLine="540"/>
        <w:jc w:val="both"/>
        <w:rPr>
          <w:rFonts w:ascii="Times New Roman;Times;serif" w:hAnsi="Times New Roman;Times;serif"/>
          <w:sz w:val="20"/>
        </w:rPr>
      </w:pPr>
      <w:r>
        <w:rPr>
          <w:rFonts w:ascii="Times New Roman;Times;serif" w:hAnsi="Times New Roman;Times;serif"/>
          <w:sz w:val="20"/>
        </w:rPr>
        <w:t>Our Chief Operating Decision Maker (“CODM”), the Chief Executive Officer, manages the Company’s business activities as a single operating and reportable segment at the consolidated level. Accordingly, our CODM uses consolidated net loss to measure segment profit or loss, allocate resources and assess performance. Further, the CODM reviews and utilizes natural expenses such as employee wages and benefits at a consolidated level to manage the Company’s operations and strategic growth initiatives. Other segment items include interest income, changes in fair value of derivative warrant liabilities and earnout liabilities and other operational expenses which are reflected in the consolidated statements of operations.</w:t>
      </w:r>
    </w:p>
    <w:p>
      <w:pPr>
        <w:pStyle w:val="TextBody"/>
        <w:bidi w:val="0"/>
        <w:spacing w:before="0" w:after="120"/>
        <w:ind w:left="0" w:right="90" w:hanging="0"/>
        <w:jc w:val="both"/>
        <w:rPr>
          <w:rFonts w:ascii="Times New Roman;Times;serif" w:hAnsi="Times New Roman;Times;serif"/>
          <w:b/>
          <w:i/>
          <w:sz w:val="20"/>
        </w:rPr>
      </w:pPr>
      <w:r>
        <w:rPr>
          <w:rFonts w:ascii="Times New Roman;Times;serif" w:hAnsi="Times New Roman;Times;serif"/>
          <w:b/>
          <w:i/>
          <w:sz w:val="20"/>
        </w:rPr>
        <w:t>Foreign Currency Translation and Transactions</w:t>
      </w:r>
    </w:p>
    <w:p>
      <w:pPr>
        <w:pStyle w:val="TextBody"/>
        <w:bidi w:val="0"/>
        <w:spacing w:before="0" w:after="120"/>
        <w:ind w:left="0" w:right="86" w:firstLine="547"/>
        <w:jc w:val="both"/>
        <w:rPr>
          <w:rFonts w:ascii="Times New Roman;Times;serif" w:hAnsi="Times New Roman;Times;serif"/>
          <w:sz w:val="20"/>
        </w:rPr>
      </w:pPr>
      <w:r>
        <w:rPr>
          <w:rFonts w:ascii="Times New Roman;Times;serif" w:hAnsi="Times New Roman;Times;serif"/>
          <w:sz w:val="20"/>
        </w:rPr>
        <w:t>The Company’s reporting currency is the US dollar. The functional currencies of the Company’s foreign subsidiaries are their respective local currencies (UK pounds sterling, Australian dollar, Canadian dollar and Indian Rupee), which are the monetary unit of account of the principal economic environment in which the Company’s foreign subsidiaries operate. Assets and liabilities of the foreign subsidiaries are translated into US dollars at exchange rates in effect at each period end. Revenues and expenses are translated at average exchange rates in effect during the period. The resulting translation adjustments are recorded in accumulated other comprehensive income (loss) as a component of stockholders’ equity.</w:t>
      </w:r>
    </w:p>
    <w:p>
      <w:pPr>
        <w:pStyle w:val="TextBody"/>
        <w:bidi w:val="0"/>
        <w:spacing w:before="0" w:after="120"/>
        <w:ind w:left="0" w:right="90" w:firstLine="540"/>
        <w:jc w:val="both"/>
        <w:rPr>
          <w:rFonts w:ascii="Times New Roman;Times;serif" w:hAnsi="Times New Roman;Times;serif"/>
          <w:sz w:val="20"/>
        </w:rPr>
      </w:pPr>
      <w:r>
        <w:rPr>
          <w:rFonts w:ascii="Times New Roman;Times;serif" w:hAnsi="Times New Roman;Times;serif"/>
          <w:sz w:val="20"/>
        </w:rPr>
        <w:t>Foreign currency transaction gains and losses resulting from or expected to result from transactions denominated in a currency other than the functional currency are recognized in other income (expense), net in the consolidated statements of operations and have not been material for all periods presented.</w:t>
      </w:r>
    </w:p>
    <w:p>
      <w:pPr>
        <w:pStyle w:val="TextBody"/>
        <w:bidi w:val="0"/>
        <w:spacing w:before="0" w:after="120"/>
        <w:ind w:left="0" w:right="90" w:hanging="0"/>
        <w:jc w:val="both"/>
        <w:rPr>
          <w:rFonts w:ascii="Times New Roman;Times;serif" w:hAnsi="Times New Roman;Times;serif"/>
          <w:b/>
          <w:i/>
          <w:sz w:val="20"/>
        </w:rPr>
      </w:pPr>
      <w:r>
        <w:rPr>
          <w:rFonts w:ascii="Times New Roman;Times;serif" w:hAnsi="Times New Roman;Times;serif"/>
          <w:b/>
          <w:i/>
          <w:sz w:val="20"/>
        </w:rPr>
        <w:t>Comprehensive Loss </w:t>
      </w:r>
    </w:p>
    <w:p>
      <w:pPr>
        <w:pStyle w:val="TextBody"/>
        <w:bidi w:val="0"/>
        <w:spacing w:before="0" w:after="120"/>
        <w:ind w:left="0" w:right="90" w:firstLine="540"/>
        <w:jc w:val="both"/>
        <w:rPr>
          <w:rFonts w:ascii="Times New Roman;Times;serif" w:hAnsi="Times New Roman;Times;serif"/>
          <w:sz w:val="20"/>
        </w:rPr>
      </w:pPr>
      <w:r>
        <w:rPr>
          <w:rFonts w:ascii="Times New Roman;Times;serif" w:hAnsi="Times New Roman;Times;serif"/>
          <w:sz w:val="20"/>
        </w:rPr>
        <w:t>Comprehensive loss consists of two components including net loss and total other comprehensive income (loss) after taxes. The Company’s total other comprehensive income (loss) consists of foreign currency translation adjustments that result from consolidation of its foreign subsidiaries and unrealized gains on available-for-sale debt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bookmarkStart w:id="665" w:name="_7efc3877_088c_4028_99e5_a76c29ccb64e_3"/>
      <w:bookmarkStart w:id="666" w:name="_7efc3877_088c_4028_99e5_a76c29ccb64e_2"/>
      <w:bookmarkStart w:id="667" w:name="_7efc3877_088c_4028_99e5_a76c29ccb64e"/>
      <w:bookmarkEnd w:id="665"/>
      <w:bookmarkEnd w:id="666"/>
      <w:bookmarkEnd w:id="667"/>
      <w:r>
        <w:rPr>
          <w:rFonts w:ascii="Times New Roman;Times;serif" w:hAnsi="Times New Roman;Times;serif"/>
          <w:b/>
          <w:i/>
          <w:sz w:val="20"/>
        </w:rPr>
        <w:t>Cash and Cash Equivalents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considers all highly liquid investment securities with remaining maturities at the date of purchase of three months or less to be cash equivalents. Cash and cash equivalents consist of funds maintained in demand deposit accounts, money market accounts and U.S. treasury securities. Cash and cash equivalent balances, at times, may exceed federally insured limits. Cash equivalents are stated at fair value.</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Investments</w:t>
      </w:r>
    </w:p>
    <w:p>
      <w:pPr>
        <w:pStyle w:val="TextBody"/>
        <w:shd w:fill="FFFFFF" w:val="clear"/>
        <w:bidi w:val="0"/>
        <w:spacing w:before="0" w:after="120"/>
        <w:ind w:left="0" w:right="0" w:firstLine="530"/>
        <w:jc w:val="both"/>
        <w:rPr>
          <w:rFonts w:ascii="Times New Roman;Times;serif" w:hAnsi="Times New Roman;Times;serif"/>
          <w:sz w:val="20"/>
        </w:rPr>
      </w:pPr>
      <w:r>
        <w:rPr>
          <w:rFonts w:ascii="Times New Roman;Times;serif" w:hAnsi="Times New Roman;Times;serif"/>
          <w:sz w:val="20"/>
        </w:rPr>
        <w:t xml:space="preserve">The Company determines the classification of its investment securities at the time of purchase. All investments in fixed income securities with remaining maturities at the date of purchase of more than three months are presently classified as available-for-sale and may be sold in response to changes in interest rates, prepayment risk or other market factors. Investments classified as available for sale are recorded at fair value in the consolidated balance sheets and are classified as short-term or long-term assets based on their maturity date and expectations regarding sales. Fair values are primarily determined using quoted market prices or valuations provided by external investment managers who obtain them from a variety of industry standard data providers. </w:t>
      </w:r>
    </w:p>
    <w:p>
      <w:pPr>
        <w:pStyle w:val="TextBody"/>
        <w:bidi w:val="0"/>
        <w:spacing w:before="32" w:after="120"/>
        <w:ind w:left="0" w:right="0" w:firstLine="533"/>
        <w:jc w:val="both"/>
        <w:rPr>
          <w:rFonts w:ascii="Times New Roman;Times;serif" w:hAnsi="Times New Roman;Times;serif"/>
          <w:sz w:val="20"/>
        </w:rPr>
      </w:pPr>
      <w:r>
        <w:rPr>
          <w:rFonts w:ascii="Times New Roman;Times;serif" w:hAnsi="Times New Roman;Times;serif"/>
          <w:sz w:val="20"/>
        </w:rPr>
        <w:t>Unrealized gains and losses on available for sale investments are included as a separate component of accumulated other comprehensive income (loss), until realized. The Company evaluates its investments to assess whether those in an unrealized loss position are other than temporarily impaired. Impairments are considered other than temporary if they are related to a deterioration in credit risk or if it is likely the Company will sell the securities before recovery of the amortized cost basis. Realized gains and losses and declines in value determined to be other than temporary are determined based on the specific identification method and are reported in other income (expense), net in the statements of operations. See Note 4 for further information regarding fair value. For purposes of identifying and measuring impairment, the policy election was made to exclude the applicable accrued interest pertaining to available-for-sale securities from both the fair value and amortized cost basis. Applicable accrued interest, net of the allowance for credit losses (if any) of $3.1 million and $0.3 million, is recorded in other current assets in the consolidated balance sheets as of December 31, 2025 and December 31, 2024, respectively</w:t>
      </w:r>
    </w:p>
    <w:p>
      <w:pPr>
        <w:pStyle w:val="TextBody"/>
        <w:bidi w:val="0"/>
        <w:spacing w:before="32" w:after="120"/>
        <w:ind w:left="0" w:right="0" w:firstLine="530"/>
        <w:jc w:val="both"/>
        <w:rPr>
          <w:rFonts w:ascii="Times New Roman;Times;serif" w:hAnsi="Times New Roman;Times;serif"/>
          <w:sz w:val="20"/>
        </w:rPr>
      </w:pPr>
      <w:r>
        <w:rPr>
          <w:rFonts w:ascii="Times New Roman;Times;serif" w:hAnsi="Times New Roman;Times;serif"/>
          <w:sz w:val="20"/>
        </w:rPr>
        <w:t>Interest income and dividends are recognized in interest income on an accrual basis. Premiums and discounts on debt securities are amortized as an adjustment to interest income over the period to maturity of the related security using the effective interest method.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Accounts Receivable</w:t>
      </w:r>
      <w:r>
        <w:rPr>
          <w:rFonts w:ascii="Times New Roman;Times;serif" w:hAnsi="Times New Roman;Times;serif"/>
          <w:sz w:val="20"/>
        </w:rPr>
        <w:t> </w:t>
      </w:r>
    </w:p>
    <w:p>
      <w:pPr>
        <w:pStyle w:val="TextBody"/>
        <w:bidi w:val="0"/>
        <w:spacing w:before="120" w:after="120"/>
        <w:ind w:left="0" w:right="0" w:firstLine="533"/>
        <w:jc w:val="both"/>
        <w:rPr>
          <w:rFonts w:ascii="Times New Roman;Times;serif" w:hAnsi="Times New Roman;Times;serif"/>
          <w:sz w:val="20"/>
        </w:rPr>
      </w:pPr>
      <w:r>
        <w:rPr>
          <w:rFonts w:ascii="Times New Roman;Times;serif" w:hAnsi="Times New Roman;Times;serif"/>
          <w:sz w:val="20"/>
        </w:rPr>
        <w:t xml:space="preserve">Accounts receivable are recorded at invoice value, net of allowance for credit losses. Unbilled receivables are included in accounts receivable and include amounts that were invoiced subsequent to the period end for which revenue was recognized in advance of the right to invoice. 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collections consider publicly available macroeconomic data and whether future credit losses are expected to differ from historical losses. </w:t>
      </w:r>
    </w:p>
    <w:p>
      <w:pPr>
        <w:pStyle w:val="TextBody"/>
        <w:bidi w:val="0"/>
        <w:spacing w:before="120" w:after="120"/>
        <w:ind w:left="0" w:right="0" w:firstLine="533"/>
        <w:jc w:val="both"/>
        <w:rPr>
          <w:rFonts w:ascii="Times New Roman;Times;serif" w:hAnsi="Times New Roman;Times;serif"/>
          <w:sz w:val="20"/>
        </w:rPr>
      </w:pPr>
      <w:r>
        <w:rPr>
          <w:rFonts w:ascii="Times New Roman;Times;serif" w:hAnsi="Times New Roman;Times;serif"/>
          <w:sz w:val="20"/>
        </w:rPr>
        <w:t>The Company is not party to any off-balance sheet arrangements that would require an allowance for credit losses. As of both December 31, 2025 and December 31, 2024, the Company does not have any allowances for credit losses.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Prepaid Expenses and Other Current Assets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Prepaid expenses and other current assets include prepaid software, prepaid insurance, other prepaid expenses and other current assets, all of which are expected to be recognized or realized within the next twelve months.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Deferred Offering Costs</w:t>
      </w:r>
      <w:r>
        <w:rPr>
          <w:rFonts w:ascii="Times New Roman;Times;serif" w:hAnsi="Times New Roman;Times;serif"/>
          <w:sz w:val="20"/>
        </w:rPr>
        <w: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Company capitalizes certain legal, accounting, and other third-party fees that are directly associated with the issuance of shares under a registration statement filed with the SEC. After consummation of an issuance of shares, costs allocated to equity-classified instruments are recorded as a reduction to additional paid-in capital. The Company expenses costs allocated to liability-classified instruments.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bookmarkStart w:id="668" w:name="Tc_lPQfWmDkFkayWfHnfhz2uw_4_1"/>
      <w:bookmarkStart w:id="669" w:name="Tc_TgxAbIDimUW76skUUcoquw_4_0"/>
      <w:bookmarkStart w:id="670" w:name="Tc_eE8UvTBZdkWxmbZ5JnNxpA_3_1"/>
      <w:bookmarkStart w:id="671" w:name="Tc_V_cWL_ZVFUqxrgrl6BVThA_3_0"/>
      <w:bookmarkStart w:id="672" w:name="Tc_mkdd2rmwlEq66HmjVFCXsg_2_0"/>
      <w:bookmarkStart w:id="673" w:name="Tc_GHdNcd1hUUCG_NCXSghfOA_1_0"/>
      <w:bookmarkEnd w:id="668"/>
      <w:bookmarkEnd w:id="669"/>
      <w:bookmarkEnd w:id="670"/>
      <w:bookmarkEnd w:id="671"/>
      <w:bookmarkEnd w:id="672"/>
      <w:bookmarkEnd w:id="673"/>
      <w:r>
        <w:rPr>
          <w:rFonts w:ascii="Times New Roman;Times;serif" w:hAnsi="Times New Roman;Times;serif"/>
          <w:b/>
          <w:i/>
          <w:sz w:val="20"/>
        </w:rPr>
        <w:t>Property and Equipment, Net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and amortization. Depreciation and amortization are calculated using the straight-line method over the estimated useful lives of the assets.</w:t>
      </w:r>
    </w:p>
    <w:p>
      <w:pPr>
        <w:pStyle w:val="TextBody"/>
        <w:bidi w:val="0"/>
        <w:spacing w:before="0" w:after="0"/>
        <w:ind w:left="0" w:right="0" w:hanging="0"/>
        <w:jc w:val="left"/>
        <w:rPr/>
      </w:pPr>
      <w:r>
        <w:rPr/>
        <w:t>​</w:t>
      </w:r>
    </w:p>
    <w:tbl>
      <w:tblPr>
        <w:tblW w:w="9152" w:type="dxa"/>
        <w:jc w:val="left"/>
        <w:tblInd w:w="0" w:type="dxa"/>
        <w:tblLayout w:type="fixed"/>
        <w:tblCellMar>
          <w:top w:w="0" w:type="dxa"/>
          <w:left w:w="0" w:type="dxa"/>
          <w:bottom w:w="0" w:type="dxa"/>
          <w:right w:w="0" w:type="dxa"/>
        </w:tblCellMar>
      </w:tblPr>
      <w:tblGrid>
        <w:gridCol w:w="5131"/>
        <w:gridCol w:w="4021"/>
      </w:tblGrid>
      <w:tr>
        <w:trPr/>
        <w:tc>
          <w:tcPr>
            <w:tcW w:w="5131" w:type="dxa"/>
            <w:tcBorders/>
            <w:vAlign w:val="center"/>
          </w:tcPr>
          <w:p>
            <w:pPr>
              <w:pStyle w:val="TableContents"/>
              <w:bidi w:val="0"/>
              <w:spacing w:before="0" w:after="120"/>
              <w:ind w:left="0" w:right="0" w:hanging="0"/>
              <w:jc w:val="left"/>
              <w:rPr/>
            </w:pPr>
            <w:r>
              <w:rPr/>
              <w:t>​</w:t>
            </w:r>
          </w:p>
        </w:tc>
        <w:tc>
          <w:tcPr>
            <w:tcW w:w="4021" w:type="dxa"/>
            <w:tcBorders/>
            <w:vAlign w:val="center"/>
          </w:tcPr>
          <w:p>
            <w:pPr>
              <w:pStyle w:val="TableContents"/>
              <w:bidi w:val="0"/>
              <w:spacing w:before="0" w:after="120"/>
              <w:ind w:left="0" w:right="0" w:hanging="0"/>
              <w:jc w:val="left"/>
              <w:rPr/>
            </w:pPr>
            <w:r>
              <w:rPr/>
              <w:t>​</w:t>
            </w:r>
          </w:p>
        </w:tc>
      </w:tr>
      <w:tr>
        <w:trPr/>
        <w:tc>
          <w:tcPr>
            <w:tcW w:w="5131" w:type="dxa"/>
            <w:tcBorders/>
            <w:shd w:fill="CCEEFF" w:val="cle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Furniture and information technology hardware (IT Hardware)</w:t>
            </w:r>
          </w:p>
        </w:tc>
        <w:tc>
          <w:tcPr>
            <w:tcW w:w="4021" w:type="dxa"/>
            <w:tcBorders/>
            <w:shd w:fill="CCEEFF" w:val="cle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513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Process equipment</w:t>
            </w:r>
          </w:p>
        </w:tc>
        <w:tc>
          <w:tcPr>
            <w:tcW w:w="402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7 years</w:t>
            </w:r>
          </w:p>
        </w:tc>
      </w:tr>
      <w:tr>
        <w:trPr/>
        <w:tc>
          <w:tcPr>
            <w:tcW w:w="5131" w:type="dxa"/>
            <w:tcBorders/>
            <w:shd w:fill="CCEEFF" w:val="cle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Quantum computing fridges</w:t>
            </w:r>
          </w:p>
        </w:tc>
        <w:tc>
          <w:tcPr>
            <w:tcW w:w="4021" w:type="dxa"/>
            <w:tcBorders/>
            <w:shd w:fill="CCEEFF" w:val="cle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3-10 years</w:t>
            </w:r>
          </w:p>
        </w:tc>
      </w:tr>
      <w:tr>
        <w:trPr/>
        <w:tc>
          <w:tcPr>
            <w:tcW w:w="513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Leasehold and other improvements</w:t>
            </w:r>
          </w:p>
        </w:tc>
        <w:tc>
          <w:tcPr>
            <w:tcW w:w="402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Shorter</w:t>
            </w:r>
            <w:r>
              <w:rPr>
                <w:rFonts w:ascii="Times New Roman;Times;serif" w:hAnsi="Times New Roman;Times;serif"/>
                <w:sz w:val="20"/>
              </w:rPr>
              <w:t xml:space="preserve"> of the lease-term or estimated useful-life</w:t>
            </w:r>
          </w:p>
        </w:tc>
      </w:tr>
    </w:tbl>
    <w:p>
      <w:pPr>
        <w:pStyle w:val="TextBody"/>
        <w:bidi w:val="0"/>
        <w:spacing w:before="0" w:after="0"/>
        <w:ind w:left="0" w:right="0" w:hanging="0"/>
        <w:jc w:val="left"/>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Expenditures for repairs and maintenance are expensed as incurred. Upon disposition, the cost and related accumulated depreciation are removed and any resulting gain or loss is reflected in other income (expense), net in the consolidated statements of operations.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Long-lived assets, which consist of property and equipment and operating lease right-of-use assets, are reviewed for impairment whenever events or changes in circumstances indicate that the carrying amount of the asset (asset group) may not be recoverable. When such events or changes in circumstances occur, the Company performs an undiscounted cash flow analysis to determine if an impairment exists and, if so, an impairment loss would be recorded based on the excess of the carrying amount of the asset (asset group) over its fair value.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During each of the years ended December 31, 2025 and December 31, 2024, the Company determined there were triggering events related to expected near term losses and an undiscounted cash flow analysis was performed. Based on the results of this analysis, the Company’s long-lived assets were not impaired and no impairment charges were recorded.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Leases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determines if an arrangement is or contains a lease at inception. Operating lease right-of-use assets and liabilities are recognized at the lease commencement date based on the present value of lease payments over the lease term. Lease payments consist primarily of the fixed payments under the arrangement. The Company generally uses an incremental borrowing rate estimated based on the information available at the lease commencement date to determine the present value of lease payments unless the implicit rate is readily determinable. Lease expense for lease payments is recognized on a straight-line basis over the lease term.</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Company accounts for lease and non-lease components as a single lease component for office leases. Lease and non-lease components for all other leases are generally accounted for separately. Additionally, the Company does not record leases on the balance sheet that, at the lease commencement date, have a lease term of twelve months or less. Operating leases are included in operating lease right-of-use assets, current portion of operating lease liabilities, and operating lease liabilities, less current portion in the accompanying consolidated balance sheets.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Deferred Financing Costs</w:t>
      </w:r>
      <w:r>
        <w:rPr>
          <w:rFonts w:ascii="Times New Roman;Times;serif" w:hAnsi="Times New Roman;Times;serif"/>
          <w:sz w:val="20"/>
        </w:rPr>
        <w: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statements of operations. Unamortized deferred financing costs are presented on the consolidated balance sheets as a direct deduction from the carrying amount of the related debt obligation.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Public and Private Warrants</w:t>
      </w:r>
      <w:r>
        <w:rPr>
          <w:rFonts w:ascii="Times New Roman;Times;serif" w:hAnsi="Times New Roman;Times;serif"/>
          <w:sz w:val="20"/>
        </w:rPr>
        <w:t xml:space="preserve">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Each whole warrant entitles the holder to purchase one share of the Company’s Common Stock at a price of $11.50 per share, subject to adjustments, and will expire on March 2, 2027 at 5:00 p.m., New York City time, or earlier upon redemption or liquidation.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records the Private Warrants as liabilities in the consolidated balance sheet at fair value, with subsequent changes in the fair value recognized in the consolidated statements of operations at each reporting date. The fair value of the Private Warrants are measured using the Black-Scholes option-pricing model.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Public Warrants also fail to meet the indexation guidance in Accounting Standards Codification (“ASC”) Topic 815</w:t>
      </w:r>
      <w:r>
        <w:rPr>
          <w:rFonts w:ascii="Times New Roman;Times;serif" w:hAnsi="Times New Roman;Times;serif"/>
          <w:i/>
          <w:sz w:val="20"/>
        </w:rPr>
        <w:t>, Derivatives and Hedging</w:t>
      </w:r>
      <w:r>
        <w:rPr>
          <w:rFonts w:ascii="Times New Roman;Times;serif" w:hAnsi="Times New Roman;Times;serif"/>
          <w:sz w:val="20"/>
        </w:rPr>
        <w:t xml:space="preserve"> (“ASC 815”), and are accounted for as liabilities because they include</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provision</w:t>
      </w:r>
      <w:r>
        <w:rPr>
          <w:rFonts w:ascii="Times New Roman;Times;serif" w:hAnsi="Times New Roman;Times;serif"/>
          <w:spacing w:val="8"/>
          <w:sz w:val="20"/>
        </w:rPr>
        <w:t xml:space="preserve"> </w:t>
      </w:r>
      <w:r>
        <w:rPr>
          <w:rFonts w:ascii="Times New Roman;Times;serif" w:hAnsi="Times New Roman;Times;serif"/>
          <w:sz w:val="20"/>
        </w:rPr>
        <w:t>whereby if</w:t>
      </w:r>
      <w:r>
        <w:rPr>
          <w:rFonts w:ascii="Times New Roman;Times;serif" w:hAnsi="Times New Roman;Times;serif"/>
          <w:spacing w:val="5"/>
          <w:sz w:val="20"/>
        </w:rPr>
        <w:t xml:space="preserve"> </w:t>
      </w:r>
      <w:r>
        <w:rPr>
          <w:rFonts w:ascii="Times New Roman;Times;serif" w:hAnsi="Times New Roman;Times;serif"/>
          <w:sz w:val="20"/>
        </w:rPr>
        <w:t>there</w:t>
      </w:r>
      <w:r>
        <w:rPr>
          <w:rFonts w:ascii="Times New Roman;Times;serif" w:hAnsi="Times New Roman;Times;serif"/>
          <w:spacing w:val="5"/>
          <w:sz w:val="20"/>
        </w:rPr>
        <w:t xml:space="preserve"> </w:t>
      </w:r>
      <w:r>
        <w:rPr>
          <w:rFonts w:ascii="Times New Roman;Times;serif" w:hAnsi="Times New Roman;Times;serif"/>
          <w:sz w:val="20"/>
        </w:rPr>
        <w:t>is</w:t>
      </w:r>
      <w:r>
        <w:rPr>
          <w:rFonts w:ascii="Times New Roman;Times;serif" w:hAnsi="Times New Roman;Times;serif"/>
          <w:spacing w:val="2"/>
          <w:sz w:val="20"/>
        </w:rPr>
        <w:t xml:space="preserve"> </w:t>
      </w:r>
      <w:r>
        <w:rPr>
          <w:rFonts w:ascii="Times New Roman;Times;serif" w:hAnsi="Times New Roman;Times;serif"/>
          <w:sz w:val="20"/>
        </w:rPr>
        <w:t>not</w:t>
      </w:r>
      <w:r>
        <w:rPr>
          <w:rFonts w:ascii="Times New Roman;Times;serif" w:hAnsi="Times New Roman;Times;serif"/>
          <w:spacing w:val="3"/>
          <w:sz w:val="20"/>
        </w:rPr>
        <w:t xml:space="preserve"> </w:t>
      </w:r>
      <w:r>
        <w:rPr>
          <w:rFonts w:ascii="Times New Roman;Times;serif" w:hAnsi="Times New Roman;Times;serif"/>
          <w:sz w:val="20"/>
        </w:rPr>
        <w:t>an</w:t>
      </w:r>
      <w:r>
        <w:rPr>
          <w:rFonts w:ascii="Times New Roman;Times;serif" w:hAnsi="Times New Roman;Times;serif"/>
          <w:spacing w:val="3"/>
          <w:sz w:val="20"/>
        </w:rPr>
        <w:t xml:space="preserve"> </w:t>
      </w:r>
      <w:r>
        <w:rPr>
          <w:rFonts w:ascii="Times New Roman;Times;serif" w:hAnsi="Times New Roman;Times;serif"/>
          <w:sz w:val="20"/>
        </w:rPr>
        <w:t>e</w:t>
      </w:r>
      <w:r>
        <w:rPr>
          <w:rFonts w:ascii="Times New Roman;Times;serif" w:hAnsi="Times New Roman;Times;serif"/>
          <w:spacing w:val="-3"/>
          <w:sz w:val="20"/>
        </w:rPr>
        <w:t>f</w:t>
      </w:r>
      <w:r>
        <w:rPr>
          <w:rFonts w:ascii="Times New Roman;Times;serif" w:hAnsi="Times New Roman;Times;serif"/>
          <w:sz w:val="20"/>
        </w:rPr>
        <w:t>fective</w:t>
      </w:r>
      <w:r>
        <w:rPr>
          <w:rFonts w:ascii="Times New Roman;Times;serif" w:hAnsi="Times New Roman;Times;serif"/>
          <w:spacing w:val="7"/>
          <w:sz w:val="20"/>
        </w:rPr>
        <w:t xml:space="preserve"> </w:t>
      </w:r>
      <w:r>
        <w:rPr>
          <w:rFonts w:ascii="Times New Roman;Times;serif" w:hAnsi="Times New Roman;Times;serif"/>
          <w:sz w:val="20"/>
        </w:rPr>
        <w:t>registration</w:t>
      </w:r>
      <w:r>
        <w:rPr>
          <w:rFonts w:ascii="Times New Roman;Times;serif" w:hAnsi="Times New Roman;Times;serif"/>
          <w:spacing w:val="9"/>
          <w:sz w:val="20"/>
        </w:rPr>
        <w:t xml:space="preserve"> </w:t>
      </w:r>
      <w:r>
        <w:rPr>
          <w:rFonts w:ascii="Times New Roman;Times;serif" w:hAnsi="Times New Roman;Times;serif"/>
          <w:sz w:val="20"/>
        </w:rPr>
        <w:t>statement,</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warrant</w:t>
      </w:r>
      <w:r>
        <w:rPr>
          <w:rFonts w:ascii="Times New Roman;Times;serif" w:hAnsi="Times New Roman;Times;serif"/>
          <w:spacing w:val="6"/>
          <w:sz w:val="20"/>
        </w:rPr>
        <w:t xml:space="preserve"> </w:t>
      </w:r>
      <w:r>
        <w:rPr>
          <w:rFonts w:ascii="Times New Roman;Times;serif" w:hAnsi="Times New Roman;Times;serif"/>
          <w:sz w:val="20"/>
        </w:rPr>
        <w:t>holders</w:t>
      </w:r>
      <w:r>
        <w:rPr>
          <w:rFonts w:ascii="Times New Roman;Times;serif" w:hAnsi="Times New Roman;Times;serif"/>
          <w:spacing w:val="6"/>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cap of</w:t>
      </w:r>
      <w:r>
        <w:rPr>
          <w:rFonts w:ascii="Times New Roman;Times;serif" w:hAnsi="Times New Roman;Times;serif"/>
          <w:spacing w:val="4"/>
          <w:sz w:val="20"/>
        </w:rPr>
        <w:t xml:space="preserve"> </w:t>
      </w:r>
      <w:r>
        <w:rPr>
          <w:rFonts w:ascii="Times New Roman;Times;serif" w:hAnsi="Times New Roman;Times;serif"/>
          <w:sz w:val="20"/>
        </w:rPr>
        <w:t>0.361</w:t>
      </w:r>
      <w:r>
        <w:rPr>
          <w:rFonts w:ascii="Times New Roman;Times;serif" w:hAnsi="Times New Roman;Times;serif"/>
          <w:spacing w:val="5"/>
          <w:sz w:val="20"/>
        </w:rPr>
        <w:t xml:space="preserve"> shares of </w:t>
      </w:r>
      <w:r>
        <w:rPr>
          <w:rFonts w:ascii="Times New Roman;Times;serif" w:hAnsi="Times New Roman;Times;serif"/>
          <w:sz w:val="20"/>
        </w:rPr>
        <w:t>Common Stock per</w:t>
      </w:r>
      <w:r>
        <w:rPr>
          <w:rFonts w:ascii="Times New Roman;Times;serif" w:hAnsi="Times New Roman;Times;serif"/>
          <w:spacing w:val="3"/>
          <w:sz w:val="20"/>
        </w:rPr>
        <w:t xml:space="preserve"> </w:t>
      </w:r>
      <w:r>
        <w:rPr>
          <w:rFonts w:ascii="Times New Roman;Times;serif" w:hAnsi="Times New Roman;Times;serif"/>
          <w:sz w:val="20"/>
        </w:rPr>
        <w:t>warrant</w:t>
      </w:r>
      <w:r>
        <w:rPr>
          <w:rFonts w:ascii="Times New Roman;Times;serif" w:hAnsi="Times New Roman;Times;serif"/>
          <w:spacing w:val="6"/>
          <w:sz w:val="20"/>
        </w:rPr>
        <w:t xml:space="preserve"> </w:t>
      </w:r>
      <w:r>
        <w:rPr>
          <w:rFonts w:ascii="Times New Roman;Times;serif" w:hAnsi="Times New Roman;Times;serif"/>
          <w:sz w:val="20"/>
        </w:rPr>
        <w:t>(subject</w:t>
      </w:r>
      <w:r>
        <w:rPr>
          <w:rFonts w:ascii="Times New Roman;Times;serif" w:hAnsi="Times New Roman;Times;serif"/>
          <w:spacing w:val="7"/>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adjustment),</w:t>
      </w:r>
      <w:r>
        <w:rPr>
          <w:rFonts w:ascii="Times New Roman;Times;serif" w:hAnsi="Times New Roman;Times;serif"/>
          <w:spacing w:val="10"/>
          <w:sz w:val="20"/>
        </w:rPr>
        <w:t xml:space="preserve"> </w:t>
      </w:r>
      <w:r>
        <w:rPr>
          <w:rFonts w:ascii="Times New Roman;Times;serif" w:hAnsi="Times New Roman;Times;serif"/>
          <w:sz w:val="20"/>
        </w:rPr>
        <w:t>on</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issuable</w:t>
      </w:r>
      <w:r>
        <w:rPr>
          <w:rFonts w:ascii="Times New Roman;Times;serif" w:hAnsi="Times New Roman;Times;serif"/>
          <w:spacing w:val="7"/>
          <w:sz w:val="20"/>
        </w:rPr>
        <w:t xml:space="preserve"> </w:t>
      </w:r>
      <w:r>
        <w:rPr>
          <w:rFonts w:ascii="Times New Roman;Times;serif" w:hAnsi="Times New Roman;Times;serif"/>
          <w:sz w:val="20"/>
        </w:rPr>
        <w:t>number</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shares</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cashless</w:t>
      </w:r>
      <w:r>
        <w:rPr>
          <w:rFonts w:ascii="Times New Roman;Times;serif" w:hAnsi="Times New Roman;Times;serif"/>
          <w:spacing w:val="7"/>
          <w:sz w:val="20"/>
        </w:rPr>
        <w:t xml:space="preserve"> </w:t>
      </w:r>
      <w:r>
        <w:rPr>
          <w:rFonts w:ascii="Times New Roman;Times;serif" w:hAnsi="Times New Roman;Times;serif"/>
          <w:sz w:val="20"/>
        </w:rPr>
        <w:t xml:space="preserve">exercise. Subsequent to the separate listing and trading of the Public Warrants, their fair value has been measured based on the observable listed trading prices for such warrants. </w:t>
      </w:r>
    </w:p>
    <w:p>
      <w:pPr>
        <w:pStyle w:val="TextBody"/>
        <w:pBd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See Notes 4 and 8 for further information regarding the fair value of the Public and Private Warrants.</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Earn-Out Liabilities</w:t>
      </w:r>
    </w:p>
    <w:p>
      <w:pPr>
        <w:pStyle w:val="TextBody"/>
        <w:shd w:fill="FFFFFF" w:val="clear"/>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Sponsor subjected the Sponsor Vesting Shares to vesting conditions and forfeiture, with vesting only occurring if thresholds related to the weighted average price of the Company’s Common Stock were met for various specified consecutive day trading periods during the </w:t>
      </w:r>
      <w:r>
        <w:rPr>
          <w:rFonts w:ascii="Times New Roman;Times;serif" w:hAnsi="Times New Roman;Times;serif"/>
          <w:b w:val="false"/>
          <w:i w:val="false"/>
          <w:caps w:val="false"/>
          <w:smallCaps w:val="false"/>
          <w:sz w:val="20"/>
        </w:rPr>
        <w:t>five-year</w:t>
      </w:r>
      <w:r>
        <w:rPr>
          <w:rFonts w:ascii="Times New Roman;Times;serif" w:hAnsi="Times New Roman;Times;serif"/>
          <w:sz w:val="20"/>
        </w:rPr>
        <w:t xml:space="preserve"> period following the closing of the Business Combination as described in Note 9 (the “Earn-Out Triggering Events”). Any Sponsor Vesting Shares unvested after the fifth anniversary of the closing of the Business Combination were to be forfeited.</w:t>
      </w:r>
    </w:p>
    <w:p>
      <w:pPr>
        <w:pStyle w:val="TextBody"/>
        <w:bidi w:val="0"/>
        <w:spacing w:before="0" w:after="120"/>
        <w:ind w:left="0" w:right="0" w:firstLine="634"/>
        <w:jc w:val="both"/>
        <w:rPr>
          <w:rFonts w:ascii="Times New Roman;Times;serif" w:hAnsi="Times New Roman;Times;serif"/>
          <w:sz w:val="20"/>
        </w:rPr>
      </w:pPr>
      <w:r>
        <w:rPr>
          <w:rFonts w:ascii="Times New Roman;Times;serif" w:hAnsi="Times New Roman;Times;serif"/>
          <w:sz w:val="20"/>
        </w:rPr>
        <w:t xml:space="preserve">The Sponsor Vesting Shares were accounted for as liability classified instruments because the Earn-Out Triggering Events that determined the number of Sponsor Vesting Shares to be earned back by the Sponsor included outcomes that were not solely indexed to the Common Stock of the Company. The aggregate fair value of the Sponsor Vesting Shares on the Closing Date were estimated using a Monte Carlo simulation model. The earn-out liabilities were adjusted to fair value each reporting period using the Monte Carlo simulation model until such time as the Earn-Out Triggering Events were achieved and the Sponsor Vesting Shares became vested.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December 31, 2025, all of the Sponsor Vesting Shares were vested and the earn-out liabilities balance was zero. See Note 9 for further information regarding the earn-out liabilities.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recognizes revenue in accordance with ASC 606, </w:t>
      </w:r>
      <w:r>
        <w:rPr>
          <w:rFonts w:ascii="Times New Roman;Times;serif" w:hAnsi="Times New Roman;Times;serif"/>
          <w:i/>
          <w:sz w:val="20"/>
        </w:rPr>
        <w:t xml:space="preserve">Revenue from Contracts with Customers </w:t>
      </w:r>
      <w:r>
        <w:rPr>
          <w:rFonts w:ascii="Times New Roman;Times;serif" w:hAnsi="Times New Roman;Times;serif"/>
          <w:sz w:val="20"/>
        </w:rPr>
        <w:t>and accounts for certain contract costs in accordance with ASC 340-40, </w:t>
      </w:r>
      <w:r>
        <w:rPr>
          <w:rFonts w:ascii="Times New Roman;Times;serif" w:hAnsi="Times New Roman;Times;serif"/>
          <w:i/>
          <w:sz w:val="20"/>
        </w:rPr>
        <w:t>Other Assets and Deferred Costs—Contracts with Customers.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Company recognizes revenue from contracts with customers by applying the following five-step model:</w:t>
      </w:r>
    </w:p>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performance obligations are satisfied</w:t>
            </w:r>
          </w:p>
        </w:tc>
      </w:tr>
    </w:tbl>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 generates revenue from sales of QPUs, quantum computing systems, custom computing components, QCaaS, development contracts and other services.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Revenue related to the sale of QPUs, quantum computing systems, including </w:t>
      </w:r>
      <w:r>
        <w:rPr>
          <w:rFonts w:ascii="Times New Roman;Times;serif" w:hAnsi="Times New Roman;Times;serif"/>
          <w:sz w:val="20"/>
          <w:shd w:fill="FFFFFF" w:val="clear"/>
        </w:rPr>
        <w:t xml:space="preserve">Novera™ and </w:t>
      </w:r>
      <w:r>
        <w:rPr>
          <w:rFonts w:ascii="Times New Roman;Times;serif" w:hAnsi="Times New Roman;Times;serif"/>
          <w:sz w:val="20"/>
        </w:rPr>
        <w:t>Cepheus</w:t>
      </w:r>
      <w:r>
        <w:rPr>
          <w:rFonts w:ascii="Times New Roman;Times;serif" w:hAnsi="Times New Roman;Times;serif"/>
          <w:sz w:val="20"/>
          <w:shd w:fill="FFFFFF" w:val="clear"/>
        </w:rPr>
        <w:t>™</w:t>
      </w:r>
      <w:r>
        <w:rPr>
          <w:rFonts w:ascii="Times New Roman;Times;serif" w:hAnsi="Times New Roman;Times;serif"/>
          <w:sz w:val="20"/>
        </w:rPr>
        <w:t>, and custom quantum computing components is recognized at a point in time when obligations under the terms of the contract are satisfied and control is transferred to the customer, generally upon shipment for sales of QPUs and quantum computing systems, and upon customer acceptance for sales of custom quantum computing components.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Access to Rigetti quantum computing systems can be purchased as a quantum computing subscription, or on a usage basis for a specified quantity of hours. Revenue related to subscription-based access to QCaaS is recognized over time as access to the systems is provided on a ratable basis over the subscription term. This time-based input measure of progress provides a faithful depiction of the transfer of the services because the benefits the customer obtains generally equals the benefit from its access to the systems throughout the subscription term. Revenue related to usage-based access to Rigetti quantum computing systems is recognized over time as the systems are accessed using an output method based on compute credit hours expended. The Company believes this output method provides a faithful depiction of the transfer of the services because the customer has purchased a specified quantity of hours of usage that diminishes each time an hour is expended and therefore each hour of access to the systems is considered a discrete delivery of underlying services in these arrangements. Development contracts are generally multi-year, non-recurring arrangements in which the Company provides professional services regarding practical applications of quantum computing to technology and business problems within the customer’s industry or organization and assists the customer in developing quantum algorithms and applications that will provide commercial value to the customer in areas of business interest. Development contracts are generally invoiced on a time and materials or cost-share basis or as fixed fee arrangements invoiced on a milestone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Revenue related to development contracts and other services is recognized over time based on hours or costs incurred The Company believes these input measures of progress provide a faithful depiction of the transfer of the services because it closely depicts the Company’s efforts or inputs to the satisfaction of the performance obligation.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When the Company’s contracts with customers contain multiple performance obligations, the transaction price is allocated on a relative standalone selling price basis to each performance obligation. The Company typically determines standalone selling price based on observable selling prices of its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the Company will reallocate the total transaction price to each performance obligation based on the relative standalone selling price of each.</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transaction price is the amount of consideration to which the Company expects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Company’s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or other option to determine whether the renewal or other option pricing is reflective of standalone selling price or is reflective of a discount that would provide the customer with a material right. Certain of the Company’s sales contracts for the Novera QPU contain material upgrade rights which have been deferred. The timing of revenue recognition may not align with the right to invoice the customer. The Company records accounts receivable when it has the unconditional right to issue an invoice and receive payment, regardless of whether revenue has been recognized. If revenue has not yet been recognized, a contract liability (deferred revenue) is also recorded. If revenue is recognized in advance of the right to invoice, a contract asset or unbilled receivable is recorded, depending on whether the Company’s right to consideration is considered conditional or unconditional. Unbilled receivables are included within accounts receivable in the consolidated balance sheets.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 instances where the timing of revenue recognition differs from the timing of the right to invoice, the Company has determined that a significant financing component generally does not exist. The primary purpose of the Company’s invoicing terms is to provide customers with simplified and predictable ways of purchasing the products and services and not to receive financing from or provide financing to the customer. Additionally, the Company has elected the practical expedient that permits an entity not to recognize a significant financing component if the time between the transfer of a good or service and payment is one year or less.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Payment terms on invoiced amounts are typically net 30 days. The Company does not offer rights of return for its products and services in the normal course of business, and contracts generally do not include significant service-type warranties that provide any incremental service to the customer beyond providing assurance that the goods and services conform to applicable specifications or customer-specific or subjective acceptance provisions. The Company also excludes from revenue government-assessed and imposed taxes on revenue-generating activities that are invoiced to customers.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Costs of Obtaining and Fulfilling Contracts</w:t>
      </w:r>
      <w:r>
        <w:rPr>
          <w:rFonts w:ascii="Times New Roman;Times;serif" w:hAnsi="Times New Roman;Times;serif"/>
          <w:sz w:val="20"/>
        </w:rPr>
        <w: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Company has elected to apply the practical expedient to expense contract acquisition costs as incurred when the expected amortization period is one year or less.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120"/>
        <w:ind w:left="0" w:right="0" w:firstLine="634"/>
        <w:jc w:val="both"/>
        <w:rPr>
          <w:rFonts w:ascii="Times New Roman;Times;serif" w:hAnsi="Times New Roman;Times;serif"/>
          <w:sz w:val="20"/>
        </w:rPr>
      </w:pPr>
      <w:r>
        <w:rPr>
          <w:rFonts w:ascii="Times New Roman;Times;serif" w:hAnsi="Times New Roman;Times;serif"/>
          <w:sz w:val="20"/>
        </w:rPr>
        <w:t>Cost of revenue consists of direct and indirect costs associated with providing its QCaaS offerings, sales of QPUs and custom computing components, and development contracts and other services. Cost of revenue includes employee related costs, material costs and an allocation of facility costs, depreciation and amortization associated with the delivery of goods and services to customers.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Research and Development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Research and development costs are expensed as incurred. Research and development expenses include compensation, employee benefits, stock-based compensation, outside consultant fees, allocation of facility costs, depreciation and amortization, materials and components purchased for research and development.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Selling, General and Administrative</w:t>
      </w:r>
      <w:r>
        <w:rPr>
          <w:rFonts w:ascii="Times New Roman;Times;serif" w:hAnsi="Times New Roman;Times;serif"/>
          <w:sz w:val="20"/>
        </w:rPr>
        <w: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professional service fees, allocation of facility costs, depreciation and amortization associated with general selling and administrative overhead activities.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Income Taxes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As of December 31, 2025 and December 31, 2024 the Company has recorded a full valuation allowance against its deferred tax assets. The Company recognizes the effect of income tax positions only if it is more likely than not that those positions will be sustained. Recognized income tax positions are measured at the largest amount that has a greater than 50% likelihood of being realized. Changes in recognition or measurement are reflected in the period in which the change in judgment occurs. The Company records interest related to unrecognized tax benefits in interest expense and penalties in income tax expense.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Net Loss Per Share</w:t>
      </w:r>
      <w:r>
        <w:rPr>
          <w:rFonts w:ascii="Times New Roman;Times;serif" w:hAnsi="Times New Roman;Times;serif"/>
          <w:sz w:val="20"/>
        </w:rPr>
        <w: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Basic net loss per common share is computed by dividing the net loss available to common stockholders (the numerator) by the weighted average number of common shares outstanding (the denominator) during the period. Diluted net loss per common share is computed by dividing the net loss available to common stockholders by the weighted average number of common shares and potential common shares outstanding when the impact is not antidilutive. Potential common shares from stock options, unvested restricted stock units and Common Stock warrants are computed using the treasury stock method. Contingently issuable shares are included in basic net loss per share only when there is no circumstance under which those shares would not be issued. Shares issuable for little or no cash consideration shall be considered outstanding common shares and included in the computations of basic and diluted net loss per share.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Stock-Based Compensation</w:t>
      </w:r>
      <w:r>
        <w:rPr>
          <w:rFonts w:ascii="Times New Roman;Times;serif" w:hAnsi="Times New Roman;Times;serif"/>
          <w:sz w:val="20"/>
        </w:rPr>
        <w: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 accounts for share-based compensation in accordance with ASC 718, Compensation – </w:t>
      </w:r>
      <w:r>
        <w:rPr>
          <w:rFonts w:ascii="Times New Roman;Times;serif" w:hAnsi="Times New Roman;Times;serif"/>
          <w:i/>
          <w:sz w:val="20"/>
        </w:rPr>
        <w:t>Stock Compensation</w:t>
      </w:r>
      <w:r>
        <w:rPr>
          <w:rFonts w:ascii="Times New Roman;Times;serif" w:hAnsi="Times New Roman;Times;serif"/>
          <w:sz w:val="20"/>
        </w:rPr>
        <w:t xml:space="preserve">. The Company’s share-based compensation awards are all equity-classified and consist of stock options, restricted stock units (“RSU”) and restricted stock awards (“RSA”). Most stock options and RSUs have a service-based vesting condition ranging from 1 to 5 years. Some stock options and RSUs include both a market-based and service-based vesting condition. RSAs are fully vested on the date of grant. The Company occasionally issues awards that might have different vesting conditions.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Compensation expense is based on the grant-date fair value of the awards and recognized over the requisite service period using a straight-line method for awards that have a service-based vesting condition. Compensation expense for awards with a market-based vesting condition is recognized over the requisite service period regardless of whether the market condition is met, unless the underlying service requirement is not met. Compensation expense for RSAs is recognized fully on the date of grant. The Company has elected to account for forfeitures of employee stock awards as they occur. The Company intends to issue new shares for all equity based awards.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Concentrations of Credit Risk</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Fair Value Measurements </w:t>
      </w:r>
    </w:p>
    <w:p>
      <w:pPr>
        <w:pStyle w:val="TextBody"/>
        <w:bidi w:val="0"/>
        <w:spacing w:before="0" w:after="120"/>
        <w:ind w:left="0" w:right="0" w:firstLine="63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Level 1—Inputs are unadjusted quoted prices in active markets for identical assets or liabilities that the Company has the ability to access at the measurement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Level 3—Inputs are unobservable for the asset or liability.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level in the fair value hierarchy within which a fair value measurement in its entirety falls is based on the lowest-level input that is significant to the fair value measurement in its entirety.</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June 2022, the Financial Standards Board (“FASB”) issued Accounting Standards Update (“ASU”) No. 2022-03- Fair Value Measurement (Topic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ASU 2022-03 was effective for the Company for annual periods beginning after December 15, 2024, and interim periods within those fiscal years, with early adoption permitted. The Company determined that the adoption of this standard did not have an impact on the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2023, the FASB issued ASU 2023-09, “Income Taxes – Improvements to Income Tax Disclosures” requiring enhancements and further transparency to certain income tax disclosures, most notably the tax rate reconciliation and income taxes paid. ASU 2023-09 was effective for the Company for annual periods beginning after December 15, 2024 on a prospective basis. Retrospective application was also permitted. The Company adopted this standard on a prospective basis. As a result, the adoption of this standard did not have a material impact on the consolidated financial statements.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ASU 2024-03 is effective for the Company for annual periods beginning after December 15, 2026, and interim reporting periods within annual periods beginning after December 15, 2027. Early adoption is permitted. The Company is still evaluating the impact of this pronouncement on the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May 2025, the FASB issued ASU 2025-04, “Compensation – Stock Compensation (Topic 718) and Revenue from Contracts with Customers (Topic 606): Clarifications to Share-Based Consideration Payable to a Customer,” which provides clarifying guidance on the accounting for share-based consideration payable to a customer. ASU 2025-04 is effective for the Company for annual periods beginning after December 31, 2026. Early adoption is permitted using either a full retrospective or modified retrospective transition method. The Company is still evaluating the impact of this pronouncement on the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July 2025, the FASB issued ASU 2025-05 “Financial Statements – Credit Losses (Topic 326): Measurement of Credit Losses for Accounts Receivable and Contract Assets,” which provides practical expedients for current accounts receivable and current contract assets arising from transactions accounted for under Topic 606 (revenue from contracts with customers). ASU 2025-05 is effective for the Company for the interim and annual periods beginning after December 31, 2025. Early adoption is permitted using either a full retrospective or modified retrospective transition method. The Company does not expect the adoption of this standard to have a material impact on the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FASB issued ASU 2025-10, “Accounting for Government Grants Received by Business Entities,” to establish guidance on the recognition, measurement, and presentation of government grants received by business entities. The new guidance leverages the principles in the accounting framework for government assistance in the International Financial Reporting Standards, specifically International Accounting Standard No. 20, “Accounting for Government Grants and Disclosure of Government Assistance,” makes certain targeted improvements and modifies certain of the existing disclosure requirements in ASU 832, “Government Assistance”. ASU 2025-10 is effective for public business entities in annual periods beginning after December 31, 2028 (including interim periods within) and one year later for all other entities with early adoption in any period for which financial statements have not been issued. The guidance can be applied on a modified prospective basis, a modified retrospective basis, or a full retrospective basis. The Company is still evaluating the impact of this pronouncement on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20"/>
        <w:ind w:left="0" w:right="0" w:hanging="540"/>
        <w:jc w:val="both"/>
        <w:rPr>
          <w:rFonts w:ascii="Times New Roman;Times;serif" w:hAnsi="Times New Roman;Times;serif"/>
          <w:b/>
          <w:sz w:val="20"/>
        </w:rPr>
      </w:pPr>
      <w:bookmarkStart w:id="674" w:name="Tc_eHLOGEUhPEmE_rLYu_nwAg_13_11"/>
      <w:bookmarkStart w:id="675" w:name="Tc_2AJILagpCU-RwuoRmbM-RA_13_9"/>
      <w:bookmarkStart w:id="676" w:name="Tc_i04a1BmaAU-uArBnVJ0BRQ_13_8"/>
      <w:bookmarkStart w:id="677" w:name="Tc_kTcqrMnni02CLDx7nDAGiw_13_5"/>
      <w:bookmarkStart w:id="678" w:name="Tc_OthPs03iWEu7roymUQnUYA_13_2"/>
      <w:bookmarkStart w:id="679" w:name="Tc_mi3YkAKKr0yl9fo5KZ1-SQ_13_0"/>
      <w:bookmarkStart w:id="680" w:name="Tc_ECr7s5tUpU-PSBZV0p1m-w_12_11"/>
      <w:bookmarkStart w:id="681" w:name="Tc_jmgVw9mi3Uysii_OPGsgfw_12_9"/>
      <w:bookmarkStart w:id="682" w:name="Tc_NOIqa1RgLEOjMU-8uMZ78w_12_8"/>
      <w:bookmarkStart w:id="683" w:name="Tc_SNQxRz4VoUGoTfEzZnqckg_12_5"/>
      <w:bookmarkStart w:id="684" w:name="Tc_6R2_ok9jU0GG4KZK96_zJA_12_2"/>
      <w:bookmarkStart w:id="685" w:name="Tc_ijXlSbL3H0GbQMJKhzNHmg_12_0"/>
      <w:bookmarkStart w:id="686" w:name="Tc_3KP7Ql6zy0uSjTLsA7kngQ_11_0"/>
      <w:bookmarkStart w:id="687" w:name="Tc_GefsYgd2xkq0uHRdFodLjA_10_11"/>
      <w:bookmarkStart w:id="688" w:name="Tc_eSBm6MZWJUO1A2kYxExBZA_10_8"/>
      <w:bookmarkStart w:id="689" w:name="Tc_OutUZKvw4EWITDiLZLhWUQ_10_5"/>
      <w:bookmarkStart w:id="690" w:name="Tc_b8Zr_jDNlk24GiyEiKpJSw_10_2"/>
      <w:bookmarkStart w:id="691" w:name="Tc_dl8hhx66LU6gi23Hcqiiuw_10_0"/>
      <w:bookmarkStart w:id="692" w:name="Tc_TabZOdDJeEeYTOtNVWS9Lw_9_11"/>
      <w:bookmarkStart w:id="693" w:name="Tc__W6wZewPDk-hcJ_00bSI4g_9_8"/>
      <w:bookmarkStart w:id="694" w:name="Tc_1gnNLHJWTEmBGBUgZf3rMw_9_5"/>
      <w:bookmarkStart w:id="695" w:name="Tc_htwXXFU_z0mwE1bq3Gtbdw_9_2"/>
      <w:bookmarkStart w:id="696" w:name="Tc_bUO9ILfmTEuCOURLILIb3w_9_0"/>
      <w:bookmarkStart w:id="697" w:name="Tc_UNmO9fH3Ak2IZEhptcnz5g_8_0"/>
      <w:bookmarkStart w:id="698" w:name="Tc_PjHuia7phkGQWUtCvuiLMA_7_11"/>
      <w:bookmarkStart w:id="699" w:name="Tc_JxOiUNst8k25cQ-aKzHpwQ_7_9"/>
      <w:bookmarkStart w:id="700" w:name="Tc_mjjn2Hdeh0KhIXOWgmyprw_7_8"/>
      <w:bookmarkStart w:id="701" w:name="Tc_IbQGcL-SuEOmqILCyfCcfg_7_6"/>
      <w:bookmarkStart w:id="702" w:name="Tc_Uol7bsQfbkyrivnIFI4nkw_7_5"/>
      <w:bookmarkStart w:id="703" w:name="Tc_6O_mcONUIUy457r2XaSb3Q_7_2"/>
      <w:bookmarkStart w:id="704" w:name="Tc_MdD2zd9gikiPp6Pnlq8zQg_7_0"/>
      <w:bookmarkStart w:id="705" w:name="Tc_u4Khz5Ba-k6QPshgLGBTVA_6_9"/>
      <w:bookmarkStart w:id="706" w:name="Tc_6MK9WTnb_kGw0Xs5Q7TZyA_6_6"/>
      <w:bookmarkStart w:id="707" w:name="Tc_zy_Y3KmKwkiqTCJUVo8VXA_6_0"/>
      <w:bookmarkStart w:id="708" w:name="Tc_wqH1jgCirUKuLfJZnQrf2Q_5_11"/>
      <w:bookmarkStart w:id="709" w:name="Tc_WskFBwkMu0SiEBNs9DL1mw_5_9"/>
      <w:bookmarkStart w:id="710" w:name="Tc_kGa_Izzu5EC729Lvjrt_8w_5_8"/>
      <w:bookmarkStart w:id="711" w:name="Tc_0NH6vCnMiUKDdMDZtpbELQ_5_6"/>
      <w:bookmarkStart w:id="712" w:name="Tc_8jIU7wakI0OLpDXLOapNbQ_5_5"/>
      <w:bookmarkStart w:id="713" w:name="Tc_-q7ba5LOKU-E5W7AbMuzIQ_5_2"/>
      <w:bookmarkStart w:id="714" w:name="Tc_fiAP1H-H-kupoOMwPjFPIw_5_0"/>
      <w:bookmarkStart w:id="715" w:name="Tc_lSTCkEzHt0G3L1mUJhuqqA_4_0"/>
      <w:bookmarkStart w:id="716" w:name="Tc_ZvVqkLIQTEyKoxVZ0WE_lg_3_11"/>
      <w:bookmarkStart w:id="717" w:name="Tc_hb7r3Augl0yCbumKPFDUWg_3_8"/>
      <w:bookmarkStart w:id="718" w:name="Tc_1S8_y8pIUEuIpexqtyhjmA_3_5"/>
      <w:bookmarkStart w:id="719" w:name="Tc_X0oIuKHiukatNbNx0qUx5A_3_2"/>
      <w:bookmarkStart w:id="720" w:name="Tc_2VPRL1IHt0GqqFaJ4e6hjA_2_11"/>
      <w:bookmarkStart w:id="721" w:name="Tc_fORdQQFO_k-c19nlT_Dh5A_2_8"/>
      <w:bookmarkStart w:id="722" w:name="Tc_IDoa3a_iMkWOZxVifQiNow_2_5"/>
      <w:bookmarkStart w:id="723" w:name="Tc_MMcKbnirUEOTu5v7aG0WOg_2_2"/>
      <w:bookmarkStart w:id="724" w:name="Tc_JA5HUdfau0yRBbadGbB_Dw_1_2"/>
      <w:bookmarkStart w:id="725" w:name="_6b1ddb5a_c602_4cf1_9677_93f5662f4414"/>
      <w:bookmarkStart w:id="726" w:name="Tc_BH-dOa5AAkCs-JqE_h-zTg_12_11"/>
      <w:bookmarkStart w:id="727" w:name="Tc_flWAZOAhGkW99YTh3co12Q_12_9"/>
      <w:bookmarkStart w:id="728" w:name="Tc_kfXIuEOVR0-Kz6rDumw4hQ_12_8"/>
      <w:bookmarkStart w:id="729" w:name="Tc_UzBfe1IAHkiwdf1vjTerLQ_12_5"/>
      <w:bookmarkStart w:id="730" w:name="Tc_6uAcuVRV9Eqc7bwE_U3NpA_12_2"/>
      <w:bookmarkStart w:id="731" w:name="Tc_aSvafAoTsEOhlK-P3HpMDA_12_0"/>
      <w:bookmarkStart w:id="732" w:name="Tc_j-3Np1TTWkC64W9SNw1kVQ_11_11"/>
      <w:bookmarkStart w:id="733" w:name="Tc_3iacTKqKkkK8O6i6Q1SmKw_11_9"/>
      <w:bookmarkStart w:id="734" w:name="Tc_-qzS7_s9BUyaPRK4PXy-JQ_11_8"/>
      <w:bookmarkStart w:id="735" w:name="Tc_SDESrli9uEau-S1txfkciQ_11_5"/>
      <w:bookmarkStart w:id="736" w:name="Tc_NgkK-KMdMkSTddSTYtjG2w_11_2"/>
      <w:bookmarkStart w:id="737" w:name="Tc_nSsUOe5SV0eqYAHnEKv4UA_11_0"/>
      <w:bookmarkStart w:id="738" w:name="Tc_3w2NTDvdQEiHEchbj1NGSw_10_0"/>
      <w:bookmarkStart w:id="739" w:name="Tc_l9bJsmBzYUyby8H6psLE_Q_9_11"/>
      <w:bookmarkStart w:id="740" w:name="Tc_-P7noW5l3kqYuT4Tw3Sljw_9_9"/>
      <w:bookmarkStart w:id="741" w:name="Tc_ACZ_pWjj4UqvPYN4U1mlAg_9_8"/>
      <w:bookmarkStart w:id="742" w:name="Tc_gHtnhP3yFkCEGTAuTdhHPA_9_5"/>
      <w:bookmarkStart w:id="743" w:name="Tc_GJrjBQVgFESRWRzEZZCzYA_9_2"/>
      <w:bookmarkStart w:id="744" w:name="Tc_lcQ0oBDbhEWnVCw77zNuTA_9_0"/>
      <w:bookmarkStart w:id="745" w:name="Tc_wONr3OUiNUGArsZTrRWT1Q_8_11"/>
      <w:bookmarkStart w:id="746" w:name="Tc_0j6Hu3vgY0-bRRYljLpSSA_8_9"/>
      <w:bookmarkStart w:id="747" w:name="Tc_y00Khr4L9UqWuYOiMfdxSQ_8_8"/>
      <w:bookmarkStart w:id="748" w:name="Tc_PANmw742jke0c6C1d2mpgA_8_5"/>
      <w:bookmarkStart w:id="749" w:name="Tc_MJzOrVVyNkuQ8Eypxt8zRQ_8_2"/>
      <w:bookmarkStart w:id="750" w:name="Tc_EiXeWbG6MkON8uGqt7u93A_8_0"/>
      <w:bookmarkStart w:id="751" w:name="Tc_xbWrdpwNEE6GJpoQBk3Gwg_7_0"/>
      <w:bookmarkStart w:id="752" w:name="Tc_SDjr-mo9N0mVpmzb5-_cpA_6_11"/>
      <w:bookmarkStart w:id="753" w:name="Tc_DChPqwyEG0ah5kIsWa5vCQ_6_9"/>
      <w:bookmarkStart w:id="754" w:name="Tc_h7A_wNu08E2p_XoOwivdAQ_6_8"/>
      <w:bookmarkStart w:id="755" w:name="Tc_tIBwEOs4okC3-uSFvVrW8g_6_6"/>
      <w:bookmarkStart w:id="756" w:name="Tc_czd3EqAW5E-FbvOwp4aKRA_6_5"/>
      <w:bookmarkStart w:id="757" w:name="Tc_1qfNb6T7D0uciSpr-xJfFQ_6_2"/>
      <w:bookmarkStart w:id="758" w:name="Tc_Vc_UOZ6GRU2TMuRIBTHJmw_6_0"/>
      <w:bookmarkStart w:id="759" w:name="Tc_7GHB1B2d0USF48pHn_uYOA_5_11"/>
      <w:bookmarkStart w:id="760" w:name="Tc_m7cDLxCO80Cov2zN3UJOHg_5_9"/>
      <w:bookmarkStart w:id="761" w:name="Tc_76IiFL6cDESLVJA1nmm8vA_5_8"/>
      <w:bookmarkStart w:id="762" w:name="Tc_c5fHz8NHN0uZ0wAytg8-tw_5_6"/>
      <w:bookmarkStart w:id="763" w:name="Tc_7IjRPUm6bkGUof_usRtuzQ_5_5"/>
      <w:bookmarkStart w:id="764" w:name="Tc_aPKAqdtlMkOeePlbqGG7nw_5_2"/>
      <w:bookmarkStart w:id="765" w:name="Tc_iGXXMpxgxUySt0eUNjvYNQ_5_0"/>
      <w:bookmarkStart w:id="766" w:name="Tc_hi1LOgIC5k2E4rSHzuTEnw_4_0"/>
      <w:bookmarkStart w:id="767" w:name="Tc_orihPRRIyEuKjb97f12jZA_3_11"/>
      <w:bookmarkStart w:id="768" w:name="Tc_5KpdQg-Gu0mGMPvPYt_R6w_3_8"/>
      <w:bookmarkStart w:id="769" w:name="Tc_TfVNjm-0CEuC7XpZhXCUpQ_3_5"/>
      <w:bookmarkStart w:id="770" w:name="Tc_5gkctWjqP0aCPY9ognZgug_3_2"/>
      <w:bookmarkStart w:id="771" w:name="Tc_NYV34ZmdaUesUy-zpT4L3g_2_11"/>
      <w:bookmarkStart w:id="772" w:name="Tc_IJKM_4HqNUC5fBkFZ48GsQ_2_8"/>
      <w:bookmarkStart w:id="773" w:name="Tc_OXGASfhBLUeWEqWksgB6xw_2_5"/>
      <w:bookmarkStart w:id="774" w:name="Tc_sfKXgHebX0aLuzOQNgNt5A_2_2"/>
      <w:bookmarkStart w:id="775" w:name="Tc_jFTCJ2e6zEKJ4apf1Raj8g_1_2"/>
      <w:bookmarkStart w:id="776" w:name="_55889cd7_0ad7_45f0_b58a_df85feb0fa5c"/>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rPr>
          <w:rFonts w:ascii="Times New Roman;Times;serif" w:hAnsi="Times New Roman;Times;serif"/>
          <w:b/>
          <w:sz w:val="20"/>
        </w:rPr>
        <w:t>(3) Investments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All investments in fixed income securities are classified as cash equivalents or available-for-sale in the consolidated balance sheets based on the underlying maturity date of each investment. Fixed income securities are recorded at their estimated fair value. The amortized cost, gross unrealized holding gains and losses included in other comprehensive income (loss) and the fair value of the fixed income securities as of December 31, 2025 and December 31, 2024, respectively, are presented in the tables below (in thousands):</w:t>
      </w:r>
    </w:p>
    <w:p>
      <w:pPr>
        <w:pStyle w:val="TextBody"/>
        <w:bidi w:val="0"/>
        <w:spacing w:before="0" w:after="240"/>
        <w:ind w:left="0" w:right="0" w:firstLine="540"/>
        <w:jc w:val="both"/>
        <w:rPr/>
      </w:pPr>
      <w:r>
        <w:rPr/>
        <w:t>​</w:t>
      </w:r>
    </w:p>
    <w:tbl>
      <w:tblPr>
        <w:tblW w:w="9000" w:type="dxa"/>
        <w:jc w:val="left"/>
        <w:tblInd w:w="0" w:type="dxa"/>
        <w:tblLayout w:type="fixed"/>
        <w:tblCellMar>
          <w:top w:w="0" w:type="dxa"/>
          <w:left w:w="0" w:type="dxa"/>
          <w:bottom w:w="0" w:type="dxa"/>
          <w:right w:w="0" w:type="dxa"/>
        </w:tblCellMar>
      </w:tblPr>
      <w:tblGrid>
        <w:gridCol w:w="3706"/>
        <w:gridCol w:w="346"/>
        <w:gridCol w:w="211"/>
        <w:gridCol w:w="781"/>
        <w:gridCol w:w="346"/>
        <w:gridCol w:w="295"/>
        <w:gridCol w:w="591"/>
        <w:gridCol w:w="346"/>
        <w:gridCol w:w="335"/>
        <w:gridCol w:w="551"/>
        <w:gridCol w:w="346"/>
        <w:gridCol w:w="211"/>
        <w:gridCol w:w="781"/>
        <w:gridCol w:w="154"/>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935" cy="175260"/>
                      <wp:effectExtent l="0" t="0" r="0" b="0"/>
                      <wp:wrapNone/>
                      <wp:docPr id="61" name="Frame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87325" cy="175260"/>
                      <wp:effectExtent l="0" t="0" r="0" b="0"/>
                      <wp:wrapNone/>
                      <wp:docPr id="63" name="Frame6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75285" cy="175260"/>
                      <wp:effectExtent l="0" t="0" r="0" b="0"/>
                      <wp:wrapNone/>
                      <wp:docPr id="64" name="Frame64"/>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2725" cy="175260"/>
                      <wp:effectExtent l="0" t="0" r="0" b="0"/>
                      <wp:wrapNone/>
                      <wp:docPr id="66" name="Frame6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49885" cy="175260"/>
                      <wp:effectExtent l="0" t="0" r="0" b="0"/>
                      <wp:wrapNone/>
                      <wp:docPr id="67" name="Frame6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70" name="Frame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97790" cy="175260"/>
                      <wp:effectExtent l="0" t="0" r="0" b="0"/>
                      <wp:wrapNone/>
                      <wp:docPr id="71" name="Frame7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397,908</w:t>
            </w:r>
          </w:p>
        </w:tc>
        <w:tc>
          <w:tcPr>
            <w:tcW w:w="34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397,908</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146,073</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146,073</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8891" w:type="dxa"/>
        <w:jc w:val="left"/>
        <w:tblInd w:w="0" w:type="dxa"/>
        <w:tblLayout w:type="fixed"/>
        <w:tblCellMar>
          <w:top w:w="0" w:type="dxa"/>
          <w:left w:w="0" w:type="dxa"/>
          <w:bottom w:w="0" w:type="dxa"/>
          <w:right w:w="0" w:type="dxa"/>
        </w:tblCellMar>
      </w:tblPr>
      <w:tblGrid>
        <w:gridCol w:w="3706"/>
        <w:gridCol w:w="346"/>
        <w:gridCol w:w="211"/>
        <w:gridCol w:w="781"/>
        <w:gridCol w:w="346"/>
        <w:gridCol w:w="335"/>
        <w:gridCol w:w="551"/>
        <w:gridCol w:w="346"/>
        <w:gridCol w:w="335"/>
        <w:gridCol w:w="551"/>
        <w:gridCol w:w="346"/>
        <w:gridCol w:w="211"/>
        <w:gridCol w:w="826"/>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4" name="Frame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2725" cy="175260"/>
                      <wp:effectExtent l="0" t="0" r="0" b="0"/>
                      <wp:wrapNone/>
                      <wp:docPr id="76" name="Frame7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49885" cy="175260"/>
                      <wp:effectExtent l="0" t="0" r="0" b="0"/>
                      <wp:wrapNone/>
                      <wp:docPr id="77" name="Frame7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2725" cy="175260"/>
                      <wp:effectExtent l="0" t="0" r="0" b="0"/>
                      <wp:wrapNone/>
                      <wp:docPr id="79" name="Frame7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49885" cy="175260"/>
                      <wp:effectExtent l="0" t="0" r="0" b="0"/>
                      <wp:wrapNone/>
                      <wp:docPr id="80" name="Frame8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24510" cy="175260"/>
                      <wp:effectExtent l="0" t="0" r="0" b="0"/>
                      <wp:wrapNone/>
                      <wp:docPr id="83" name="Frame8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3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54,641</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25,068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Company invests in highly rated investment grade debt securities. As of December 31, 2025, all of the Company’s available-for-sale securities have final maturities of one year or less, except for four U.S. treasury securities classified as long-term with final maturities extending through May 15, 2027.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The Company additionally evaluates whether the decline in fair value of the securities below their amortized cost basis is related to credit losses or other factors.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None of the Company’s available-for-sale securities were in an unrealized loss position as of December 31, 2025. With respect to its available-for-sale securities in an unrealized loss position as of December 31, 2024, the Company determined that it would not need to sell any of them prior to recovery of the amortized cost basis. The Company also determined that the unrealized losses for its available-for-sale securities as of December 31, 2024 were primarily attributable to changes in interest rates and non-credit-related factors. Accordingly, the Company determined that none of the unrealized losses were other-than-temporary, and that recognition of an impairment charge was not required as of December 31, 2024. No available-for-sale securities were sold during the years ended December 31, 2025 or December 31, 2024.</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4 for additional information regarding the fair value of the Company’s investments.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bookmarkStart w:id="777" w:name="Tc_LN0gzvnuL0W8qa_lGDtd4Q_16_8"/>
      <w:bookmarkStart w:id="778" w:name="Tc_pQ25ZdznrkGHYB755nHq3w_16_6"/>
      <w:bookmarkStart w:id="779" w:name="Tc_Ra2jBN3UnEud-Eud0z8f_w_16_5"/>
      <w:bookmarkStart w:id="780" w:name="Tc_sV6Pfa8TAkmSVOaZTLh8cA_16_2"/>
      <w:bookmarkStart w:id="781" w:name="Tc_UZEiCG0tsEm72dOpBcmRug_16_0"/>
      <w:bookmarkStart w:id="782" w:name="Tc_hPFUDLF-FESGP4mmwiNYrA_15_6"/>
      <w:bookmarkStart w:id="783" w:name="Tc_-U-cUCIK60ihYMwB8isDcA_15_3"/>
      <w:bookmarkStart w:id="784" w:name="Tc_vIvb1yjSKkuSj6pWOYQ4fg_15_0"/>
      <w:bookmarkStart w:id="785" w:name="Tc_NF7yl1BBLU6zPIXC-JnXVg_14_6"/>
      <w:bookmarkStart w:id="786" w:name="Tc_GsHLtBULW0qvG5KKY_hOow_14_3"/>
      <w:bookmarkStart w:id="787" w:name="Tc_wBLuOjPmlky4c4W1Ax5G1A_14_0"/>
      <w:bookmarkStart w:id="788" w:name="Tc_QQrMSg-f40q1gvjyypmCoA_13_9"/>
      <w:bookmarkStart w:id="789" w:name="Tc_evu7auZlAkWWQyJ0gnHWrQ_13_8"/>
      <w:bookmarkStart w:id="790" w:name="Tc_PWEBkWJmF0-NlmHEczBXZw_13_6"/>
      <w:bookmarkStart w:id="791" w:name="Tc_GnrFPrTepEajUK9ZqBHE0A_13_5"/>
      <w:bookmarkStart w:id="792" w:name="Tc_by04txOQy0SBpeKSrYAAfA_13_2"/>
      <w:bookmarkStart w:id="793" w:name="Tc_aeY8OcuK3kSqxHNh9uA10w_13_0"/>
      <w:bookmarkStart w:id="794" w:name="Tc_76jsEfVffkGHXFoGR9psaQ_12_0"/>
      <w:bookmarkStart w:id="795" w:name="Tc_EO9NpoxOkEyKZuXWEAb9gQ_11_9"/>
      <w:bookmarkStart w:id="796" w:name="Tc_xBnf8BYh0UuPf68ZJnsFDA_11_8"/>
      <w:bookmarkStart w:id="797" w:name="Tc_hYG5KN_UPkaDyR1VNTAMtg_11_5"/>
      <w:bookmarkStart w:id="798" w:name="Tc_l0jDLcFKZU-xDWk7XmC-cQ_11_2"/>
      <w:bookmarkStart w:id="799" w:name="Tc_sOf0noTYckWwVTVH2VVZVw_11_0"/>
      <w:bookmarkStart w:id="800" w:name="Tc_TbDJHkuPd0OQXnyY-iYUNA_10_9"/>
      <w:bookmarkStart w:id="801" w:name="Tc_IXWSaRZynEyu9QBhOW8x0A_10_3"/>
      <w:bookmarkStart w:id="802" w:name="Tc_1-gJpNWpDEquhcNEfNq47w_10_0"/>
      <w:bookmarkStart w:id="803" w:name="Tc_odNMwHBBgU-fqZ8MeZHUTQ_9_0"/>
      <w:bookmarkStart w:id="804" w:name="Tc_8z84RYBtD0GlHZYGnUumxA_8_9"/>
      <w:bookmarkStart w:id="805" w:name="Tc_p6rQ9Rmkr0mQyuBceIp47A_8_3"/>
      <w:bookmarkStart w:id="806" w:name="Tc_X_QCzl2LR0-RFA71E3uIwQ_8_0"/>
      <w:bookmarkStart w:id="807" w:name="Tc_xEWOTk0jT0e7_4uI_rilWg_7_0"/>
      <w:bookmarkStart w:id="808" w:name="Tc_YyNsu8aT0kioLS_98qJ2rQ_6_9"/>
      <w:bookmarkStart w:id="809" w:name="Tc_wzrfIsoN_UijomiZfNa9-Q_6_3"/>
      <w:bookmarkStart w:id="810" w:name="Tc_Jkiveuds1EW-loZdpvSFgQ_6_0"/>
      <w:bookmarkStart w:id="811" w:name="Tc_aQwR7drqc0Wz3tc9Ql6aZw_5_9"/>
      <w:bookmarkStart w:id="812" w:name="Tc__FTSsv7yh0eBYtwSsBNsng_5_8"/>
      <w:bookmarkStart w:id="813" w:name="Tc_4sqXFVOPmUCroYwVr_OLIw_5_6"/>
      <w:bookmarkStart w:id="814" w:name="Tc_qV_4I6I9wk6nSkKdqZslpQ_5_5"/>
      <w:bookmarkStart w:id="815" w:name="Tc_cWf3o8TCVkilxdZEwRfTkg_5_2"/>
      <w:bookmarkStart w:id="816" w:name="Tc_QCiQbIysDUeaLNWs9oFfhA_5_0"/>
      <w:bookmarkStart w:id="817" w:name="Tc_bZjjQfk2rESkEzW5VMt_uQ_4_0"/>
      <w:bookmarkStart w:id="818" w:name="Tc_bvBzvgfn50KqIz4YBmrsLA_3_0"/>
      <w:bookmarkStart w:id="819" w:name="Tc_YGz8LjeSa0yZZKODkFK_RQ_2_8"/>
      <w:bookmarkStart w:id="820" w:name="Tc_OadT4CVUFkWkakkLKfRU_w_2_5"/>
      <w:bookmarkStart w:id="821" w:name="Tc_P-X-qMDknEOM0yXzxq4v1Q_2_2"/>
      <w:bookmarkStart w:id="822" w:name="Tc_fBbCQrUNekqSXYTZr8oXnA_1_2"/>
      <w:bookmarkStart w:id="823" w:name="_89dd92a5_97e2_4b71_a1d5_44d9ef7eb5aa"/>
      <w:bookmarkStart w:id="824" w:name="Tc__iJyqTPj70ahFQ1KHtyamw_14_8"/>
      <w:bookmarkStart w:id="825" w:name="Tc_PTcqFwFs7ki3FV8wnpixnA_14_6"/>
      <w:bookmarkStart w:id="826" w:name="Tc_4W0JxtPapEurDDypmfSPsA_14_5"/>
      <w:bookmarkStart w:id="827" w:name="Tc_o3P4kH80VEm7Qr7Ea1paPA_14_2"/>
      <w:bookmarkStart w:id="828" w:name="Tc_EbdPM3gqW0GaRYOKu3YChw_14_0"/>
      <w:bookmarkStart w:id="829" w:name="Tc_LikID34WtkaJxFo_WAgK4w_13_6"/>
      <w:bookmarkStart w:id="830" w:name="Tc_MX0FMVcfnkOA9zLW-zVVYA_13_3"/>
      <w:bookmarkStart w:id="831" w:name="Tc_5OdjPIknFkyQegSpY4g1Hw_13_0"/>
      <w:bookmarkStart w:id="832" w:name="Tc_7x9_cP5Lik-Dai8pheQaxQ_12_9"/>
      <w:bookmarkStart w:id="833" w:name="Tc_RXNhbLcfYEylvmQdoISV7w_12_8"/>
      <w:bookmarkStart w:id="834" w:name="Tc_PTkuMDTSZECXTGJVrNP3Mw_12_6"/>
      <w:bookmarkStart w:id="835" w:name="Tc_eiY39Ozl3E6kAEiYVbq5Hg_12_5"/>
      <w:bookmarkStart w:id="836" w:name="Tc_PPua7rFvhkiRJ1pRwOH2ug_12_2"/>
      <w:bookmarkStart w:id="837" w:name="Tc_zJs_5gPlAEuNopSCH_h9rw_12_0"/>
      <w:bookmarkStart w:id="838" w:name="Tc_cddwwUHeUUax23J_9sgt8Q_11_0"/>
      <w:bookmarkStart w:id="839" w:name="Tc_jxY08Pr1Hk6tOFkjFLGIsQ_10_9"/>
      <w:bookmarkStart w:id="840" w:name="Tc_XMlwoQCIskKguzcgwqxREA_10_8"/>
      <w:bookmarkStart w:id="841" w:name="Tc_RfNSPjgbIUaea4nmr0NBkA_10_5"/>
      <w:bookmarkStart w:id="842" w:name="Tc_4kHJvOwXVEqHzK817uDIyQ_10_2"/>
      <w:bookmarkStart w:id="843" w:name="Tc_IDzgTRRQqUK8UzPH-0LSIg_10_0"/>
      <w:bookmarkStart w:id="844" w:name="Tc_UvaYmFdebk6ZBuefCuI3Vw_9_9"/>
      <w:bookmarkStart w:id="845" w:name="Tc_R2ApbCpn7kC19xrHUvuYPA_9_3"/>
      <w:bookmarkStart w:id="846" w:name="Tc_7UrlFJe5MkKMDGnGIDeP0w_9_0"/>
      <w:bookmarkStart w:id="847" w:name="Tc_Dlna4Y5rzUucGLH7DIKvjw_8_0"/>
      <w:bookmarkStart w:id="848" w:name="Tc_drq7AVwCKUuk8soLBUYPDg_7_9"/>
      <w:bookmarkStart w:id="849" w:name="Tc_QvOz_a-OxE-BaB3SQygeyw_7_3"/>
      <w:bookmarkStart w:id="850" w:name="Tc_WmB8cBsfRk-vcCUBQB6-jQ_7_0"/>
      <w:bookmarkStart w:id="851" w:name="Tc_WA1DaWE5nUOly1c_mHQrWQ_6_0"/>
      <w:bookmarkStart w:id="852" w:name="Tc_pX7jtV1wykOe-TvzYXL76g_5_9"/>
      <w:bookmarkStart w:id="853" w:name="Tc_5JBNJIhwtUeCL-h3nz1lGA_5_8"/>
      <w:bookmarkStart w:id="854" w:name="Tc_YebFttpu7EKQ4byt6cSvlA_5_6"/>
      <w:bookmarkStart w:id="855" w:name="Tc_VEjypQ-0kk-usFK58wLJFQ_5_5"/>
      <w:bookmarkStart w:id="856" w:name="Tc_xf3izpgz_06UJADen-9Ejg_5_2"/>
      <w:bookmarkStart w:id="857" w:name="Tc_eAC47-LwDUiMGEpyk7dBBg_5_0"/>
      <w:bookmarkStart w:id="858" w:name="Tc_mHBu9Ak0qk2uvXE_OKGupA_4_0"/>
      <w:bookmarkStart w:id="859" w:name="Tc_tjsu2g-rSUCx9K9Aeve3XQ_3_0"/>
      <w:bookmarkStart w:id="860" w:name="Tc_juTU2XS-bUC9jJ9i9ieIrg_2_8"/>
      <w:bookmarkStart w:id="861" w:name="Tc_BzDnVASWcUuWFqpY_MEWuA_2_5"/>
      <w:bookmarkStart w:id="862" w:name="Tc_sisI3bAWb0uMcn7XN4lYog_2_2"/>
      <w:bookmarkStart w:id="863" w:name="Tc_tudqhJnDl0CbuNNIzQMk4Q_1_2"/>
      <w:bookmarkStart w:id="864" w:name="_be4e4021_2632_4f79_aaf7_6cd65893e1c2"/>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Times New Roman;Times;serif" w:hAnsi="Times New Roman;Times;serif"/>
          <w:b/>
          <w:sz w:val="20"/>
        </w:rPr>
        <w:t>(4) Fair Value Measurements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that are measured as of December 31, 2025 and December 31, 2024, respectively (in thousands):</w:t>
      </w:r>
    </w:p>
    <w:tbl>
      <w:tblPr>
        <w:tblW w:w="7777" w:type="dxa"/>
        <w:jc w:val="left"/>
        <w:tblInd w:w="0" w:type="dxa"/>
        <w:tblLayout w:type="fixed"/>
        <w:tblCellMar>
          <w:top w:w="0" w:type="dxa"/>
          <w:left w:w="0" w:type="dxa"/>
          <w:bottom w:w="0" w:type="dxa"/>
          <w:right w:w="0" w:type="dxa"/>
        </w:tblCellMar>
      </w:tblPr>
      <w:tblGrid>
        <w:gridCol w:w="3856"/>
        <w:gridCol w:w="346"/>
        <w:gridCol w:w="211"/>
        <w:gridCol w:w="676"/>
        <w:gridCol w:w="346"/>
        <w:gridCol w:w="211"/>
        <w:gridCol w:w="781"/>
        <w:gridCol w:w="346"/>
        <w:gridCol w:w="211"/>
        <w:gridCol w:w="793"/>
      </w:tblGrid>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29260" cy="175260"/>
                      <wp:effectExtent l="0" t="0" r="0" b="0"/>
                      <wp:wrapNone/>
                      <wp:docPr id="86" name="Frame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03555" cy="175260"/>
                      <wp:effectExtent l="0" t="0" r="0" b="0"/>
                      <wp:wrapNone/>
                      <wp:docPr id="92" name="Frame9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57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398,660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544,981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  ​</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16,751</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16,751</w:t>
            </w:r>
          </w:p>
        </w:tc>
      </w:tr>
    </w:tbl>
    <w:p>
      <w:pPr>
        <w:pStyle w:val="TextBody"/>
        <w:bidi w:val="0"/>
        <w:spacing w:before="0" w:after="240"/>
        <w:ind w:left="0" w:right="0" w:hanging="0"/>
        <w:jc w:val="both"/>
        <w:rPr/>
      </w:pPr>
      <w:r>
        <w:rPr/>
        <w:t>​</w:t>
      </w:r>
    </w:p>
    <w:tbl>
      <w:tblPr>
        <w:tblW w:w="7777" w:type="dxa"/>
        <w:jc w:val="left"/>
        <w:tblInd w:w="0" w:type="dxa"/>
        <w:tblLayout w:type="fixed"/>
        <w:tblCellMar>
          <w:top w:w="0" w:type="dxa"/>
          <w:left w:w="0" w:type="dxa"/>
          <w:bottom w:w="0" w:type="dxa"/>
          <w:right w:w="0" w:type="dxa"/>
        </w:tblCellMar>
      </w:tblPr>
      <w:tblGrid>
        <w:gridCol w:w="3856"/>
        <w:gridCol w:w="346"/>
        <w:gridCol w:w="211"/>
        <w:gridCol w:w="676"/>
        <w:gridCol w:w="346"/>
        <w:gridCol w:w="211"/>
        <w:gridCol w:w="781"/>
        <w:gridCol w:w="346"/>
        <w:gridCol w:w="211"/>
        <w:gridCol w:w="793"/>
      </w:tblGrid>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9260" cy="175260"/>
                      <wp:effectExtent l="0" t="0" r="0" b="0"/>
                      <wp:wrapNone/>
                      <wp:docPr id="95"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03555" cy="175260"/>
                      <wp:effectExtent l="0" t="0" r="0" b="0"/>
                      <wp:wrapNone/>
                      <wp:docPr id="101" name="Frame10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5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68,727</w:t>
            </w:r>
          </w:p>
        </w:tc>
      </w:tr>
    </w:tbl>
    <w:p>
      <w:pPr>
        <w:pStyle w:val="TextBody"/>
        <w:bidi w:val="0"/>
        <w:spacing w:before="0" w:after="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December 31, 2025 and December 31, 2024, the Company has recorded the following financial instruments subject to fair value measurements: 1) Derivative warrant liabilities—Public Warrants and Private Warrants, 2) Money Market Funds, 3) U.S. treasury securities and 4) Earn-out liabilities.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fair value of the Public Warrants and money market funds have been measured based on their observable listed prices, a Level 1 measurement. The fair value of the Company’s Level 2 financial assets are determined by using inputs based on quoted market prices for similar instruments. All other financial instruments are classified as Level 3 instruments as they all include unobservable inputs. The Private Warrants are measured at fair value using a Black Scholes model. The fair value of the Earn-out liabilities as of December 31, 2024 were estimated using a Monte Carlo simulation model. The Company estimated the volatility of its Private Warrants and Earn-out liabilities based on the historical volatility of the Company’s Common Stock.</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As of December 31, 2025 and December 31, 2024, the Company used the historical volatility of its Common Stock for the applicable valuation models because the implied volatility of the Public Warrants was no longer meaningful due to the rapid increase in the price of the Public Warrants during the fourth quarter of 2024. There were no other changes in fair value measurement techniques during the years ended December 31, 2025 or December 31, 2024.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During the year ended December 31, 2025, the vesting conditions for the Sponsor Redemption-Based Vesting Shares and the Promote Sponsor Vesting Shares (collectively the “Sponsor Vesting Shares” as defined in Note 9 below) were satisfied, and the underlying earn-out liabilities (Refer to Note 9 for Earn-out liabilities) were adjusted to fair value using the closing market price of the Company’s Common Stock on their respective vesting dates.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bookmarkStart w:id="865" w:name="Tc_dCA7k2ldsUCgFz5d_pTM_A_13_5"/>
      <w:bookmarkStart w:id="866" w:name="Tc_TaSvlORvXku4UuxepV8-TA_13_2"/>
      <w:bookmarkStart w:id="867" w:name="Tc_ThAhK_I6w0W4Tecgq7B6hg_13_0"/>
      <w:bookmarkStart w:id="868" w:name="Tc_l_K-9X0tPUeJY_iDUr5dNA_12_6"/>
      <w:bookmarkStart w:id="869" w:name="Tc_INmAdW9atEWdpUkPj8JVow_12_0"/>
      <w:bookmarkStart w:id="870" w:name="Tc_6xnIY8bxu0SsVex1z_zBDQ_11_0"/>
      <w:bookmarkStart w:id="871" w:name="Tc_D7vGLWrlGE26q5Bla1hpYw_10_5"/>
      <w:bookmarkStart w:id="872" w:name="Tc_lwJOiZHpPUSP0EUsIL5hVQ_10_2"/>
      <w:bookmarkStart w:id="873" w:name="Tc_yreTBTEuHEiSWryt5tvGew_10_0"/>
      <w:bookmarkStart w:id="874" w:name="Tc_9EtdT1rgZk-PghetOUTK1A_8_6"/>
      <w:bookmarkStart w:id="875" w:name="Tc_LnlhSZRNyUGFFa9MgG1f2A_8_5"/>
      <w:bookmarkStart w:id="876" w:name="Tc_QhZbXUwVWUuspTDwnAftUw_8_2"/>
      <w:bookmarkStart w:id="877" w:name="Tc_iIzqaCZvuE2dCuRRO12B1Q_8_0"/>
      <w:bookmarkStart w:id="878" w:name="Tc_644SohhxNkOt6_Vd9tCUWQ_7_6"/>
      <w:bookmarkStart w:id="879" w:name="Tc_ZTtBFXuirEqGtgT6j3Q2OQ_7_0"/>
      <w:bookmarkStart w:id="880" w:name="Tc_Wy1zcUPrJUCVpv0-Ic4Q9w_6_3"/>
      <w:bookmarkStart w:id="881" w:name="Tc_e8t_HAUiqUqWXw9he566tQ_6_0"/>
      <w:bookmarkStart w:id="882" w:name="Tc_h2KQlTBA4UqFcfkAyrGUZQ_5_0"/>
      <w:bookmarkStart w:id="883" w:name="Tc_A5JCqWAuEUal1IGUhdz8dA_4_5"/>
      <w:bookmarkStart w:id="884" w:name="Tc_BNG99p9UbkyTjG8TtF1g7w_4_2"/>
      <w:bookmarkStart w:id="885" w:name="Tc_GFUBO-YjxE-QSEfMefbtOw_4_0"/>
      <w:bookmarkStart w:id="886" w:name="Tc_pyzWQ54LsEyzWa2hODSKEw_3_5"/>
      <w:bookmarkStart w:id="887" w:name="Tc_sG7JmHpV0EutanI77dz2fQ_3_2"/>
      <w:bookmarkStart w:id="888" w:name="Tc_5gDpkdUKCEWJ2udOYeyCpg_2_5"/>
      <w:bookmarkStart w:id="889" w:name="Tc_Eacb1t4Rl0CaMzxcv6DMYg_2_2"/>
      <w:bookmarkStart w:id="890" w:name="Tc_2EaLlKSLRUaGGa1AL0ELag_1_2"/>
      <w:bookmarkStart w:id="891" w:name="_a8fac5ee_f896_473a_9850_7a2a0832b01a"/>
      <w:bookmarkStart w:id="892" w:name="_46ff3c0c_6b36_4941_877d_8bb7160f3791_3"/>
      <w:bookmarkStart w:id="893" w:name="_46ff3c0c_6b36_4941_877d_8bb7160f3791_2"/>
      <w:bookmarkStart w:id="894" w:name="_46ff3c0c_6b36_4941_877d_8bb7160f3791"/>
      <w:bookmarkStart w:id="895" w:name="_b7ebdb88_2f91_404c_a0b1_6a597b33ca81_3"/>
      <w:bookmarkStart w:id="896" w:name="_b7ebdb88_2f91_404c_a0b1_6a597b33ca81_2"/>
      <w:bookmarkStart w:id="897" w:name="_b7ebdb88_2f91_404c_a0b1_6a597b33ca81"/>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rFonts w:ascii="Times New Roman;Times;serif" w:hAnsi="Times New Roman;Times;serif"/>
          <w:sz w:val="20"/>
        </w:rPr>
        <w:t>The earn-out liability for the Sponsor Redemption-Based Vesting Shares as of their August 14, 2025 vesting date was $10.4 million. The earn-out liability for the Promote Sponsor Vesting Shares as of their February 6, 2025 vesting date was $32.9 million. The earn-out liabilities for the Sponsor Redemption-Based Vesting Shares and the Promote Sponsor Vesting Shares were recorded to additional paid-in capital on their respective vesting dates. As of December 31, 2025, all of the Sponsor Vesting Shares were vested and the earn-out liabilities balance was zero.</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During the years ended December 31, 2025 and December 31, 2024, the number of Private Warrants (a Level 3 measurement) converted to Public Warrants (a Level 1 measurement) were 991,428 and 1,280,732, respectively. As of the date of conversion, the favorable impact of the transfer of the Private Warrants to Public Warrants on the Company’s net loss for the years ended December 31, 2025 and December 31, 2024, was $5.8 million and $2.4 million, respectively.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There were no transfers in or out of Level 3 of the fair value hierarchy during the years ended December 31, 2025 and December 31, 2024, other than conversion of Private Warrants to Public Warrants and the vesting of the Sponsor Vesting Shares as described above.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years ended December 31, 2025, and December 31, 2024, respectively, is as follows (in thousands):</w:t>
      </w:r>
    </w:p>
    <w:tbl>
      <w:tblPr>
        <w:tblW w:w="7431" w:type="dxa"/>
        <w:jc w:val="left"/>
        <w:tblInd w:w="0" w:type="dxa"/>
        <w:tblLayout w:type="fixed"/>
        <w:tblCellMar>
          <w:top w:w="0" w:type="dxa"/>
          <w:left w:w="0" w:type="dxa"/>
          <w:bottom w:w="0" w:type="dxa"/>
          <w:right w:w="0" w:type="dxa"/>
        </w:tblCellMar>
      </w:tblPr>
      <w:tblGrid>
        <w:gridCol w:w="4171"/>
        <w:gridCol w:w="346"/>
        <w:gridCol w:w="337"/>
        <w:gridCol w:w="1179"/>
        <w:gridCol w:w="346"/>
        <w:gridCol w:w="211"/>
        <w:gridCol w:w="841"/>
      </w:tblGrid>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3995" cy="175260"/>
                      <wp:effectExtent l="0" t="0" r="0" b="0"/>
                      <wp:wrapNone/>
                      <wp:docPr id="103" name="Frame10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48665" cy="175260"/>
                      <wp:effectExtent l="0" t="0" r="0" b="0"/>
                      <wp:wrapNone/>
                      <wp:docPr id="104" name="Frame104"/>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34035" cy="175260"/>
                      <wp:effectExtent l="0" t="0" r="0" b="0"/>
                      <wp:wrapNone/>
                      <wp:docPr id="107" name="Frame10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vAlign w:val="center"/>
          </w:tcPr>
          <w:p>
            <w:pPr>
              <w:pStyle w:val="TableContents"/>
              <w:bidi w:val="0"/>
              <w:spacing w:before="0" w:after="1"/>
              <w:ind w:left="0" w:right="0" w:hanging="0"/>
              <w:jc w:val="center"/>
              <w:rPr/>
            </w:pPr>
            <w:r>
              <w:rPr/>
              <w:t>​</w: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46"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during the year</w:t>
            </w:r>
          </w:p>
        </w:tc>
        <w:tc>
          <w:tcPr>
            <w:tcW w:w="34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(2,518)</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Sponsor Vesting Shares</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(43,379)</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Transfer from Private Warrants to Public Warrants </w:t>
            </w:r>
          </w:p>
        </w:tc>
        <w:tc>
          <w:tcPr>
            <w:tcW w:w="34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during the year</w:t>
            </w:r>
          </w:p>
        </w:tc>
        <w:tc>
          <w:tcPr>
            <w:tcW w:w="34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43,742</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Transfer from Private Warrants to Public Warrants </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46"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45,897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540"/>
        <w:jc w:val="both"/>
        <w:rPr/>
      </w:pPr>
      <w:r>
        <w:rPr/>
        <w:t>​</w:t>
      </w:r>
    </w:p>
    <w:p>
      <w:pPr>
        <w:pStyle w:val="TextBody"/>
        <w:bidi w:val="0"/>
        <w:spacing w:before="0" w:after="120"/>
        <w:ind w:left="0" w:right="0" w:hanging="0"/>
        <w:jc w:val="both"/>
        <w:rPr>
          <w:rFonts w:ascii="Times New Roman;Times;serif" w:hAnsi="Times New Roman;Times;serif"/>
          <w:b/>
          <w:sz w:val="20"/>
        </w:rPr>
      </w:pPr>
      <w:bookmarkStart w:id="898" w:name="Tc_9cfX5A-vC0Kj4NafkthiXg_11_5"/>
      <w:bookmarkStart w:id="899" w:name="Tc_JCsdNHC_Zkmv2ezYlHR9Hw_11_2"/>
      <w:bookmarkStart w:id="900" w:name="Tc_VPxYdwEDf0ueY3v6jgAFBQ_11_0"/>
      <w:bookmarkStart w:id="901" w:name="Tc_7fF_z6AbZEux5l81dKzAAA_10_0"/>
      <w:bookmarkStart w:id="902" w:name="Tc_nHe4rMor6UuFQLzi0ZZlvA_9_0"/>
      <w:bookmarkStart w:id="903" w:name="Tc_5vsa1UFOVEiGgy1v37rc8g_8_0"/>
      <w:bookmarkStart w:id="904" w:name="Tc_KDCulnfWu0maeHE0mkkPnQ_7_0"/>
      <w:bookmarkStart w:id="905" w:name="Tc_V-7kA1PPXEyE-9tXfZ-StQ_6_0"/>
      <w:bookmarkStart w:id="906" w:name="Tc_8cX9zZEObkWb_GqbTfr0ww_5_0"/>
      <w:bookmarkStart w:id="907" w:name="Tc_VAndrPXbHEyj2U2S0-NfNA_4_0"/>
      <w:bookmarkStart w:id="908" w:name="Tc_auJXinj-yk6HFmnITRfzYg_3_5"/>
      <w:bookmarkStart w:id="909" w:name="Tc_Y04OdmLTv0i5R9SzDYwx8A_3_2"/>
      <w:bookmarkStart w:id="910" w:name="Tc_SccinHt5PEuWQCr-Zrv_AQ_3_0"/>
      <w:bookmarkStart w:id="911" w:name="Tc_0LWabO9EUk6t7Z2mFMLaDw_2_5"/>
      <w:bookmarkStart w:id="912" w:name="Tc_9AonNfvu3kSoXiNwLrPjOw_2_2"/>
      <w:bookmarkStart w:id="913" w:name="Tc_qmZKBksV7ky2O5tJHxpL9A_1_5"/>
      <w:bookmarkStart w:id="914" w:name="Tc_MYze4H93_ECGF6HKLycUiA_1_2"/>
      <w:bookmarkStart w:id="915" w:name="_0c396079_1dab_476b_b9db_8176c00b836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rFonts w:ascii="Times New Roman;Times;serif" w:hAnsi="Times New Roman;Times;serif"/>
          <w:b/>
          <w:sz w:val="20"/>
        </w:rPr>
        <w:t>(5) Property and Equipment, Net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Property and equipment as of December 31, 2025 and December 31, 2024 are composed of the following (in thousands):</w:t>
      </w:r>
    </w:p>
    <w:tbl>
      <w:tblPr>
        <w:tblW w:w="7173" w:type="dxa"/>
        <w:jc w:val="left"/>
        <w:tblInd w:w="0" w:type="dxa"/>
        <w:tblLayout w:type="fixed"/>
        <w:tblCellMar>
          <w:top w:w="0" w:type="dxa"/>
          <w:left w:w="0" w:type="dxa"/>
          <w:bottom w:w="0" w:type="dxa"/>
          <w:right w:w="0" w:type="dxa"/>
        </w:tblCellMar>
      </w:tblPr>
      <w:tblGrid>
        <w:gridCol w:w="4156"/>
        <w:gridCol w:w="346"/>
        <w:gridCol w:w="242"/>
        <w:gridCol w:w="898"/>
        <w:gridCol w:w="346"/>
        <w:gridCol w:w="248"/>
        <w:gridCol w:w="937"/>
      </w:tblGrid>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3670" cy="175260"/>
                      <wp:effectExtent l="0" t="0" r="0" b="0"/>
                      <wp:wrapNone/>
                      <wp:docPr id="109" name="Frame10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7480" cy="175260"/>
                      <wp:effectExtent l="0" t="0" r="0" b="0"/>
                      <wp:wrapNone/>
                      <wp:docPr id="111" name="Frame11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4995" cy="175260"/>
                      <wp:effectExtent l="0" t="0" r="0" b="0"/>
                      <wp:wrapNone/>
                      <wp:docPr id="112" name="Frame112"/>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Quantum computing fridges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58,963</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Process equipment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28,404</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27,233</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8,868</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Hardware</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3,558</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other assets</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105,459</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84,952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(48,408)</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(40,309)</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 net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57,051</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44,643</w:t>
            </w:r>
          </w:p>
        </w:tc>
      </w:tr>
    </w:tbl>
    <w:p>
      <w:pPr>
        <w:pStyle w:val="TextBody"/>
        <w:bidi w:val="0"/>
        <w:spacing w:before="0" w:after="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December 31, 2025 and December 31, 2024, 98.33% and 98.79%, respectively, of the total gross property and equipment was located in the United States, and 1.67% and 1.21%, respectively, of the total gross property and equipment was located in the United Kingdom. Total depreciation and amortization expense for the years ended December 31, 2025, and December 31, 2024 was $8.1 million and $6.9 million, respectively</w:t>
      </w:r>
      <w:r>
        <w:rPr>
          <w:rFonts w:ascii="Times-Roman" w:hAnsi="Times-Roman"/>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bookmarkStart w:id="916" w:name="Tc_7QMLM8IzXUWCk-bTnuLmyA_10_5"/>
      <w:bookmarkStart w:id="917" w:name="Tc_8vO1dCv3VE6jxfuyulGCOg_10_2"/>
      <w:bookmarkStart w:id="918" w:name="Tc_0SbdJ0n7u0WlLlTbM9jo6Q_9_0"/>
      <w:bookmarkStart w:id="919" w:name="Tc_cK_BnENTQkmIH0xWs-1CMw_8_0"/>
      <w:bookmarkStart w:id="920" w:name="Tc_zIkAavlNDE2yhXTIDBgfjw_7_0"/>
      <w:bookmarkStart w:id="921" w:name="Tc_kDYEP_457ECMGE_qQInoyw_6_0"/>
      <w:bookmarkStart w:id="922" w:name="Tc_eJ1PGcb2gEa0uG5Fl28vTQ_5_0"/>
      <w:bookmarkStart w:id="923" w:name="Tc_Rk1ae0RDx0OMzhwM9lXiEg_4_0"/>
      <w:bookmarkStart w:id="924" w:name="Tc_BILpgfhGNEONO5ERaKLMjw_3_5"/>
      <w:bookmarkStart w:id="925" w:name="Tc_8cGmFpxhcU-5uMNzgGFv_g_3_2"/>
      <w:bookmarkStart w:id="926" w:name="Tc_W1lm1ccVX0m716G9LF1WSQ_3_0"/>
      <w:bookmarkStart w:id="927" w:name="Tc_gH-LsSQSBUyA2QjUL9VAzg_2_5"/>
      <w:bookmarkStart w:id="928" w:name="Tc_6lda616UykGlHJpv9OQMsA_2_2"/>
      <w:bookmarkStart w:id="929" w:name="Tc_odORtoxprUqcXaojP3R4Zw_1_5"/>
      <w:bookmarkStart w:id="930" w:name="Tc_iQ_X9_92QUClb-sxF9nhhg_1_2"/>
      <w:bookmarkStart w:id="931" w:name="_3a164110_a2cb_42ab_b267_c187e0e5793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Pr>
          <w:rFonts w:ascii="Times New Roman;Times;serif" w:hAnsi="Times New Roman;Times;serif"/>
          <w:b/>
          <w:sz w:val="20"/>
        </w:rPr>
        <w:t>(6) Accrued Expenses and Other Current Liabilities</w:t>
      </w:r>
    </w:p>
    <w:p>
      <w:pPr>
        <w:pStyle w:val="TextBody"/>
        <w:bidi w:val="0"/>
        <w:spacing w:before="0" w:after="120"/>
        <w:ind w:left="0" w:right="0" w:firstLine="540"/>
        <w:jc w:val="left"/>
        <w:rPr>
          <w:rFonts w:ascii="Times New Roman;Times;serif" w:hAnsi="Times New Roman;Times;serif"/>
          <w:sz w:val="20"/>
        </w:rPr>
      </w:pPr>
      <w:r>
        <w:rPr>
          <w:rFonts w:ascii="Times New Roman;Times;serif" w:hAnsi="Times New Roman;Times;serif"/>
          <w:sz w:val="20"/>
        </w:rPr>
        <w:t>Accrued expenses and other current liabilities consist of the following (in thousands):</w:t>
      </w:r>
    </w:p>
    <w:tbl>
      <w:tblPr>
        <w:tblW w:w="5838" w:type="dxa"/>
        <w:jc w:val="left"/>
        <w:tblInd w:w="0" w:type="dxa"/>
        <w:tblLayout w:type="fixed"/>
        <w:tblCellMar>
          <w:top w:w="0" w:type="dxa"/>
          <w:left w:w="0" w:type="dxa"/>
          <w:bottom w:w="0" w:type="dxa"/>
          <w:right w:w="0" w:type="dxa"/>
        </w:tblCellMar>
      </w:tblPr>
      <w:tblGrid>
        <w:gridCol w:w="2866"/>
        <w:gridCol w:w="346"/>
        <w:gridCol w:w="294"/>
        <w:gridCol w:w="801"/>
        <w:gridCol w:w="346"/>
        <w:gridCol w:w="278"/>
        <w:gridCol w:w="907"/>
      </w:tblGrid>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6690" cy="175260"/>
                      <wp:effectExtent l="0" t="0" r="0" b="0"/>
                      <wp:wrapNone/>
                      <wp:docPr id="114" name="Frame11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8635" cy="175260"/>
                      <wp:effectExtent l="0" t="0" r="0" b="0"/>
                      <wp:wrapNone/>
                      <wp:docPr id="115" name="Frame11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6530" cy="175260"/>
                      <wp:effectExtent l="0" t="0" r="0" b="0"/>
                      <wp:wrapNone/>
                      <wp:docPr id="117" name="Frame11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75945" cy="175260"/>
                      <wp:effectExtent l="0" t="0" r="0" b="0"/>
                      <wp:wrapNone/>
                      <wp:docPr id="118" name="Frame118"/>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2,458</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and other payroll costs</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subscription fees</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Subcontractor cost</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other taxes</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5,582</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8,005</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val="false"/>
          <w:sz w:val="20"/>
        </w:rPr>
        <w:t>(</w:t>
      </w:r>
      <w:r>
        <w:rPr>
          <w:rFonts w:ascii="Times New Roman;Times;serif" w:hAnsi="Times New Roman;Times;serif"/>
          <w:b/>
          <w:sz w:val="20"/>
        </w:rPr>
        <w:t>7)  Financing Arrangements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June 21, 2024, (the “Amendment Date”), the Company entered into the Amended and Restated Loan and Security Agreement (the “Amended Loan Agreement”), by and between Trinity Capital Inc., as lender, and Rigetti &amp; Co, LLC and Rigetti Intermediate LLC, as borrowers, which amended and restated in its entirety the Company’s existing loan and security agreement, dated as of March 10, 2021 (as amended from time to time, the “Existing Loan Agreement”). The outstanding principal balance of the terms loans as of the Amendment Date was $16.2 million, and the economic terms and cash flows of the outstanding term loans remained unchanged under the Amended Loan Agreement. Each term loan was to be amortized in equal monthly installments through 48 months following the disbursement date of each term loan, with interest at a rate equal to the greater of 11% or the US </w:t>
      </w:r>
      <w:r>
        <w:rPr>
          <w:rFonts w:ascii="Times New Roman;Times;serif" w:hAnsi="Times New Roman;Times;serif"/>
          <w:b w:val="false"/>
          <w:i w:val="false"/>
          <w:caps w:val="false"/>
          <w:smallCaps w:val="false"/>
          <w:sz w:val="20"/>
        </w:rPr>
        <w:t>Prime Rate </w:t>
      </w:r>
      <w:r>
        <w:rPr>
          <w:rFonts w:ascii="Times New Roman;Times;serif" w:hAnsi="Times New Roman;Times;serif"/>
          <w:sz w:val="20"/>
        </w:rPr>
        <w:t xml:space="preserve">plus 7.50% per annum, payable monthly. </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had the right to prepay the outstanding term loans, in whole or in part, subject to a prepayment premium that remained unchanged from the Existing Loan Agreement. In addition, the Company was required to pay on the respective maturity dates, or the date of an earlier prepayment, a final payment fee equal to 2.75% of the aggregate original principal amount of the term loans, which remained consistent with the Existing Loan Agreement. The final payment fees were being accreted and amortized into interest expense using the effective interest rate method over the terms of the loans.</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December 9, 2024, the Company prepaid in full all amounts owed under the Amended Loan Agreement. The Company prepaid an aggregate of $9.5 million in outstanding principal balance, final payment fees of $0.9 million, plus accrued interest and a prepayment premium aggregating $0.1 million. During the year ended December 31, 2024, the Company recorded a $0.4 million loss on the prepayment and extinguishment of the outstanding principal balance owed under the Amended Loan Agreement.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year ended December 31, 2024, the Company recorded interest expense of $3.3 million, which includes accretion of final payment fees, amortization of the underlying commitment fee and amortization of debt issuance costs totaling $0.8 million. The effective interest rate for all tranches of the debt was approximately 23.1% as of December 31, 2024. </w:t>
      </w:r>
    </w:p>
    <w:p>
      <w:pPr>
        <w:pStyle w:val="TextBody"/>
        <w:shd w:fill="FFFFFF" w:val="clear"/>
        <w:bidi w:val="0"/>
        <w:spacing w:before="0" w:after="0"/>
        <w:ind w:left="0" w:right="0" w:firstLine="547"/>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val="false"/>
          <w:sz w:val="20"/>
        </w:rPr>
        <w:t>(</w:t>
      </w:r>
      <w:r>
        <w:rPr>
          <w:rFonts w:ascii="Times New Roman;Times;serif" w:hAnsi="Times New Roman;Times;serif"/>
          <w:b/>
          <w:sz w:val="20"/>
        </w:rPr>
        <w:t>8) Warrants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Each whole Public Warrant and Private Warrant entitles the holder to purchase one share of Common Stock at a price of $11.50 per whole share, subject to adjustment as discussed below. Pursuant to the warrant agreement, a warrant holder may exercise its warrants only for a whole number of shares of Common Stock. The warrants will expire on March 2, 2027 at 5:00 p.m., New York City time, or earlier upon redemption or liquidation.</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$18.00, the Company may redeem the outstanding warrants in whole and not in part, at a price of $0.01 per warrant as follows (except as described herein with respect to the Private Warrants):</w:t>
      </w:r>
    </w:p>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shares of the Company’s Common Stock equals or exceeds $18.00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If the foregoing conditions are satisfied and the Company issues a notice of redemption of the warrants, each warrant holder will be entitled to exercise its warrant prior to the scheduled redemption date. Any such exercise would not be done on a “cashless” basis and would require the exercising warrant holder to pay the exercise price in cash for each warrant being exercised. The price of the shares of the Company’s Common Stock may fall below the $18.00 redemption trigger price as well as the $11.50 warrant exercise price after the redemption notice is issued.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$10.00, the Company may redeem the outstanding warrants in whole and not in part, at a price of $0.10 per warrant as follows (except as described herein with respect to the Private warrants):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 prior written notice of redemption provided</w:t>
            </w:r>
            <w:r>
              <w:rPr/>
              <w:t> </w:t>
            </w:r>
            <w:r>
              <w:rPr>
                <w:rFonts w:ascii="Times New Roman;Times;serif" w:hAnsi="Times New Roman;Times;serif"/>
                <w:b w:val="false"/>
                <w:i w:val="false"/>
                <w:caps w:val="false"/>
                <w:smallCaps w:val="false"/>
                <w:sz w:val="20"/>
              </w:rPr>
              <w:t xml:space="preserve">that holders will be able to exercise their warrants on a cashless basis prior to redemption as described below; and </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Company’s Common Stock equals or exceeds $10.00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Beginning on the date the notice of redemption is given until the warrants are redeemed or exercised, holders may elect to exercise their warrants on a cashless basis and could potentially receive up to a maximum of 0.361 shares of Common Stock per warrant or a minimum of 0.034 shares of Common Stock per warrant. The number of shares of Common Stock that a warrant holder will ultimately receive upon a cashless exercise in connection with a redemption by the Company, is based on the fair market value of the Company’s Common Stock on the redemption date, determined based on the volume weighted average price of the Company’s Common Stock for the </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trading days ending on the third trading day prior to the date on which the notice of redemption is sent to the holders of the warrants, and the number of months that the corresponding redemption date precedes the expiration date of the warrants, as set forth in a table in the warrant agreement.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December 31, 2025 and December 31, 2024, Public Warrants issued and outstanding were 7,727,912 and 11,082,870, respectively (Refer to Note 4 for fair value measurement). The Public Warrants are accounted for as a derivative liability. The fair value of the Public Warrants is measured at each reporting period based on the listed price for the warrants, with subsequent changes in the fair value recognized in the consolidated statement of operations at each reporting date.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During the year ended December 31, 2025, a total of 4,346,386 Public Warrants were exercised, each for one share of Common Stock in exchange for cash proceeds of $11.50 per share. The proceeds from the warrant exercises totaled $50.0 million, and the underlying derivative liabilities for the Public Warrants on their respective exercise dates totaled $141.1 million. The proceeds from the warrant exercises and the underlying derivative liabilities for the Public Warrants on their exercise dates were recorded to par value of Common Stock and additional paid-in capital. No Public Warrants were exercised during the year ended December 31, 2024.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calculated fair value of the derivative liability for the Public Warrants as of December 31, 2025 and December 31, 2024, was $85.8 million and $70.3 million, respectively. The change in the fair value of the Public Warrants included in the consolidated statement of operations during the years ended December 31, 2025 and December 31, 2024 was a loss of $142.4 million and a loss of $63.3 million, respectively. </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Warrants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Private Warrants have terms and provisions identical to those of the Public Warrants, including as to exercise price, exercisability and exercise period, except that if the Private Warrants are held by the initial purchasers, or such purchasers’ permitted transferees, then the Private Warrants are not redeemable by the Company and may be exercised for cash or on a cashless basis. If the Private Warrants are held by someone other the initial purchasers or such purchasers permitted transferees, then the Private warrants become Public Warrants and are redeemable by the company and exercisable by such holders on the same basis as the Public Warrants.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During the years ended December 31, 2025 and December 31, 2024, the number of Private Warrants that converted to Public Warrants as a result of transfer from the initial purchaser (or such purchaser’s permitted transferees) to other holders were 991,428 and 1,280,732, respectively.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December 31, 2025, and December 31, 2024, Private Warrants issued and outstanding were 1,000,674 and 1,992,102, respectively (Refer to Note 4 for fair value measurement). The Private Warrants are accounted for as a derivative liability. The fair value of the Private Warrants is determined using the Black-Scholes option-pricing model, with subsequent changes in the fair value recognized in the consolidated statements of operations at each reporting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bookmarkStart w:id="932" w:name="Tc_mBY4W3SxwUGtrnNBc8uW-g_3_0"/>
      <w:bookmarkStart w:id="933" w:name="Tc__bT8UAnv202SSH2EBIiqBw_2_0"/>
      <w:bookmarkStart w:id="934" w:name="Tc_w1ditngeNUOPyvbjiJPUZA_1_4"/>
      <w:bookmarkStart w:id="935" w:name="Tc_aoQTB1c1ek64QediCLJBFQ_1_2"/>
      <w:bookmarkStart w:id="936" w:name="Tc_IvHk86Sna0GjyoN0nBHSXw_8_6"/>
      <w:bookmarkStart w:id="937" w:name="Tc_jGCgVSpA-EKX7rlvO6eSog_8_3"/>
      <w:bookmarkStart w:id="938" w:name="Tc_aI5UmmWZ00GWqtjlM7uX7w_8_0"/>
      <w:bookmarkStart w:id="939" w:name="Tc_2h-kyHjQYUugPeKik6OchQ_7_0"/>
      <w:bookmarkStart w:id="940" w:name="Tc_-fO0owIhm0mcNhUAJSP3ww_6_0"/>
      <w:bookmarkStart w:id="941" w:name="Tc_M8PXEeJ_I0azTHHt1y4eiA_5_0"/>
      <w:bookmarkStart w:id="942" w:name="Tc_TRHXbIHbuky1wCIECPYXgA_4_5"/>
      <w:bookmarkStart w:id="943" w:name="Tc_m4klgXHYbUiMaV8N6IDmxw_4_2"/>
      <w:bookmarkStart w:id="944" w:name="Tc_MI_U3--DekqNrVa8nQTh6g_4_0"/>
      <w:bookmarkStart w:id="945" w:name="Tc_2ww8hQOooEiGEs8nKOIM4A_3_5"/>
      <w:bookmarkStart w:id="946" w:name="Tc_m0Upsak5HkCXb1OCdlqoWQ_3_2"/>
      <w:bookmarkStart w:id="947" w:name="Tc_damqn-anHUq8JktMvRunfA_3_0"/>
      <w:bookmarkStart w:id="948" w:name="Tc_XcrIcqg3_Ue40bGdgcifjQ_2_5"/>
      <w:bookmarkStart w:id="949" w:name="Tc_b5gTBIxYV0KAyMNvwc_MxA_2_2"/>
      <w:bookmarkStart w:id="950" w:name="Tc_72-y5i21JkqMsjHsQDABvQ_2_0"/>
      <w:bookmarkStart w:id="951" w:name="_f8355886_c00e_4a84_85a9_f3f4962fd2f6"/>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rFonts w:ascii="Times New Roman;Times;serif" w:hAnsi="Times New Roman;Times;serif"/>
          <w:sz w:val="20"/>
        </w:rPr>
        <w:t xml:space="preserve">The calculated fair value of the derivative liability for the Private Warrants as of December 31, 2025 and December 31, 2024 was $16.8 million and $22.8 million, respectively. The change in the fair value of the Private Warrants included in the consolidated statements of operations during the years ended December 31, 2025 and December 31, 2024 was a loss of $8.2 million and a loss of $26.8 million, respectively.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Significant inputs into the Black-Scholes option-pricing models used to value the Private Warrants at December 31, 2025 and December 31, 2024 are as follows:</w:t>
      </w:r>
    </w:p>
    <w:tbl>
      <w:tblPr>
        <w:tblW w:w="7233" w:type="dxa"/>
        <w:jc w:val="left"/>
        <w:tblInd w:w="0" w:type="dxa"/>
        <w:tblLayout w:type="fixed"/>
        <w:tblCellMar>
          <w:top w:w="0" w:type="dxa"/>
          <w:left w:w="0" w:type="dxa"/>
          <w:bottom w:w="0" w:type="dxa"/>
          <w:right w:w="0" w:type="dxa"/>
        </w:tblCellMar>
      </w:tblPr>
      <w:tblGrid>
        <w:gridCol w:w="3016"/>
        <w:gridCol w:w="586"/>
        <w:gridCol w:w="437"/>
        <w:gridCol w:w="1063"/>
        <w:gridCol w:w="586"/>
        <w:gridCol w:w="434"/>
        <w:gridCol w:w="1111"/>
      </w:tblGrid>
      <w:tr>
        <w:trPr/>
        <w:tc>
          <w:tcPr>
            <w:tcW w:w="301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72110" cy="175260"/>
                      <wp:effectExtent l="0" t="0" r="0" b="0"/>
                      <wp:wrapNone/>
                      <wp:docPr id="119" name="Frame11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77495" cy="175260"/>
                      <wp:effectExtent l="0" t="0" r="0" b="0"/>
                      <wp:wrapNone/>
                      <wp:docPr id="120" name="Frame12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75005" cy="175260"/>
                      <wp:effectExtent l="0" t="0" r="0" b="0"/>
                      <wp:wrapNone/>
                      <wp:docPr id="121" name="Frame121"/>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72110" cy="175260"/>
                      <wp:effectExtent l="0" t="0" r="0" b="0"/>
                      <wp:wrapNone/>
                      <wp:docPr id="122" name="Frame12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75590" cy="175260"/>
                      <wp:effectExtent l="0" t="0" r="0" b="0"/>
                      <wp:wrapNone/>
                      <wp:docPr id="123" name="Frame123"/>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05485" cy="175260"/>
                      <wp:effectExtent l="0" t="0" r="0" b="0"/>
                      <wp:wrapNone/>
                      <wp:docPr id="124" name="Frame12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left"/>
              <w:rPr/>
            </w:pPr>
            <w:r>
              <w:rPr/>
              <w:t>  ​ ​ ​</w:t>
            </w:r>
          </w:p>
        </w:tc>
        <w:tc>
          <w:tcPr>
            <w:tcW w:w="437" w:type="dxa"/>
            <w:tcBorders/>
            <w:vAlign w:val="center"/>
          </w:tcPr>
          <w:p>
            <w:pPr>
              <w:pStyle w:val="TableContents"/>
              <w:bidi w:val="0"/>
              <w:spacing w:before="0" w:after="1"/>
              <w:ind w:left="0" w:right="0" w:hanging="0"/>
              <w:jc w:val="left"/>
              <w:rPr/>
            </w:pPr>
            <w:r>
              <w:rPr/>
              <w:t>  ​ ​ ​</w:t>
            </w:r>
          </w:p>
        </w:tc>
        <w:tc>
          <w:tcPr>
            <w:tcW w:w="1063"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left"/>
              <w:rPr/>
            </w:pPr>
            <w:r>
              <w:rPr/>
              <w:t>  ​ ​ ​</w:t>
            </w:r>
          </w:p>
        </w:tc>
        <w:tc>
          <w:tcPr>
            <w:tcW w:w="434"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86" w:type="dxa"/>
            <w:tcBorders/>
            <w:vAlign w:val="center"/>
          </w:tcPr>
          <w:p>
            <w:pPr>
              <w:pStyle w:val="TableContents"/>
              <w:bidi w:val="0"/>
              <w:spacing w:before="0" w:after="1"/>
              <w:ind w:left="0" w:right="0" w:hanging="0"/>
              <w:jc w:val="center"/>
              <w:rPr/>
            </w:pPr>
            <w:r>
              <w:rPr/>
              <w:t>  ​ ​ ​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586" w:type="dxa"/>
            <w:tcBorders/>
            <w:vAlign w:val="center"/>
          </w:tcPr>
          <w:p>
            <w:pPr>
              <w:pStyle w:val="TableContents"/>
              <w:bidi w:val="0"/>
              <w:spacing w:before="0" w:after="1"/>
              <w:ind w:left="0" w:right="0" w:hanging="0"/>
              <w:jc w:val="center"/>
              <w:rPr/>
            </w:pPr>
            <w:r>
              <w:rPr/>
              <w:t>  ​ ​ ​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86"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c>
          <w:tcPr>
            <w:tcW w:w="586" w:type="dxa"/>
            <w:tcBorders/>
            <w:shd w:fill="CCEEFF" w:val="clear"/>
            <w:vAlign w:val="center"/>
          </w:tcPr>
          <w:p>
            <w:pPr>
              <w:pStyle w:val="TableContents"/>
              <w:bidi w:val="0"/>
              <w:spacing w:before="0" w:after="1"/>
              <w:ind w:left="0" w:right="0" w:hanging="0"/>
              <w:jc w:val="left"/>
              <w:rPr/>
            </w:pPr>
            <w:r>
              <w:rPr/>
              <w:t>​</w:t>
            </w:r>
          </w:p>
        </w:tc>
        <w:tc>
          <w:tcPr>
            <w:tcW w:w="4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86"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586" w:type="dxa"/>
            <w:tcBorders/>
            <w:vAlign w:val="center"/>
          </w:tcPr>
          <w:p>
            <w:pPr>
              <w:pStyle w:val="TableContents"/>
              <w:bidi w:val="0"/>
              <w:spacing w:before="0" w:after="1"/>
              <w:ind w:left="0" w:right="0" w:hanging="0"/>
              <w:jc w:val="left"/>
              <w:rPr/>
            </w:pPr>
            <w:r>
              <w:rPr/>
              <w:t>​</w:t>
            </w:r>
          </w:p>
        </w:tc>
        <w:tc>
          <w:tcPr>
            <w:tcW w:w="4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86"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w:t>
            </w:r>
          </w:p>
        </w:tc>
        <w:tc>
          <w:tcPr>
            <w:tcW w:w="586" w:type="dxa"/>
            <w:tcBorders/>
            <w:shd w:fill="CCEEFF" w:val="clear"/>
            <w:vAlign w:val="center"/>
          </w:tcPr>
          <w:p>
            <w:pPr>
              <w:pStyle w:val="TableContents"/>
              <w:bidi w:val="0"/>
              <w:spacing w:before="0" w:after="1"/>
              <w:ind w:left="0" w:right="0" w:hanging="0"/>
              <w:jc w:val="left"/>
              <w:rPr/>
            </w:pPr>
            <w:r>
              <w:rPr/>
              <w:t>​</w:t>
            </w:r>
          </w:p>
        </w:tc>
        <w:tc>
          <w:tcPr>
            <w:tcW w:w="434"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86"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586" w:type="dxa"/>
            <w:tcBorders/>
            <w:vAlign w:val="center"/>
          </w:tcPr>
          <w:p>
            <w:pPr>
              <w:pStyle w:val="TableContents"/>
              <w:bidi w:val="0"/>
              <w:spacing w:before="0" w:after="1"/>
              <w:ind w:left="0" w:right="0" w:hanging="0"/>
              <w:jc w:val="left"/>
              <w:rPr/>
            </w:pPr>
            <w:r>
              <w:rPr/>
              <w:t>​</w:t>
            </w:r>
          </w:p>
        </w:tc>
        <w:tc>
          <w:tcPr>
            <w:tcW w:w="434"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86"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586" w:type="dxa"/>
            <w:tcBorders/>
            <w:shd w:fill="CCEEFF" w:val="clear"/>
            <w:vAlign w:val="center"/>
          </w:tcPr>
          <w:p>
            <w:pPr>
              <w:pStyle w:val="TableContents"/>
              <w:bidi w:val="0"/>
              <w:spacing w:before="0" w:after="1"/>
              <w:ind w:left="0" w:right="0" w:hanging="0"/>
              <w:jc w:val="left"/>
              <w:rPr/>
            </w:pPr>
            <w:r>
              <w:rPr/>
              <w:t>​</w:t>
            </w:r>
          </w:p>
        </w:tc>
        <w:tc>
          <w:tcPr>
            <w:tcW w:w="434"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86"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434"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16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Classified Warrants</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C Preferred Stock Financing Warrants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per share exercise price and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to expiration. The Series C Warrants can be exercised for cash or on a cashless basis.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of December 31, 2025 and December 31, 2024, Series C Warrants issued and outstanding were 315,518 and 793,800 respectively.</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Warrant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In February 2020, the Company issued a warrant to purchase shares of its Class A Common Stock to a customer in conjunction with a revenue arrangement (the “Customer Warrant”). The Customer Warrant was assumed by the Company in connection with the Business Combination and converted into a warrant to purchase 2,680,607 shares of its Common Stock. The Customer Warrant has an exercise price of $1.152 per share and has a </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-year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xml:space="preserve">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both December 31, 2025 and December 31, 2024, the deferred asset balance outstanding is approximately $0.1 million, which will be recognized as a reduction in revenue in future periods.</w:t>
      </w:r>
    </w:p>
    <w:p>
      <w:pPr>
        <w:pStyle w:val="TextBody"/>
        <w:bidi w:val="0"/>
        <w:spacing w:before="0" w:after="120"/>
        <w:ind w:left="0" w:right="0" w:firstLine="630"/>
        <w:jc w:val="both"/>
        <w:rPr>
          <w:rFonts w:ascii="Times New Roman;Times;serif" w:hAnsi="Times New Roman;Times;serif"/>
          <w:sz w:val="20"/>
        </w:rPr>
      </w:pPr>
      <w:r>
        <w:rPr>
          <w:rFonts w:ascii="Times New Roman;Times;serif" w:hAnsi="Times New Roman;Times;serif"/>
          <w:sz w:val="20"/>
        </w:rPr>
        <w:t>The vesting status of the Customer Warrant is as follows:</w:t>
      </w:r>
    </w:p>
    <w:p>
      <w:pPr>
        <w:pStyle w:val="TextBody"/>
        <w:bidi w:val="0"/>
        <w:spacing w:before="0" w:after="0"/>
        <w:ind w:left="0" w:right="0" w:hanging="0"/>
        <w:jc w:val="left"/>
        <w:rPr/>
      </w:pPr>
      <w:r>
        <w:rPr/>
        <w:t>​</w:t>
      </w:r>
    </w:p>
    <w:tbl>
      <w:tblPr>
        <w:tblW w:w="7160" w:type="dxa"/>
        <w:jc w:val="left"/>
        <w:tblInd w:w="0" w:type="dxa"/>
        <w:tblLayout w:type="fixed"/>
        <w:tblCellMar>
          <w:top w:w="0" w:type="dxa"/>
          <w:left w:w="0" w:type="dxa"/>
          <w:bottom w:w="0" w:type="dxa"/>
          <w:right w:w="0" w:type="dxa"/>
        </w:tblCellMar>
      </w:tblPr>
      <w:tblGrid>
        <w:gridCol w:w="2941"/>
        <w:gridCol w:w="586"/>
        <w:gridCol w:w="1501"/>
        <w:gridCol w:w="586"/>
        <w:gridCol w:w="1546"/>
      </w:tblGrid>
      <w:tr>
        <w:trPr/>
        <w:tc>
          <w:tcPr>
            <w:tcW w:w="294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72110" cy="175260"/>
                      <wp:effectExtent l="0" t="0" r="0" b="0"/>
                      <wp:wrapNone/>
                      <wp:docPr id="125" name="Frame12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953135" cy="175260"/>
                      <wp:effectExtent l="0" t="0" r="0" b="0"/>
                      <wp:wrapNone/>
                      <wp:docPr id="126" name="Frame12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72110" cy="175260"/>
                      <wp:effectExtent l="0" t="0" r="0" b="0"/>
                      <wp:wrapNone/>
                      <wp:docPr id="127" name="Frame12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981710" cy="175260"/>
                      <wp:effectExtent l="0" t="0" r="0" b="0"/>
                      <wp:wrapNone/>
                      <wp:docPr id="128" name="Frame12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  ​ ​ ​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586" w:type="dxa"/>
            <w:tcBorders/>
            <w:vAlign w:val="center"/>
          </w:tcPr>
          <w:p>
            <w:pPr>
              <w:pStyle w:val="TableContents"/>
              <w:bidi w:val="0"/>
              <w:spacing w:before="0" w:after="0"/>
              <w:ind w:left="0" w:right="0" w:hanging="0"/>
              <w:jc w:val="center"/>
              <w:rPr/>
            </w:pPr>
            <w:r>
              <w:rPr/>
              <w:t>  ​ ​ ​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8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8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8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8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8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bookmarkStart w:id="952" w:name="Tc_JwfdzfGy6UGl_Gr5HuMHPw_6_0"/>
      <w:bookmarkStart w:id="953" w:name="Tc_mYlC4nnV50-WyAxa2M7Vuw_5_0"/>
      <w:bookmarkStart w:id="954" w:name="Tc_GL0KP6KwvEin8zqwoVCZSg_4_0"/>
      <w:bookmarkStart w:id="955" w:name="Tc_Q0L80G8pkkS0qG-S2TxorA_3_0"/>
      <w:bookmarkStart w:id="956" w:name="Tc_SxAAi8USTkifgG_97i1gFw_2_2"/>
      <w:bookmarkStart w:id="957" w:name="Tc_H0DOVD1E00ikUVxQ23GUJg_2_0"/>
      <w:bookmarkStart w:id="958" w:name="Tc_va4YVa83ikaSQf4rlkeJKw_1_2"/>
      <w:bookmarkStart w:id="959" w:name="Tc_7UAy4MalEk6lsOSDQxj4bA_1_0"/>
      <w:bookmarkStart w:id="960" w:name="_fb2a94a8_d3c8_4f65_abf0_f6d828a58e12"/>
      <w:bookmarkEnd w:id="952"/>
      <w:bookmarkEnd w:id="953"/>
      <w:bookmarkEnd w:id="954"/>
      <w:bookmarkEnd w:id="955"/>
      <w:bookmarkEnd w:id="956"/>
      <w:bookmarkEnd w:id="957"/>
      <w:bookmarkEnd w:id="958"/>
      <w:bookmarkEnd w:id="959"/>
      <w:bookmarkEnd w:id="960"/>
      <w:r>
        <w:rPr>
          <w:rFonts w:ascii="Times New Roman;Times;serif" w:hAnsi="Times New Roman;Times;serif"/>
          <w:b/>
          <w:sz w:val="20"/>
        </w:rPr>
        <w:t>(9) Earn-out Liabilities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Upon the closing of the Business Combination on March 2, 2022, SNII, Supernova Partners II LLC (the “Sponsor”) and SNII’s directors and officers (collectively the “Sponsor Holders”) subjected certain shares of Common Stock (the “Sponsor Vesting Shares”) to forfeiture for a </w:t>
      </w:r>
      <w:r>
        <w:rPr>
          <w:rFonts w:ascii="Times New Roman;Times;serif" w:hAnsi="Times New Roman;Times;serif"/>
          <w:b w:val="false"/>
          <w:i w:val="false"/>
          <w:caps w:val="false"/>
          <w:smallCaps w:val="false"/>
          <w:sz w:val="20"/>
        </w:rPr>
        <w:t>five-year</w:t>
      </w:r>
      <w:r>
        <w:rPr>
          <w:rFonts w:ascii="Times New Roman;Times;serif" w:hAnsi="Times New Roman;Times;serif"/>
          <w:sz w:val="20"/>
        </w:rPr>
        <w:t xml:space="preserve"> period following the closing of the Business Combination, with vesting occurring only if thresholds related to the weighted average price of the Company’s Common Stock were met as described below (the “Earn-out Triggering Events”). Any Sponsor Vesting Shares that were not vested by the fifth anniversary of the closing of the Business Combination were to be forfeited.</w:t>
      </w:r>
    </w:p>
    <w:p>
      <w:pPr>
        <w:pStyle w:val="TextBody"/>
        <w:bidi w:val="0"/>
        <w:spacing w:before="0" w:after="120"/>
        <w:ind w:left="0" w:right="0" w:firstLine="547"/>
        <w:jc w:val="left"/>
        <w:rPr>
          <w:rFonts w:ascii="Times New Roman;Times;serif" w:hAnsi="Times New Roman;Times;serif"/>
          <w:sz w:val="20"/>
        </w:rPr>
      </w:pPr>
      <w:r>
        <w:rPr>
          <w:rFonts w:ascii="Times New Roman;Times;serif" w:hAnsi="Times New Roman;Times;serif"/>
          <w:sz w:val="20"/>
        </w:rPr>
        <w:t>Sponsor Vesting Shares – Vesting Provisions:</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2,479,000</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the Company’s Common Stock equals or exceeds $12.50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“Promote Sponsor Vesting Shares”), and </w:t>
            </w:r>
          </w:p>
        </w:tc>
      </w:tr>
    </w:tbl>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580,273</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the Company’s Common Stock equals or exceeds $15.00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“Sponsor Redemption-Based Vesting Shares,” and, collectively with the Promote Sponsor Vesting Shares, the “Sponsor Vesting Shares”). </w:t>
            </w:r>
          </w:p>
        </w:tc>
      </w:tr>
    </w:tbl>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During the year ended December 31, 2025, the Earn-out Triggering Events for each of the Sponsor Redemption-Based Vesting Shares and the Promote Sponsor Vesting Shares were satisfied, and the underlying earn-out liabilities were adjusted to fair value using the closing market price of the Company’s Common Stock on their respective vesting dates. The earn-out liability for the Sponsor Redemption-Based Vesting Shares as of their August 14, 2025 vesting date was $10.4 million. The earn-out liability for the Promote Sponsor Vesting Shares as of their February 6, 2025 vesting date was $32.9 million. The earn-out liabilities for the Sponsor Redemption-Based Vesting Shares and the Promote Sponsor Vesting Shares were recorded to additional paid-in capital on their respective vesting dates. As of December 31, 2025, all of the Sponsor Vesting Shares were vested and the earn-out liabilities balance was zero.</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Prior to vesting, the Earn-out liabilities were adjusted to fair value each reporting period using the Monte Carlo simulation model. The change in the fair value of the Earn-out liabilities included in the consolidated statements of operations during the years ended December 31, 2025 and December 31, 2024 was a gain of $2.5 million and a loss of $43.7 million, respectively.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calculated fair value of the Earn-out liabilities with respect to the Sponsor Vesting Shares as of December 31, 2024 was $45.9 million. Significant inputs into the Monte Carlo simulation model as of December 31, 2024 were as follows:</w:t>
      </w:r>
    </w:p>
    <w:tbl>
      <w:tblPr>
        <w:tblW w:w="5118" w:type="dxa"/>
        <w:jc w:val="left"/>
        <w:tblInd w:w="0" w:type="dxa"/>
        <w:tblLayout w:type="fixed"/>
        <w:tblCellMar>
          <w:top w:w="0" w:type="dxa"/>
          <w:left w:w="0" w:type="dxa"/>
          <w:bottom w:w="0" w:type="dxa"/>
          <w:right w:w="0" w:type="dxa"/>
        </w:tblCellMar>
      </w:tblPr>
      <w:tblGrid>
        <w:gridCol w:w="3226"/>
        <w:gridCol w:w="346"/>
        <w:gridCol w:w="350"/>
        <w:gridCol w:w="1196"/>
      </w:tblGrid>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22250" cy="175260"/>
                      <wp:effectExtent l="0" t="0" r="0" b="0"/>
                      <wp:wrapNone/>
                      <wp:docPr id="130" name="Frame13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59460" cy="175260"/>
                      <wp:effectExtent l="0" t="0" r="0" b="0"/>
                      <wp:wrapNone/>
                      <wp:docPr id="131" name="Frame131"/>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Estimated time to expiration (in years)</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96"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2.17</w:t>
            </w:r>
          </w:p>
        </w:tc>
      </w:tr>
    </w:tbl>
    <w:p>
      <w:pPr>
        <w:pStyle w:val="TextBody"/>
        <w:bidi w:val="0"/>
        <w:spacing w:before="0" w:after="240"/>
        <w:ind w:left="0" w:right="0" w:firstLine="54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(10) Leases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leases facilities for its fab-1, lab and office space, and equipment under various lease agreements with terms extending through 2029. Under the terms of the facility leases the Company bears the costs for certain insurance, property taxes and maintenance, and the lease agreements provide for increasing rental payments at fixed intervals.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On September 24, 2024, the Company entered into a lease amendment for its corporate headquarters located in Berkeley, California which, among other things, extends the lease term by </w:t>
      </w:r>
      <w:r>
        <w:rPr>
          <w:rFonts w:ascii="Times New Roman;Times;serif" w:hAnsi="Times New Roman;Times;serif"/>
          <w:b w:val="false"/>
          <w:i w:val="false"/>
          <w:caps w:val="false"/>
          <w:smallCaps w:val="false"/>
          <w:sz w:val="20"/>
        </w:rPr>
        <w:t>three years</w:t>
      </w:r>
      <w:r>
        <w:rPr>
          <w:rFonts w:ascii="Times New Roman;Times;serif" w:hAnsi="Times New Roman;Times;serif"/>
          <w:sz w:val="20"/>
        </w:rPr>
        <w:t> to October 31, 2028, sets a new annual rental rate of approximately $0.9 million effective as of November 1, 2025 and provides an option to extend the lease for an additional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Rental rates increase at the rate of 3% per year over the lease term and the five year option period. The Company did not include the five year option as part of its right-of-use assets and lease liabilities because exercise of the option was deemed unlikely.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During the year ended December 31, 2024, the Company remeasured the lease liability for its Berkeley headquarters facility over the remaining lease term of 4.1 years using an incremental borrowing rate of 6.32%. The effect of the lease amendment increased the Company’s operating lease right-of-use assets and operating lease liabilities by $2.3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bookmarkStart w:id="961" w:name="Tc_j_WGAJxAS0aF7mwiK5MM2A_11_2"/>
      <w:bookmarkStart w:id="962" w:name="Tc_doy04Y6ix0mC4r_2wzbDpQ_10_0"/>
      <w:bookmarkStart w:id="963" w:name="Tc_PRV81m11aE-uZF7iXq_vFA_9_2"/>
      <w:bookmarkStart w:id="964" w:name="Tc_r1Zk2QhedUCJWU9l609UDA_9_0"/>
      <w:bookmarkStart w:id="965" w:name="Tc_mRiphjatbkOpDs8J3a7d8Q_8_2"/>
      <w:bookmarkStart w:id="966" w:name="Tc_vOH9QODBzU-t1XOJAMbitw_8_0"/>
      <w:bookmarkStart w:id="967" w:name="Tc_KR_0lXVzFEShvciM5bFw8g_7_0"/>
      <w:bookmarkStart w:id="968" w:name="Tc_wnjgLypBQkeXW7EMQgWVMg_6_2"/>
      <w:bookmarkStart w:id="969" w:name="Tc_B7hVNR5DM0qMhZ9sEcPS2w_6_0"/>
      <w:bookmarkStart w:id="970" w:name="Tc_FwnySEanxECjvgBuL_CWDg_5_0"/>
      <w:bookmarkStart w:id="971" w:name="Tc_t5dTYxas1Eq4UwnmA_eZ4g_4_0"/>
      <w:bookmarkStart w:id="972" w:name="Tc_Vj_B67Mm-USMdiMrSCs5XA_3_0"/>
      <w:bookmarkStart w:id="973" w:name="Tc_Wo2c4hkuhUqIsom49tESLQ_2_2"/>
      <w:bookmarkStart w:id="974" w:name="Tc_I6vjQ3xTJU23glIAk2DpDg_2_0"/>
      <w:bookmarkStart w:id="975" w:name="Tc_c_64lDY3I0aDa1NL1htQlw_1_0"/>
      <w:bookmarkStart w:id="976" w:name="_1458c61f_3510_4a49_a365_5ab9c956f09e"/>
      <w:bookmarkStart w:id="977" w:name="Tc_mC9X_BMyjUOlnnxyEwnFkQ_6_5"/>
      <w:bookmarkStart w:id="978" w:name="Tc_sMYBxgXrv0qiz-ulqNihHQ_6_2"/>
      <w:bookmarkStart w:id="979" w:name="Tc_03M7-DTCEke4mZ3DOq8atw_6_0"/>
      <w:bookmarkStart w:id="980" w:name="Tc_Wc6X8evcG0-Y2BVRB0or_g_5_0"/>
      <w:bookmarkStart w:id="981" w:name="Tc_WT1cnqOihUSau4a3HpkfgA_4_0"/>
      <w:bookmarkStart w:id="982" w:name="Tc_q5XKS85cMk6lBRoENHIehg_3_5"/>
      <w:bookmarkStart w:id="983" w:name="Tc_JmtTuZYZSUa7zqX3w0qbog_3_2"/>
      <w:bookmarkStart w:id="984" w:name="Tc_CyA90UiM70uk0NiukskWdg_3_0"/>
      <w:bookmarkStart w:id="985" w:name="Tc_Gn2gXIPuMUuxsPN_TJck9w_2_5"/>
      <w:bookmarkStart w:id="986" w:name="Tc_qyejIbZr8kiZJXO8WeVW0Q_2_2"/>
      <w:bookmarkStart w:id="987" w:name="Tc_4AI2tEbmnECTBR9bbc7hlQ_1_2"/>
      <w:bookmarkStart w:id="988" w:name="_c60cf3f6_90d8_407f_85d9_c29d9f939bce"/>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r>
        <w:rPr>
          <w:rFonts w:ascii="Times New Roman;Times;serif" w:hAnsi="Times New Roman;Times;serif"/>
          <w:sz w:val="20"/>
        </w:rPr>
        <w:t>Components of lease costs are as follows (in thousands)</w:t>
      </w:r>
    </w:p>
    <w:tbl>
      <w:tblPr>
        <w:tblW w:w="4185" w:type="dxa"/>
        <w:jc w:val="left"/>
        <w:tblInd w:w="0" w:type="dxa"/>
        <w:tblLayout w:type="fixed"/>
        <w:tblCellMar>
          <w:top w:w="0" w:type="dxa"/>
          <w:left w:w="0" w:type="dxa"/>
          <w:bottom w:w="0" w:type="dxa"/>
          <w:right w:w="0" w:type="dxa"/>
        </w:tblCellMar>
      </w:tblPr>
      <w:tblGrid>
        <w:gridCol w:w="1801"/>
        <w:gridCol w:w="346"/>
        <w:gridCol w:w="212"/>
        <w:gridCol w:w="574"/>
        <w:gridCol w:w="348"/>
        <w:gridCol w:w="212"/>
        <w:gridCol w:w="692"/>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143635" cy="175260"/>
                      <wp:effectExtent l="0" t="0" r="0" b="0"/>
                      <wp:wrapNone/>
                      <wp:docPr id="132" name="Frame13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4620" cy="175260"/>
                      <wp:effectExtent l="0" t="0" r="0" b="0"/>
                      <wp:wrapNone/>
                      <wp:docPr id="134" name="Frame13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64490" cy="175260"/>
                      <wp:effectExtent l="0" t="0" r="0" b="0"/>
                      <wp:wrapNone/>
                      <wp:docPr id="135" name="Frame135"/>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0980" cy="175260"/>
                      <wp:effectExtent l="0" t="0" r="0" b="0"/>
                      <wp:wrapNone/>
                      <wp:docPr id="136" name="Frame13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4620" cy="175260"/>
                      <wp:effectExtent l="0" t="0" r="0" b="0"/>
                      <wp:wrapNone/>
                      <wp:docPr id="137" name="Frame13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39420" cy="175260"/>
                      <wp:effectExtent l="0" t="0" r="0" b="0"/>
                      <wp:wrapNone/>
                      <wp:docPr id="138" name="Frame138"/>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color w:val="467886"/>
              </w:rPr>
            </w:pPr>
            <w:r>
              <w:rPr>
                <w:color w:val="467886"/>
              </w:rPr>
              <w:t>​</w:t>
            </w:r>
          </w:p>
        </w:tc>
        <w:tc>
          <w:tcPr>
            <w:tcW w:w="346" w:type="dxa"/>
            <w:tcBorders/>
            <w:vAlign w:val="center"/>
          </w:tcPr>
          <w:p>
            <w:pPr>
              <w:pStyle w:val="TableContents"/>
              <w:bidi w:val="0"/>
              <w:spacing w:before="0" w:after="1"/>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8" w:type="dxa"/>
            <w:tcBorders/>
            <w:vAlign w:val="center"/>
          </w:tcPr>
          <w:p>
            <w:pPr>
              <w:pStyle w:val="TableContents"/>
              <w:bidi w:val="0"/>
              <w:spacing w:before="0" w:after="1"/>
              <w:ind w:left="0" w:right="0" w:hanging="0"/>
              <w:jc w:val="center"/>
              <w:rPr/>
            </w:pPr>
            <w:r>
              <w:rPr/>
              <w:t>  ​ ​ ​</w:t>
            </w:r>
          </w:p>
        </w:tc>
        <w:tc>
          <w:tcPr>
            <w:tcW w:w="9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w:t>
            </w:r>
          </w:p>
        </w:tc>
        <w:tc>
          <w:tcPr>
            <w:tcW w:w="348"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8"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w:t>
            </w:r>
          </w:p>
        </w:tc>
        <w:tc>
          <w:tcPr>
            <w:tcW w:w="348"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3,177</w:t>
            </w:r>
          </w:p>
        </w:tc>
        <w:tc>
          <w:tcPr>
            <w:tcW w:w="348"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3,184</w:t>
            </w:r>
          </w:p>
        </w:tc>
      </w:tr>
    </w:tbl>
    <w:p>
      <w:pPr>
        <w:pStyle w:val="TextBody"/>
        <w:bidi w:val="0"/>
        <w:spacing w:before="0" w:after="24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Total cash paid for amounts included in the measurement of operating lease liabilities was $2.2 million for each of the years ended December 31, 2025 and December 31, 2024. During the year ended December 31, 2025, there were no new operating leases with a lease term greater than 12 months. During the year ended December 31, 2024, there were no new operating leases with a lease term greater than 12 months except for the lease amendment for the Berkeley headquarters facility mentioned above.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As of December 31, 2025 and December 31, 2024 the weighted-average remaining lease term is approximately 3.46 years and 4.44 years, respectively, and the weighted-average discount rate is 7.68% and 7.65%, respectively.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Operating lease liabilities are based on the net present value of the remaining lease payments over the remaining lease term. In determining the net present value of its lease payments, the Company used an estimated incremental borrowing rate that is applicable to the Company based on the information available at the later of the lease commencement date, lease modification date or the date of Adoption of Topic 842.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Maturities of operating lease liabilities are as follows (in thousands):</w:t>
      </w:r>
    </w:p>
    <w:tbl>
      <w:tblPr>
        <w:tblW w:w="4756" w:type="dxa"/>
        <w:jc w:val="left"/>
        <w:tblInd w:w="0" w:type="dxa"/>
        <w:tblLayout w:type="fixed"/>
        <w:tblCellMar>
          <w:top w:w="0" w:type="dxa"/>
          <w:left w:w="0" w:type="dxa"/>
          <w:bottom w:w="0" w:type="dxa"/>
          <w:right w:w="0" w:type="dxa"/>
        </w:tblCellMar>
      </w:tblPr>
      <w:tblGrid>
        <w:gridCol w:w="3511"/>
        <w:gridCol w:w="346"/>
        <w:gridCol w:w="211"/>
        <w:gridCol w:w="688"/>
      </w:tblGrid>
      <w:tr>
        <w:trPr/>
        <w:tc>
          <w:tcPr>
            <w:tcW w:w="3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36880" cy="175260"/>
                      <wp:effectExtent l="0" t="0" r="0" b="0"/>
                      <wp:wrapNone/>
                      <wp:docPr id="141" name="Frame14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346" w:type="dxa"/>
            <w:tcBorders/>
            <w:shd w:fill="CCEEFF" w:val="clear"/>
            <w:vAlign w:val="center"/>
          </w:tcPr>
          <w:p>
            <w:pPr>
              <w:pStyle w:val="TableContents"/>
              <w:bidi w:val="0"/>
              <w:spacing w:before="0" w:after="1"/>
              <w:ind w:left="0" w:right="0" w:hanging="0"/>
              <w:jc w:val="center"/>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center"/>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2,380</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2,293</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payments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8,161</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7,167</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4,932</w:t>
            </w:r>
          </w:p>
        </w:tc>
      </w:tr>
      <w:tr>
        <w:trPr/>
        <w:tc>
          <w:tcPr>
            <w:tcW w:w="3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7,167</w:t>
            </w:r>
          </w:p>
        </w:tc>
      </w:tr>
    </w:tbl>
    <w:p>
      <w:pPr>
        <w:pStyle w:val="TextBody"/>
        <w:bidi w:val="0"/>
        <w:spacing w:before="0" w:after="240"/>
        <w:ind w:left="0" w:right="0" w:firstLine="540"/>
        <w:jc w:val="both"/>
        <w:rPr/>
      </w:pPr>
      <w:r>
        <w:rPr/>
        <w:t>​</w:t>
      </w:r>
    </w:p>
    <w:p>
      <w:pPr>
        <w:pStyle w:val="TextBody"/>
        <w:bidi w:val="0"/>
        <w:spacing w:before="0" w:after="240"/>
        <w:ind w:left="0" w:right="0" w:hanging="0"/>
        <w:jc w:val="both"/>
        <w:rPr/>
      </w:pPr>
      <w:bookmarkStart w:id="989" w:name="Tc_ZZ037AWJSEGP45l3LGPSEw_5_0"/>
      <w:bookmarkStart w:id="990" w:name="Tc_kb2HCaDjJEOj2QnXeP2sUg_4_0"/>
      <w:bookmarkStart w:id="991" w:name="Tc_yxH94T33oUCit3pTOiEEtw_3_0"/>
      <w:bookmarkStart w:id="992" w:name="Tc_At-n0wZ7A0eqUCPk3Rg3cw_2_0"/>
      <w:bookmarkStart w:id="993" w:name="Tc_3ciyNMeq5UKrgCoJtxi-gQ_1_2"/>
      <w:bookmarkStart w:id="994" w:name="_4a785739_0c45_401c_9a6a_3c0b8c01b47d_3"/>
      <w:bookmarkStart w:id="995" w:name="_4a785739_0c45_401c_9a6a_3c0b8c01b47d_2"/>
      <w:bookmarkStart w:id="996" w:name="_4a785739_0c45_401c_9a6a_3c0b8c01b47d"/>
      <w:bookmarkEnd w:id="989"/>
      <w:bookmarkEnd w:id="990"/>
      <w:bookmarkEnd w:id="991"/>
      <w:bookmarkEnd w:id="992"/>
      <w:bookmarkEnd w:id="993"/>
      <w:bookmarkEnd w:id="994"/>
      <w:bookmarkEnd w:id="995"/>
      <w:bookmarkEnd w:id="996"/>
      <w:r>
        <w:rPr/>
        <w:t>​</w:t>
      </w:r>
    </w:p>
    <w:p>
      <w:pPr>
        <w:pStyle w:val="TextBody"/>
        <w:bidi w:val="0"/>
        <w:spacing w:before="0" w:after="40"/>
        <w:ind w:left="0" w:right="0" w:hanging="0"/>
        <w:jc w:val="both"/>
        <w:rPr>
          <w:rFonts w:ascii="Times New Roman;Times;serif" w:hAnsi="Times New Roman;Times;serif"/>
          <w:b/>
          <w:sz w:val="20"/>
        </w:rPr>
      </w:pPr>
      <w:r>
        <w:rPr>
          <w:rFonts w:ascii="Times New Roman;Times;serif" w:hAnsi="Times New Roman;Times;serif"/>
          <w:b/>
          <w:sz w:val="20"/>
        </w:rPr>
        <w:t>(11)  Stockholders’ Equity</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discussed in Note 2, on March 2, 2022, the Company consummated a Business Combination which has been accounted for as a reverse recapitalization.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December 31, 2025 or December 31, 2024.</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As of December 31, 2025, the Company has reserved the following shares of Common Stock for issuance upon the conversion, exercise or vesting of the underlying instruments:</w:t>
      </w:r>
    </w:p>
    <w:p>
      <w:pPr>
        <w:pStyle w:val="TextBody"/>
        <w:bidi w:val="0"/>
        <w:spacing w:before="0" w:after="0"/>
        <w:ind w:left="0" w:right="0" w:hanging="0"/>
        <w:jc w:val="left"/>
        <w:rPr/>
      </w:pPr>
      <w:r>
        <w:rPr/>
        <w:t>​</w:t>
      </w:r>
    </w:p>
    <w:tbl>
      <w:tblPr>
        <w:tblW w:w="5463" w:type="dxa"/>
        <w:jc w:val="left"/>
        <w:tblInd w:w="0" w:type="dxa"/>
        <w:tblLayout w:type="fixed"/>
        <w:tblCellMar>
          <w:top w:w="0" w:type="dxa"/>
          <w:left w:w="0" w:type="dxa"/>
          <w:bottom w:w="0" w:type="dxa"/>
          <w:right w:w="0" w:type="dxa"/>
        </w:tblCellMar>
      </w:tblPr>
      <w:tblGrid>
        <w:gridCol w:w="3676"/>
        <w:gridCol w:w="346"/>
        <w:gridCol w:w="1441"/>
      </w:tblGrid>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15035" cy="175260"/>
                      <wp:effectExtent l="0" t="0" r="0" b="0"/>
                      <wp:wrapNone/>
                      <wp:docPr id="143" name="Frame14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46" w:type="dxa"/>
            <w:tcBorders/>
            <w:shd w:fill="CCEEFF" w:val="clear"/>
            <w:vAlign w:val="center"/>
          </w:tcPr>
          <w:p>
            <w:pPr>
              <w:pStyle w:val="TableContents"/>
              <w:bidi w:val="0"/>
              <w:spacing w:before="0" w:after="0"/>
              <w:ind w:left="0" w:right="0" w:hanging="0"/>
              <w:jc w:val="left"/>
              <w:rPr/>
            </w:pPr>
            <w:r>
              <w:rPr/>
              <w:t>  ​ ​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11,724,711</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7,333,182</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5,780,464</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14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24,838,357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At-the-Market Offering Agreement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May 2025 Sales Agreement with Jefferies, LLC</w:t>
      </w:r>
    </w:p>
    <w:p>
      <w:pPr>
        <w:pStyle w:val="TextBody"/>
        <w:bidi w:val="0"/>
        <w:spacing w:lineRule="auto" w:line="240" w:before="0" w:after="120"/>
        <w:ind w:left="0" w:right="0" w:firstLine="533"/>
        <w:jc w:val="both"/>
        <w:rPr>
          <w:rFonts w:ascii="Times New Roman;Times;serif" w:hAnsi="Times New Roman;Times;serif"/>
          <w:sz w:val="20"/>
        </w:rPr>
      </w:pPr>
      <w:r>
        <w:rPr>
          <w:rFonts w:ascii="Times New Roman;Times;serif" w:hAnsi="Times New Roman;Times;serif"/>
          <w:sz w:val="20"/>
        </w:rPr>
        <w:t>On May 29, 2025, the Company entered into an Open Market Sale Agreement</w:t>
      </w:r>
      <w:r>
        <w:rPr>
          <w:rFonts w:ascii="Times New Roman;Times;serif" w:hAnsi="Times New Roman;Times;serif"/>
          <w:sz w:val="15"/>
        </w:rPr>
        <w:t>SM</w:t>
      </w:r>
      <w:r>
        <w:rPr>
          <w:rFonts w:ascii="Times New Roman;Times;serif" w:hAnsi="Times New Roman;Times;serif"/>
          <w:sz w:val="20"/>
        </w:rPr>
        <w:t xml:space="preserve"> (the “Sales Agreement”) with Jefferies, LLC (the “Agent”) with respect to an At-the-Market offering program, pursuant to which the Company sold, from time to time at its sole discretion, shares of its Common Stock having an aggregate offering price of $350 million (the “ATM Offering”). The shares offered and sold in the ATM Offering were issued and sold pursuant to the Company’s automatic shelf registration statement on Form S-3 and the related prospectus supplement, which the Company filed with the SEC on May 29, 2025. The Company paid the Agent a commission of up to 3% of the gross proceeds of the shares sold under the Sales Agreement, and the Company agreed to provide the Agent with customary indemnification rights. The Sales Agreement contained customary representations and warranties and conditions to the sale of the shares pursuant thereto.</w:t>
      </w:r>
    </w:p>
    <w:p>
      <w:pPr>
        <w:pStyle w:val="TextBody"/>
        <w:bidi w:val="0"/>
        <w:spacing w:before="0" w:after="120"/>
        <w:ind w:left="14" w:right="0" w:firstLine="533"/>
        <w:jc w:val="both"/>
        <w:rPr>
          <w:rFonts w:ascii="Times New Roman;Times;serif" w:hAnsi="Times New Roman;Times;serif"/>
          <w:sz w:val="20"/>
        </w:rPr>
      </w:pPr>
      <w:r>
        <w:rPr>
          <w:rFonts w:ascii="Times New Roman;Times;serif" w:hAnsi="Times New Roman;Times;serif"/>
          <w:sz w:val="20"/>
        </w:rPr>
        <w:t>During the year ended December 31, 2025, the Company raised gross proceeds of $350 million from the sale of 30,309,780 shares of its Common Stock pursuant to the Sales Agreement, at a weighted average price of $11.55 per share, which represented the full amount of shares available for sale under the Sales Agreement. The net proceeds from the Sales Agreement during the year ended December 31, 2025 were $346.7 million, after deducting Agent commissions totaling $3.3 million. As of December 31, 2025, there were no remaining shares available for sale pursuant to the Sales Agreement.</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March 2024 Sales Agreement with B. Riley Securities, Inc. and Needham &amp; Company, LLC</w:t>
      </w:r>
    </w:p>
    <w:p>
      <w:pPr>
        <w:pStyle w:val="TextBody"/>
        <w:bidi w:val="0"/>
        <w:spacing w:before="0" w:after="120"/>
        <w:ind w:left="0" w:right="0" w:firstLine="533"/>
        <w:jc w:val="both"/>
        <w:rPr>
          <w:rFonts w:ascii="Times New Roman;Times;serif" w:hAnsi="Times New Roman;Times;serif"/>
          <w:sz w:val="20"/>
        </w:rPr>
      </w:pPr>
      <w:r>
        <w:rPr>
          <w:rFonts w:ascii="Times New Roman;Times;serif" w:hAnsi="Times New Roman;Times;serif"/>
          <w:sz w:val="20"/>
        </w:rPr>
        <w:t>On March 15, 2024, the Company entered into the Prior ATM Agreement with B. Riley Securities, Inc. and Needham &amp; Company, LLC pursuant to which the Company sold, from time to time at its sole discretion, shares of its Common Stock having an aggregate offering price of $100 million.</w:t>
      </w:r>
    </w:p>
    <w:p>
      <w:pPr>
        <w:pStyle w:val="TextBody"/>
        <w:bidi w:val="0"/>
        <w:spacing w:before="0" w:after="120"/>
        <w:ind w:left="14" w:right="0" w:firstLine="533"/>
        <w:jc w:val="both"/>
        <w:rPr>
          <w:rFonts w:ascii="Times New Roman;Times;serif" w:hAnsi="Times New Roman;Times;serif"/>
          <w:sz w:val="20"/>
        </w:rPr>
      </w:pPr>
      <w:r>
        <w:rPr>
          <w:rFonts w:ascii="Times New Roman;Times;serif" w:hAnsi="Times New Roman;Times;serif"/>
          <w:sz w:val="20"/>
        </w:rPr>
        <w:t>During the year ended December 31, 2024, the Company raised gross proceeds of $100 million from the sale of 68,809,485 shares of its Common Stock pursuant to the Prior ATM Agreement at a weighted average price of $1.45 per share. The net offering proceeds from the Prior ATM Agreement during the year ended December 31, 2024 were $97.5 million, after deducting sales agent commissions of $2.5 million. As of December 31, 2025, there were no remaining shares available for sale under the Prior ATM Agreement.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Registered Direct Offering</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On November 27, 2024, the Company closed securities purchase agreements with two institutional investors pursuant to which the Company sold, in a registered direct offering, an aggregate of 50,000,000 shares of the Company’s Common Stock at a price of $2.00 per share. During the year ended December 31, 2024, the Company raised gross proceeds of $100.0 million from the registered direct offering and received net proceeds of $96.0 million, after deducting sales agent commissions of $4.0 million.</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Agreement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 entered into the Purchase Agreement with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During the year ended December 31, 2024, the Company received proceeds of $12.8 million from the issuance and sale of 10,056,799 shares of Common Stock to B. Riley under the Purchase Agreement. During the year ended December 31, 2023, the Company received proceeds of $20.5 million, from the issuance and sale of 13,421,082 shares of Common Stock to B. Riley under the Purchase Agreement. As of December 31, 2025, there were no remaining shares available for sale under the Purchase Agreement; as a result, the Purchase Agreement has terminated.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bookmarkStart w:id="997" w:name="Tc_cf1XgmyrUECQfz16fWizFQ_10_9"/>
      <w:bookmarkStart w:id="998" w:name="Tc_yAoZUdrmBES7tuM-pQcPPQ_10_4"/>
      <w:bookmarkStart w:id="999" w:name="Tc_do-RGMhlZkyjWdOQqfdG3g_10_0"/>
      <w:bookmarkStart w:id="1000" w:name="Tc_ztGmVwWFfUeIxfwnAjqctw_9_9"/>
      <w:bookmarkStart w:id="1001" w:name="Tc_Sq-herWgfkqeLv7qkkPCmg_9_4"/>
      <w:bookmarkStart w:id="1002" w:name="Tc_6QbzU0aRhkynOa9UPEhgXg_9_0"/>
      <w:bookmarkStart w:id="1003" w:name="Tc_TmJGdAKMXUiyPPp6LesYbw_8_5"/>
      <w:bookmarkStart w:id="1004" w:name="Tc_PsmSncogdUeZJgK-J5u7jg_8_2"/>
      <w:bookmarkStart w:id="1005" w:name="Tc_rVxxw6SSf0mB5kaiz8FK9g_8_0"/>
      <w:bookmarkStart w:id="1006" w:name="Tc_EqQT7oYzmUeRPYbqEqEadw_7_0"/>
      <w:bookmarkStart w:id="1007" w:name="Tc_P0KnBniF7kewZg5HNSQX3Q_6_5"/>
      <w:bookmarkStart w:id="1008" w:name="Tc_3iipt0ZYZEKIm02EoRXcWw_6_2"/>
      <w:bookmarkStart w:id="1009" w:name="Tc_5RB8dXnvC0GYbbTTSAQ7yg_6_0"/>
      <w:bookmarkStart w:id="1010" w:name="Tc_O-ByGRR3GEaR8kDhIuPY0Q_5_9"/>
      <w:bookmarkStart w:id="1011" w:name="Tc_gZBC3hoAokeYYcAVjuhk0Q_5_4"/>
      <w:bookmarkStart w:id="1012" w:name="Tc_irXOh44ekECj1e8OlXmQmA_5_0"/>
      <w:bookmarkStart w:id="1013" w:name="Tc_HgRoI-znmk2ZkVk2oNzYdQ_4_9"/>
      <w:bookmarkStart w:id="1014" w:name="Tc_nQSxqLMDO0GSGubd4IkA9w_4_7"/>
      <w:bookmarkStart w:id="1015" w:name="Tc_Ir6DR9nBDUOWO9P98Ov0cg_4_4"/>
      <w:bookmarkStart w:id="1016" w:name="Tc_MkqhSoI1KUieLU3EbsrDCA_4_2"/>
      <w:bookmarkStart w:id="1017" w:name="Tc_ndn_FyUT-EO5STCpRxJ8cQ_3_9"/>
      <w:bookmarkStart w:id="1018" w:name="Tc_q7JGwNyrwk2u8eEeXLf8ig_3_7"/>
      <w:bookmarkStart w:id="1019" w:name="Tc_8yjzdtMEI0OKE9uXMVwcTA_3_4"/>
      <w:bookmarkStart w:id="1020" w:name="Tc_Uo01zn2fz0a0L5mYHmI9qA_2_9"/>
      <w:bookmarkStart w:id="1021" w:name="Tc_oypV1TrdkE-uWI_99VCqKg_2_7"/>
      <w:bookmarkStart w:id="1022" w:name="Tc_nsY2bo551UyWbZgn82W5qA_2_4"/>
      <w:bookmarkStart w:id="1023" w:name="Tc_wvIq7Axyy0G6ocze21hWwQ_1_7"/>
      <w:bookmarkStart w:id="1024" w:name="Tc_REUe5sEXn0iJfEXxa7Bqvg_1_4"/>
      <w:bookmarkStart w:id="1025" w:name="_4b2b5efd_798c_4096_af69_208a60cfdd9b"/>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Times New Roman;Times;serif" w:hAnsi="Times New Roman;Times;serif"/>
          <w:b/>
          <w:sz w:val="20"/>
        </w:rPr>
        <w:t>(12) Stock-Based Compensation</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 Equity Incentive Plan</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2013, the Company adopted the 2013 Equity Incentive Plan ( the “2013 Plan”) which provided for the grant of qualified incentive stock options (“ISOs”) and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Equity Incentive Plan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Business Combination,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December 31, 2025, there were 30,119,436 shares of Common Stock reserved for issuance under the 2022 Plan, of which 18,037,435 shares remain available for future issuance.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number of shares reserved for issuance under the 2022 Plan will automatically increase on January 1st of each year for a period of </w:t>
      </w:r>
      <w:r>
        <w:rPr>
          <w:rFonts w:ascii="Times New Roman;Times;serif" w:hAnsi="Times New Roman;Times;serif"/>
          <w:b w:val="false"/>
          <w:i w:val="false"/>
          <w:caps w:val="false"/>
          <w:smallCaps w:val="false"/>
          <w:sz w:val="20"/>
        </w:rPr>
        <w:t>nine years</w:t>
      </w:r>
      <w:r>
        <w:rPr>
          <w:rFonts w:ascii="Times New Roman;Times;serif" w:hAnsi="Times New Roman;Times;serif"/>
          <w:sz w:val="20"/>
        </w:rPr>
        <w:t xml:space="preserve"> commencing on January 1, 2023 and ending on (and including) January 1, 2032, in an amount equal to 5% of the total number of shares of Common Stock of all classes outstanding on a fully diluted basis on December 31st of the preceding year; provided, however, that the board of directors of the Company may act prior to January 1st of a given year to provide that the increase for such year will be a lesser number of shares of Common Stock. Accordingly, as of January 1, 2026, the number of shares of Common Stock reserved for issuance under the 2022 Plan was increased by 17,806,062 shares.</w:t>
      </w:r>
    </w:p>
    <w:p>
      <w:pPr>
        <w:pStyle w:val="TextBody"/>
        <w:bidi w:val="0"/>
        <w:spacing w:before="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Activity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is a summary of stock option activity (intrinsic values in thousands):</w:t>
      </w:r>
    </w:p>
    <w:tbl>
      <w:tblPr>
        <w:tblW w:w="10205" w:type="dxa"/>
        <w:jc w:val="left"/>
        <w:tblInd w:w="0" w:type="dxa"/>
        <w:tblLayout w:type="fixed"/>
        <w:tblCellMar>
          <w:top w:w="0" w:type="dxa"/>
          <w:left w:w="0" w:type="dxa"/>
          <w:bottom w:w="0" w:type="dxa"/>
          <w:right w:w="0" w:type="dxa"/>
        </w:tblCellMar>
      </w:tblPr>
      <w:tblGrid>
        <w:gridCol w:w="3615"/>
        <w:gridCol w:w="346"/>
        <w:gridCol w:w="1457"/>
        <w:gridCol w:w="346"/>
        <w:gridCol w:w="350"/>
        <w:gridCol w:w="774"/>
        <w:gridCol w:w="346"/>
        <w:gridCol w:w="1110"/>
        <w:gridCol w:w="346"/>
        <w:gridCol w:w="445"/>
        <w:gridCol w:w="1070"/>
      </w:tblGrid>
      <w:tr>
        <w:trPr/>
        <w:tc>
          <w:tcPr>
            <w:tcW w:w="3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2250" cy="175260"/>
                      <wp:effectExtent l="0" t="0" r="0" b="0"/>
                      <wp:wrapNone/>
                      <wp:docPr id="146" name="Frame146"/>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91490" cy="175260"/>
                      <wp:effectExtent l="0" t="0" r="0" b="0"/>
                      <wp:wrapNone/>
                      <wp:docPr id="147" name="Frame147"/>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04850" cy="175260"/>
                      <wp:effectExtent l="0" t="0" r="0" b="0"/>
                      <wp:wrapNone/>
                      <wp:docPr id="149" name="Frame149"/>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82575" cy="175260"/>
                      <wp:effectExtent l="0" t="0" r="0" b="0"/>
                      <wp:wrapNone/>
                      <wp:docPr id="151" name="Frame151"/>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79450" cy="175260"/>
                      <wp:effectExtent l="0" t="0" r="0" b="0"/>
                      <wp:wrapNone/>
                      <wp:docPr id="152" name="Frame152"/>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445" w:type="dxa"/>
            <w:tcBorders/>
            <w:vAlign w:val="center"/>
          </w:tcPr>
          <w:p>
            <w:pPr>
              <w:pStyle w:val="TableContents"/>
              <w:bidi w:val="0"/>
              <w:spacing w:before="0" w:after="0"/>
              <w:ind w:left="0" w:right="0" w:hanging="0"/>
              <w:jc w:val="left"/>
              <w:rPr/>
            </w:pPr>
            <w:r>
              <w:rPr/>
              <w:t>  ​ ​ ​</w:t>
            </w:r>
          </w:p>
        </w:tc>
        <w:tc>
          <w:tcPr>
            <w:tcW w:w="1070" w:type="dxa"/>
            <w:tcBorders/>
            <w:vAlign w:val="center"/>
          </w:tcPr>
          <w:p>
            <w:pPr>
              <w:pStyle w:val="TableContents"/>
              <w:bidi w:val="0"/>
              <w:spacing w:before="0" w:after="0"/>
              <w:ind w:left="0" w:right="0" w:hanging="0"/>
              <w:jc w:val="center"/>
              <w:rPr/>
            </w:pPr>
            <w:r>
              <w:rPr/>
              <w:t>​</w:t>
            </w:r>
          </w:p>
        </w:tc>
      </w:tr>
      <w:tr>
        <w:trPr/>
        <w:tc>
          <w:tcPr>
            <w:tcW w:w="3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5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5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46" w:type="dxa"/>
            <w:tcBorders/>
            <w:vAlign w:val="center"/>
          </w:tcPr>
          <w:p>
            <w:pPr>
              <w:pStyle w:val="TableContents"/>
              <w:bidi w:val="0"/>
              <w:spacing w:before="0" w:after="0"/>
              <w:ind w:left="0" w:right="0" w:hanging="0"/>
              <w:jc w:val="left"/>
              <w:rPr/>
            </w:pPr>
            <w:r>
              <w:rPr/>
              <w:t>​</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46" w:type="dxa"/>
            <w:tcBorders/>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46" w:type="dxa"/>
            <w:tcBorders/>
            <w:vAlign w:val="center"/>
          </w:tcPr>
          <w:p>
            <w:pPr>
              <w:pStyle w:val="TableContents"/>
              <w:bidi w:val="0"/>
              <w:spacing w:before="0" w:after="0"/>
              <w:ind w:left="0" w:right="0" w:hanging="0"/>
              <w:jc w:val="left"/>
              <w:rPr/>
            </w:pPr>
            <w:r>
              <w:rPr/>
              <w:t>​</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(in thousands)</w:t>
            </w:r>
          </w:p>
        </w:tc>
      </w:tr>
      <w:tr>
        <w:trPr/>
        <w:tc>
          <w:tcPr>
            <w:tcW w:w="36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4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8,131,235</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0"/>
              <w:ind w:left="0" w:right="0" w:hanging="0"/>
              <w:jc w:val="left"/>
              <w:rPr/>
            </w:pPr>
            <w:r>
              <w:rPr/>
              <w:t> </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115,878</w:t>
            </w:r>
          </w:p>
        </w:tc>
      </w:tr>
      <w:tr>
        <w:trPr/>
        <w:tc>
          <w:tcPr>
            <w:tcW w:w="36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4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r>
      <w:tr>
        <w:trPr/>
        <w:tc>
          <w:tcPr>
            <w:tcW w:w="36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14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(2,350,771)</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c>
          <w:tcPr>
            <w:tcW w:w="346" w:type="dxa"/>
            <w:tcBorders/>
            <w:shd w:fill="CCEEFF" w:val="clear"/>
            <w:vAlign w:val="center"/>
          </w:tcPr>
          <w:p>
            <w:pPr>
              <w:pStyle w:val="TableContents"/>
              <w:bidi w:val="0"/>
              <w:spacing w:before="0" w:after="0"/>
              <w:ind w:left="0" w:right="0" w:hanging="0"/>
              <w:jc w:val="left"/>
              <w:rPr/>
            </w:pPr>
            <w:r>
              <w:rPr/>
              <w:t> </w:t>
            </w:r>
          </w:p>
        </w:tc>
        <w:tc>
          <w:tcPr>
            <w:tcW w:w="11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45"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34,746</w:t>
            </w:r>
          </w:p>
        </w:tc>
      </w:tr>
      <w:tr>
        <w:trPr/>
        <w:tc>
          <w:tcPr>
            <w:tcW w:w="36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46" w:type="dxa"/>
            <w:tcBorders/>
            <w:vAlign w:val="center"/>
          </w:tcPr>
          <w:p>
            <w:pPr>
              <w:pStyle w:val="TableContents"/>
              <w:bidi w:val="0"/>
              <w:spacing w:before="0" w:after="0"/>
              <w:ind w:left="0" w:right="0" w:hanging="0"/>
              <w:jc w:val="left"/>
              <w:rPr/>
            </w:pPr>
            <w:r>
              <w:rPr/>
              <w:t> </w:t>
            </w:r>
          </w:p>
        </w:tc>
        <w:tc>
          <w:tcPr>
            <w:tcW w:w="14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r>
      <w:tr>
        <w:trPr/>
        <w:tc>
          <w:tcPr>
            <w:tcW w:w="36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4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5,780,464</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121,825</w:t>
            </w:r>
          </w:p>
        </w:tc>
      </w:tr>
      <w:tr>
        <w:trPr/>
        <w:tc>
          <w:tcPr>
            <w:tcW w:w="36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December 31, 2025</w:t>
            </w:r>
          </w:p>
        </w:tc>
        <w:tc>
          <w:tcPr>
            <w:tcW w:w="346" w:type="dxa"/>
            <w:tcBorders/>
            <w:vAlign w:val="center"/>
          </w:tcPr>
          <w:p>
            <w:pPr>
              <w:pStyle w:val="TableContents"/>
              <w:bidi w:val="0"/>
              <w:spacing w:before="0" w:after="0"/>
              <w:ind w:left="0" w:right="0" w:hanging="0"/>
              <w:jc w:val="left"/>
              <w:rPr/>
            </w:pPr>
            <w:r>
              <w:rPr/>
              <w:t> </w:t>
            </w:r>
          </w:p>
        </w:tc>
        <w:tc>
          <w:tcPr>
            <w:tcW w:w="14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3,712,543</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0.91</w:t>
            </w:r>
          </w:p>
        </w:tc>
        <w:tc>
          <w:tcPr>
            <w:tcW w:w="34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78,849</w:t>
            </w:r>
          </w:p>
        </w:tc>
      </w:tr>
    </w:tbl>
    <w:p>
      <w:pPr>
        <w:pStyle w:val="TextBody"/>
        <w:bidi w:val="0"/>
        <w:spacing w:before="0" w:after="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Company’s outstanding stock options generally have exercise prices equal to fair market value on the date of grant, expire after ten years and have service-based vesting conditions ranging from 1-5 years, except that 500,000 stock options granted in 2022 have a market-based vesting condition tied to the Company’s Common Stock price. The vesting condition with respect to the market-based stock option grants was satisfied in January 2025.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There were no stock options granted during the year ended December 31, 2025. The weighted-average grant date fair value of stock options granted during the year ended December 31, 2024, was $1.27. The intrinsic value of a stock option is the amount by which the market price of the underlying Common Stock exceeds the option’s exercise price. The intrinsic value of stock options exercised during the years ended December 31, 2025 and December 31, 2024, was $34.7 million and $4.5 million, respectively. The Company received proceeds from stock option exercises during the years ended December 31, 2025 and December 31, 2024 of $2.0 million and $0.6 million, respectively.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Stock-based compensation expense related to stock options was $1.9 million for each of the years ended December 31, 2025 and December 31, 2024. As of December 31, 2025, the unrecognized compensation expense related to unvested stock options was $2.3 million, which is expected to be recognized over a weighted-average period of 1.64 years.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fair value of each stock option award is estimated on the date of grant using the Black-Scholes option-pricing model that uses the assumptions noted in the tables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bookmarkStart w:id="1026" w:name="Tc_VL-9uBkPX0KhO2wQXAI3rQ_8_4"/>
      <w:bookmarkStart w:id="1027" w:name="Tc_Gz4j5kK9sEe7ZeFUBrtn1Q_8_0"/>
      <w:bookmarkStart w:id="1028" w:name="Tc_WbI849GXCUusDSYqvriy8g_7_0"/>
      <w:bookmarkStart w:id="1029" w:name="Tc_ooObQGC_fUa2xoFffyNWXw_6_0"/>
      <w:bookmarkStart w:id="1030" w:name="Tc_gDLAjvqfNkSn55-lDMItqA_5_0"/>
      <w:bookmarkStart w:id="1031" w:name="Tc_3NeA1YLVY0GBL8qVMXJUIg_4_4"/>
      <w:bookmarkStart w:id="1032" w:name="Tc_y8cRl3_3ik6_gqyjGtQSlA_4_0"/>
      <w:bookmarkStart w:id="1033" w:name="Tc_8km8FesJJEeDQNbYHcU5fw_3_4"/>
      <w:bookmarkStart w:id="1034" w:name="Tc_EgRqc56cXEOa0QmVKrA0HQ_3_2"/>
      <w:bookmarkStart w:id="1035" w:name="Tc_GuQHwubHDEq3YbJpxOKIbg_2_4"/>
      <w:bookmarkStart w:id="1036" w:name="Tc_8nqy558yzEqzK37jbtOkuA_1_4"/>
      <w:bookmarkEnd w:id="1026"/>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sz w:val="20"/>
        </w:rPr>
        <w:t xml:space="preserve">For the first nine months of 2024, expected volatility for the Company’s Common Stock was determined based on a blended average of the historical volatility of a peer group of similar public companies, the historical volatility of the Company’s Common Stock and the implied volatility from the Company’s Public Warrants. For the last three months of 2024, expected volatility for the Company’s Common Stock was determined based on a one-third weighting of the historical volatility of a peer group of similar public companies and a two-thirds weighting of the historical volatility of the Company’s Common Stock. The implied volatility from the Company’s Public Warrants was excluded because the calculation did not produce a meaningful result. The Company had not been public for a sufficient length of time to derive expected volatility solely from trading in its Common Stock.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expected term of stock options granted was calculated using the simplified method, which represents the average of the contractual term and the weighted-average vesting period of the option. The Company uses the simplified method because it does not have sufficient historical exercise data for its options to provide a reasonable basis upon which to estimate the expected term.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assumed dividend yield was based upon the Company’s expectation of not paying dividends in the foreseeable future. The risk-free rate was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range of valuation assumptions used as inputs to the Black-Scholes option-pricing model to value service-based stock options granted during the year ended December 31, 2024 were as follows:</w:t>
      </w:r>
    </w:p>
    <w:p>
      <w:pPr>
        <w:pStyle w:val="TextBody"/>
        <w:bidi w:val="0"/>
        <w:spacing w:before="0" w:after="0"/>
        <w:ind w:left="0" w:right="0" w:hanging="0"/>
        <w:jc w:val="left"/>
        <w:rPr/>
      </w:pPr>
      <w:r>
        <w:rPr/>
        <w:t>​</w:t>
      </w:r>
    </w:p>
    <w:tbl>
      <w:tblPr>
        <w:tblW w:w="3531" w:type="dxa"/>
        <w:jc w:val="left"/>
        <w:tblInd w:w="0" w:type="dxa"/>
        <w:tblLayout w:type="fixed"/>
        <w:tblCellMar>
          <w:top w:w="0" w:type="dxa"/>
          <w:left w:w="0" w:type="dxa"/>
          <w:bottom w:w="0" w:type="dxa"/>
          <w:right w:w="0" w:type="dxa"/>
        </w:tblCellMar>
      </w:tblPr>
      <w:tblGrid>
        <w:gridCol w:w="1876"/>
        <w:gridCol w:w="109"/>
        <w:gridCol w:w="1546"/>
      </w:tblGrid>
      <w:tr>
        <w:trPr/>
        <w:tc>
          <w:tcPr>
            <w:tcW w:w="1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81710" cy="175260"/>
                      <wp:effectExtent l="0" t="0" r="0" b="0"/>
                      <wp:wrapNone/>
                      <wp:docPr id="154" name="Frame15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109" w:type="dxa"/>
            <w:tcBorders/>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$0.98 - $2.03</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112% - 130%</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4.18%-4.45%</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5.50 - 6.02</w:t>
            </w:r>
          </w:p>
        </w:tc>
      </w:tr>
    </w:tbl>
    <w:p>
      <w:pPr>
        <w:pStyle w:val="TextBody"/>
        <w:bidi w:val="0"/>
        <w:spacing w:before="0" w:after="0"/>
        <w:ind w:left="0" w:right="0" w:hanging="0"/>
        <w:jc w:val="left"/>
        <w:rPr/>
      </w:pPr>
      <w:r>
        <w:rPr/>
        <w:t>​</w:t>
      </w:r>
    </w:p>
    <w:p>
      <w:pPr>
        <w:pStyle w:val="TextBody"/>
        <w:bidi w:val="0"/>
        <w:spacing w:before="12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activity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is a summary of restricted stock unit (“RSU”) activity:</w:t>
      </w:r>
    </w:p>
    <w:p>
      <w:pPr>
        <w:pStyle w:val="TextBody"/>
        <w:bidi w:val="0"/>
        <w:spacing w:before="0" w:after="0"/>
        <w:ind w:left="0" w:right="0" w:hanging="0"/>
        <w:jc w:val="left"/>
        <w:rPr/>
      </w:pPr>
      <w:r>
        <w:rPr/>
        <w:t>​</w:t>
      </w:r>
    </w:p>
    <w:tbl>
      <w:tblPr>
        <w:tblW w:w="6109" w:type="dxa"/>
        <w:jc w:val="left"/>
        <w:tblInd w:w="0" w:type="dxa"/>
        <w:tblLayout w:type="fixed"/>
        <w:tblCellMar>
          <w:top w:w="0" w:type="dxa"/>
          <w:left w:w="0" w:type="dxa"/>
          <w:bottom w:w="0" w:type="dxa"/>
          <w:right w:w="0" w:type="dxa"/>
        </w:tblCellMar>
      </w:tblPr>
      <w:tblGrid>
        <w:gridCol w:w="2866"/>
        <w:gridCol w:w="346"/>
        <w:gridCol w:w="1051"/>
        <w:gridCol w:w="346"/>
        <w:gridCol w:w="381"/>
        <w:gridCol w:w="1119"/>
      </w:tblGrid>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7385" cy="175260"/>
                      <wp:effectExtent l="0" t="0" r="0" b="0"/>
                      <wp:wrapNone/>
                      <wp:docPr id="156" name="Frame15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1935" cy="175260"/>
                      <wp:effectExtent l="0" t="0" r="0" b="0"/>
                      <wp:wrapNone/>
                      <wp:docPr id="158" name="Frame15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10565" cy="175260"/>
                      <wp:effectExtent l="0" t="0" r="0" b="0"/>
                      <wp:wrapNone/>
                      <wp:docPr id="159" name="Frame159"/>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11,177,661</w:t>
            </w:r>
          </w:p>
        </w:tc>
        <w:tc>
          <w:tcPr>
            <w:tcW w:w="34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3,722,285</w:t>
            </w:r>
          </w:p>
        </w:tc>
        <w:tc>
          <w:tcPr>
            <w:tcW w:w="346"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(7,224,826)</w:t>
            </w:r>
          </w:p>
        </w:tc>
        <w:tc>
          <w:tcPr>
            <w:tcW w:w="346"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(341,938)</w:t>
            </w:r>
          </w:p>
        </w:tc>
        <w:tc>
          <w:tcPr>
            <w:tcW w:w="346" w:type="dxa"/>
            <w:tcBorders/>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7,333,182</w:t>
            </w:r>
          </w:p>
        </w:tc>
        <w:tc>
          <w:tcPr>
            <w:tcW w:w="346" w:type="dxa"/>
            <w:tcBorders/>
            <w:shd w:fill="CCEEFF" w:val="clear"/>
            <w:vAlign w:val="center"/>
          </w:tcPr>
          <w:p>
            <w:pPr>
              <w:pStyle w:val="TableContents"/>
              <w:bidi w:val="0"/>
              <w:spacing w:before="0" w:after="1"/>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7.15</w:t>
            </w:r>
          </w:p>
        </w:tc>
      </w:tr>
    </w:tbl>
    <w:p>
      <w:pPr>
        <w:pStyle w:val="TextBody"/>
        <w:bidi w:val="0"/>
        <w:spacing w:before="0" w:after="24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December 31, 2025, all of the Company’s non-vested RSUs have a service-based vesting condition ranging from 1-4 years. During the year ended December 31, 2023, the Company granted 3,850,000 RSUs with a market-based vesting condition tied to the Company’s stock price. Based upon the terms of such awards, 50% of the shares became vested when the Company’s Common Stock traded at or above $2.00 per share and the other 50% of the shares became vested when the Company’s Common Stock traded at or above $4.00 per share, for 20 out of 30 trading days through the fifth anniversary of the grant date. The $2.00 per share vesting condition </w:t>
      </w:r>
      <w:r>
        <w:rPr>
          <w:rFonts w:ascii="Times New Roman;Times;serif" w:hAnsi="Times New Roman;Times;serif"/>
          <w:color w:val="212529"/>
          <w:sz w:val="20"/>
          <w:shd w:fill="FFFFFF" w:val="clear"/>
        </w:rPr>
        <w:t>was satisfied in December 2024, and the $4.00 per share vesting condition was satisfied in January 2025.</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income tax withholding obligation for all RSUs are satisfied through the sale of shares into the market, otherwise known as Sell-To-Cover (“STC”). The STC transaction and the income tax withholding remittance for the market-based RSUs that vested in December 2024 took place on December 30, 2024. The $6.3 million proceeds from the STC were received by the Company on January 2, 2025, and is included in other current assets in the accompanying balance sheet as of December 31, 2024.</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weighted-average grant date fair value of RSUs granted during the years ended December 31, 2025 and December 31, 2024, was $14.02 and $1.07 per share, respectively. The aggregate fair value of outstanding RSUs based on the closing share price of the Company’s Common Stock as of December 31, 2025 and December 31, 2024, was $162.4 million and $170.6 million,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bookmarkStart w:id="1037" w:name="Tc_nq8ck7j3jEWMLninz0VLKA_5_5"/>
      <w:bookmarkStart w:id="1038" w:name="Tc_Qp8Wga38mkylOrAD4MlLOA_5_2"/>
      <w:bookmarkStart w:id="1039" w:name="Tc_odLxAqCddE-gBsHl4Z7kAQ_5_0"/>
      <w:bookmarkStart w:id="1040" w:name="Tc_5aSqvGjvqkGxsMxbZs3zpQ_4_0"/>
      <w:bookmarkStart w:id="1041" w:name="Tc_SD3dg4AeFEu8_DfRNyE0SQ_3_5"/>
      <w:bookmarkStart w:id="1042" w:name="Tc_MOsLVDwXzkGmsGUz1gfamw_3_2"/>
      <w:bookmarkStart w:id="1043" w:name="Tc_EFflpQZhj0-dX7XftsO4UQ_3_0"/>
      <w:bookmarkStart w:id="1044" w:name="Tc_cDM-NxRUZUmO4I7_jXtvzg_2_5"/>
      <w:bookmarkStart w:id="1045" w:name="Tc_ETMokQr_4kyijwQIGARZhQ_2_2"/>
      <w:bookmarkStart w:id="1046" w:name="Tc_X598IYlrtkSQ_c9MXdwHeg_1_2"/>
      <w:bookmarkStart w:id="1047" w:name="_9647eb57_2796_4c53_bfef_a42d941cc3dd"/>
      <w:bookmarkEnd w:id="1037"/>
      <w:bookmarkEnd w:id="1038"/>
      <w:bookmarkEnd w:id="1039"/>
      <w:bookmarkEnd w:id="1040"/>
      <w:bookmarkEnd w:id="1041"/>
      <w:bookmarkEnd w:id="1042"/>
      <w:bookmarkEnd w:id="1043"/>
      <w:bookmarkEnd w:id="1044"/>
      <w:bookmarkEnd w:id="1045"/>
      <w:bookmarkEnd w:id="1046"/>
      <w:bookmarkEnd w:id="1047"/>
      <w:r>
        <w:rPr>
          <w:rFonts w:ascii="Times New Roman;Times;serif" w:hAnsi="Times New Roman;Times;serif"/>
          <w:sz w:val="20"/>
        </w:rPr>
        <w:t>The aggregate fair value of RSUs that vested based on the closing price of the Company’s Common Stock on the vesting date during the years ended December 31, 2025, and December 31, 2024, was $80.5 million and $28.4 million, respectively.</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number of service-based RSUs granted during the years ended December 31, 2025 and December 31, 2024 was 3,722,285 and 7,380,872, respectively. The service-based RSUs vest over periods ranging from 1-4 years and require continuous employment. The fair value of the Company’s service-based RSUs was calculated based on the fair market value of the Company’s Common Stock on the date of grant.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Stock-based compensation expense related to RSUs was $15.7 million and $11.2 million for the years ended December 31, 2025 and December 31, 2024, respectively. As of December 31, 2025, the unrecognized compensation expense related to unvested RSUs was $49.8 million which is expected to be recognized over a weighted-average period of </w:t>
      </w:r>
      <w:r>
        <w:rPr>
          <w:rFonts w:ascii="Times New Roman;Times;serif" w:hAnsi="Times New Roman;Times;serif"/>
          <w:b w:val="false"/>
          <w:i w:val="false"/>
          <w:caps w:val="false"/>
          <w:smallCaps w:val="false"/>
          <w:sz w:val="20"/>
        </w:rPr>
        <w:t>2.45</w:t>
      </w:r>
      <w:r>
        <w:rPr>
          <w:rFonts w:ascii="Times New Roman;Times;serif" w:hAnsi="Times New Roman;Times;serif"/>
          <w:sz w:val="20"/>
        </w:rPr>
        <w:t xml:space="preserve"> years.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table below summarizes total stock-based compensation expenses for the years ended December 31, 2025 and December 31, 2024 (in thousands):</w:t>
      </w:r>
    </w:p>
    <w:tbl>
      <w:tblPr>
        <w:tblW w:w="6356" w:type="dxa"/>
        <w:jc w:val="left"/>
        <w:tblInd w:w="0" w:type="dxa"/>
        <w:tblLayout w:type="fixed"/>
        <w:tblCellMar>
          <w:top w:w="0" w:type="dxa"/>
          <w:left w:w="0" w:type="dxa"/>
          <w:bottom w:w="0" w:type="dxa"/>
          <w:right w:w="0" w:type="dxa"/>
        </w:tblCellMar>
      </w:tblPr>
      <w:tblGrid>
        <w:gridCol w:w="3736"/>
        <w:gridCol w:w="346"/>
        <w:gridCol w:w="211"/>
        <w:gridCol w:w="676"/>
        <w:gridCol w:w="346"/>
        <w:gridCol w:w="211"/>
        <w:gridCol w:w="676"/>
        <w:gridCol w:w="154"/>
      </w:tblGrid>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29260" cy="175260"/>
                      <wp:effectExtent l="0" t="0" r="0" b="0"/>
                      <wp:wrapNone/>
                      <wp:docPr id="162" name="Frame1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29260" cy="175260"/>
                      <wp:effectExtent l="0" t="0" r="0" b="0"/>
                      <wp:wrapNone/>
                      <wp:docPr id="165" name="Frame1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7790" cy="175260"/>
                      <wp:effectExtent l="0" t="0" r="0" b="0"/>
                      <wp:wrapNone/>
                      <wp:docPr id="166" name="Frame16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4,030</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13,069</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120" w:after="120"/>
        <w:ind w:left="0" w:right="0" w:hanging="0"/>
        <w:jc w:val="both"/>
        <w:rPr>
          <w:rFonts w:ascii="Times New Roman;Times;serif" w:hAnsi="Times New Roman;Times;serif"/>
          <w:b/>
          <w:sz w:val="20"/>
        </w:rPr>
      </w:pPr>
      <w:bookmarkStart w:id="1048" w:name="Tc_y4BIhaGS50aJsuOGIdhp8g_7_5"/>
      <w:bookmarkStart w:id="1049" w:name="Tc_mC1MlqdGK0ycN8LyDISCtQ_7_2"/>
      <w:bookmarkStart w:id="1050" w:name="Tc_5Ks2HMu9aUuMc0iUbvRqmg_7_0"/>
      <w:bookmarkStart w:id="1051" w:name="Tc_c1neAiX55U6kgjtATCVe9A_6_0"/>
      <w:bookmarkStart w:id="1052" w:name="Tc_ywDt5IS11ES2Y4FcACjO7g_5_0"/>
      <w:bookmarkStart w:id="1053" w:name="Tc_f4v_DJogu0StjtrgkhauxA_4_5"/>
      <w:bookmarkStart w:id="1054" w:name="Tc_uW-qdJWaM0W-xcccCSW5tw_4_2"/>
      <w:bookmarkStart w:id="1055" w:name="Tc_oEQ4djxXXUiv3bZYtyT-dQ_4_0"/>
      <w:bookmarkStart w:id="1056" w:name="Tc_sa2lgOISgUSnWS6Z7LilAw_3_0"/>
      <w:bookmarkStart w:id="1057" w:name="Tc_WwVQ935TmUa0w5Tj58nkVQ_2_5"/>
      <w:bookmarkStart w:id="1058" w:name="Tc_4FpIBTYF9kelCBGey1y9-Q_2_2"/>
      <w:bookmarkStart w:id="1059" w:name="Tc_TSO0txmtR0qFMyYMjuhcKw_1_2"/>
      <w:bookmarkStart w:id="1060" w:name="_c7803bef_fc80_458d_a33d_c1119a38317c"/>
      <w:bookmarkStart w:id="1061" w:name="_2114a55c_3e67_4aaf_a586_8920c85ba195"/>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Pr>
          <w:rFonts w:ascii="Times New Roman;Times;serif" w:hAnsi="Times New Roman;Times;serif"/>
          <w:b/>
          <w:sz w:val="20"/>
        </w:rPr>
        <w:t>(13)  Net Loss Per Share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table sets forth the computation of basic and diluted net loss per share attributable to Common Stockholders (in thousands, except per share amounts):</w:t>
      </w:r>
    </w:p>
    <w:tbl>
      <w:tblPr>
        <w:tblW w:w="7672" w:type="dxa"/>
        <w:jc w:val="left"/>
        <w:tblInd w:w="0" w:type="dxa"/>
        <w:tblLayout w:type="fixed"/>
        <w:tblCellMar>
          <w:top w:w="0" w:type="dxa"/>
          <w:left w:w="0" w:type="dxa"/>
          <w:bottom w:w="0" w:type="dxa"/>
          <w:right w:w="0" w:type="dxa"/>
        </w:tblCellMar>
      </w:tblPr>
      <w:tblGrid>
        <w:gridCol w:w="4711"/>
        <w:gridCol w:w="346"/>
        <w:gridCol w:w="211"/>
        <w:gridCol w:w="901"/>
        <w:gridCol w:w="346"/>
        <w:gridCol w:w="211"/>
        <w:gridCol w:w="946"/>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991485" cy="175260"/>
                      <wp:effectExtent l="0" t="0" r="0" b="0"/>
                      <wp:wrapNone/>
                      <wp:docPr id="167" name="Frame167"/>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72135" cy="175260"/>
                      <wp:effectExtent l="0" t="0" r="0" b="0"/>
                      <wp:wrapNone/>
                      <wp:docPr id="170" name="Frame17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00710" cy="175260"/>
                      <wp:effectExtent l="0" t="0" r="0" b="0"/>
                      <wp:wrapNone/>
                      <wp:docPr id="173" name="Frame17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(200,988)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184,666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vesting condition for all 2,479,000 Promote Sponsor Vesting Shares was satisfied on February 6, 2025, and the vesting condition for all 580,273 Sponsor Redemption-Based Vesting Shares was satisfied on August 14, 2025. For the year ended December 31, 2025, the Promote Sponsor Vesting Shares and the Sponsor Redemption-Based Vesting Shares have been included in the computations of basic and diluted net loss per share from their respective vesting dates. The Promote Sponsor Vesting Shares and the Sponsor Redemption-Based Vesting Shares were not included in the computations of basic and diluted net loss per share for the year ended December 31, 2024, because the vesting conditions related to these shares had not been met.</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weighted-average common shares outstanding for the years ended December 31, 2025 and December 31, 2024 include 682,939 and 963,297 weighted-average shares for warrants having an exercise price of $0.01 per share each, respectively. The Company’s potential dilutive securities, which include stock options, restricted stock units and warrants have been excluded from the computation of diluted net loss per share as the effect would be anti-dilutive. Therefore, the weighted average number of common shares outstanding used to calculate both basic and diluted net loss per share is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062" w:name="Tc__rj6ry3n2Eec6EDl6NDEDw_5_0"/>
      <w:bookmarkStart w:id="1063" w:name="Tc__a0eBQY0eE-kcLBDgbhhDQ_4_0"/>
      <w:bookmarkStart w:id="1064" w:name="Tc_SZm0W8G5iUafjRkFjtTMpQ_3_0"/>
      <w:bookmarkStart w:id="1065" w:name="Tc_BsXNWpcfykOD_23Q9M9cJg_2_4"/>
      <w:bookmarkStart w:id="1066" w:name="Tc_n1CxKOUT40eVuhjrhYOW1A_2_2"/>
      <w:bookmarkStart w:id="1067" w:name="Tc_Mqz3vPU-gkOykajwa0QF0w_1_2"/>
      <w:bookmarkStart w:id="1068" w:name="_1d383106_e83b_4e2b_85fd_7cf05aff5c52"/>
      <w:bookmarkEnd w:id="1062"/>
      <w:bookmarkEnd w:id="1063"/>
      <w:bookmarkEnd w:id="1064"/>
      <w:bookmarkEnd w:id="1065"/>
      <w:bookmarkEnd w:id="1066"/>
      <w:bookmarkEnd w:id="1067"/>
      <w:bookmarkEnd w:id="1068"/>
      <w:r>
        <w:rPr>
          <w:rFonts w:ascii="Times New Roman;Times;serif" w:hAnsi="Times New Roman;Times;serif"/>
          <w:sz w:val="20"/>
        </w:rPr>
        <w:t>The Company excluded the following potential common shares from the computation of diluted net loss per share for the years ended December 31, 2025 and December 31, 2024:</w:t>
      </w:r>
    </w:p>
    <w:tbl>
      <w:tblPr>
        <w:tblW w:w="5289" w:type="dxa"/>
        <w:jc w:val="left"/>
        <w:tblInd w:w="0" w:type="dxa"/>
        <w:tblLayout w:type="fixed"/>
        <w:tblCellMar>
          <w:top w:w="0" w:type="dxa"/>
          <w:left w:w="0" w:type="dxa"/>
          <w:bottom w:w="0" w:type="dxa"/>
          <w:right w:w="0" w:type="dxa"/>
        </w:tblCellMar>
      </w:tblPr>
      <w:tblGrid>
        <w:gridCol w:w="2371"/>
        <w:gridCol w:w="346"/>
        <w:gridCol w:w="1036"/>
        <w:gridCol w:w="346"/>
        <w:gridCol w:w="1036"/>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05585" cy="175260"/>
                      <wp:effectExtent l="0" t="0" r="0" b="0"/>
                      <wp:wrapNone/>
                      <wp:docPr id="174" name="Frame174"/>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57860" cy="175260"/>
                      <wp:effectExtent l="0" t="0" r="0" b="0"/>
                      <wp:wrapNone/>
                      <wp:docPr id="176" name="Frame1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57860" cy="175260"/>
                      <wp:effectExtent l="0" t="0" r="0" b="0"/>
                      <wp:wrapNone/>
                      <wp:docPr id="178" name="Frame17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97790" cy="175260"/>
                      <wp:effectExtent l="0" t="0" r="0" b="0"/>
                      <wp:wrapNone/>
                      <wp:docPr id="179" name="Frame17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10,068,883</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14,450,417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5,780,464</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8,131,235</w:t>
            </w:r>
          </w:p>
        </w:tc>
        <w:tc>
          <w:tcPr>
            <w:tcW w:w="154"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7,333,182</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11,177,661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23,182,529</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33,759,313</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does not include unvested customer warrants for 1,340,310</w:t>
            </w:r>
            <w:r>
              <w:rPr>
                <w:caps w:val="false"/>
                <w:smallCaps w:val="false"/>
              </w:rPr>
              <w:t xml:space="preserve"> </w:t>
            </w:r>
            <w:r>
              <w:rPr>
                <w:rFonts w:ascii="Times New Roman;Times;serif" w:hAnsi="Times New Roman;Times;serif"/>
                <w:b w:val="false"/>
                <w:i w:val="false"/>
                <w:caps w:val="false"/>
                <w:smallCaps w:val="false"/>
                <w:sz w:val="20"/>
              </w:rPr>
              <w:t>shares as of each of December 31, 2025 and December 31, 2024.</w:t>
            </w:r>
          </w:p>
        </w:tc>
      </w:tr>
    </w:tbl>
    <w:p>
      <w:pPr>
        <w:pStyle w:val="TextBody"/>
        <w:bidi w:val="0"/>
        <w:spacing w:before="0" w:after="0"/>
        <w:ind w:left="360" w:right="0" w:hanging="0"/>
        <w:jc w:val="both"/>
        <w:rPr/>
      </w:pPr>
      <w:r>
        <w:rPr/>
        <w:t>​</w:t>
      </w:r>
    </w:p>
    <w:p>
      <w:pPr>
        <w:pStyle w:val="TextBody"/>
        <w:bidi w:val="0"/>
        <w:spacing w:before="0" w:after="120"/>
        <w:ind w:left="0" w:right="0" w:hanging="0"/>
        <w:jc w:val="both"/>
        <w:rPr>
          <w:rFonts w:ascii="Times New Roman;Times;serif" w:hAnsi="Times New Roman;Times;serif"/>
          <w:b/>
          <w:sz w:val="20"/>
        </w:rPr>
      </w:pPr>
      <w:bookmarkStart w:id="1069" w:name="Tc_V0LDFc47zEKlEbuiIbDCFw_8_5"/>
      <w:bookmarkStart w:id="1070" w:name="Tc_1vxlJGvwFUePvKwlfFCo8A_8_2"/>
      <w:bookmarkStart w:id="1071" w:name="Tc_b5Htzrv1D0CfYlyRE_HGrQ_8_0"/>
      <w:bookmarkStart w:id="1072" w:name="Tc_kroZX_V5aEe0YmLZjrxzdw_7_5"/>
      <w:bookmarkStart w:id="1073" w:name="Tc_K9QjVMCjR0GSF8wBA5Gafw_7_2"/>
      <w:bookmarkStart w:id="1074" w:name="Tc_gNIy6y5JSU21acmg5X--aQ_7_0"/>
      <w:bookmarkStart w:id="1075" w:name="Tc_fuD-p0lfOEmN2ga4kxyRIw_6_5"/>
      <w:bookmarkStart w:id="1076" w:name="Tc_hKJWhibnfk6wbm-KAKjCTA_6_2"/>
      <w:bookmarkStart w:id="1077" w:name="Tc_0npe1kzPB0SIK79nddPNpw_6_0"/>
      <w:bookmarkStart w:id="1078" w:name="Tc_2Y9PNVsz6k61iqusq4KonQ_5_0"/>
      <w:bookmarkStart w:id="1079" w:name="Tc_u4nEB1Gq2UKCKcHviBwwEg_4_0"/>
      <w:bookmarkStart w:id="1080" w:name="Tc_O9o-6HNSqkmfJ1FhMOd3sw_3_5"/>
      <w:bookmarkStart w:id="1081" w:name="Tc_mFk4tfoYGEGgktOR3ZCJ-g_3_2"/>
      <w:bookmarkStart w:id="1082" w:name="Tc_1iYq6bohykaAa0dvsdJXAw_3_0"/>
      <w:bookmarkStart w:id="1083" w:name="Tc_iF9DDFoWy02ssQQm_LPLeg_2_5"/>
      <w:bookmarkStart w:id="1084" w:name="Tc_fjWfJxhTqk2YRs6wFkuxMA_2_2"/>
      <w:bookmarkStart w:id="1085" w:name="Tc_XHVfBXSVRUCG4uTbXquTAg_1_2"/>
      <w:bookmarkStart w:id="1086" w:name="Tc_0MLgtN20EUaUlK8sI0aYSQ_5_9"/>
      <w:bookmarkStart w:id="1087" w:name="Tc_7Eu8TpCJ8EO-yR191MqdtQ_5_8"/>
      <w:bookmarkStart w:id="1088" w:name="Tc_0w8tmKWqbEGwGpX1HCmDUQ_5_5"/>
      <w:bookmarkStart w:id="1089" w:name="Tc_dOcXKO4svkWZi4PQcK4jwQ_5_2"/>
      <w:bookmarkStart w:id="1090" w:name="Tc_ORvCt7KHjkKRFHOF5XMALw_5_0"/>
      <w:bookmarkStart w:id="1091" w:name="Tc_nVwHPcIbo0GF_4PGrwlRfQ_4_8"/>
      <w:bookmarkStart w:id="1092" w:name="Tc_LQom_1Nb4kuDL3nWE-sN1Q_4_5"/>
      <w:bookmarkStart w:id="1093" w:name="Tc_4MetaxoXM0idNLUYYZxgWA_4_2"/>
      <w:bookmarkStart w:id="1094" w:name="Tc_yBga4OyOCUKEOgOoB47ELg_4_0"/>
      <w:bookmarkStart w:id="1095" w:name="Tc_HrC6lErskkCCSmhHArZNbA_3_8"/>
      <w:bookmarkStart w:id="1096" w:name="Tc_20VLPYVjiE-aAVxXwpZXeg_3_5"/>
      <w:bookmarkStart w:id="1097" w:name="Tc_vKMD0bzt9kiHba-P6XruvA_3_2"/>
      <w:bookmarkStart w:id="1098" w:name="Tc_OlBwfOT1kECIwLPuBQCgOA_3_0"/>
      <w:bookmarkStart w:id="1099" w:name="Tc_1rHmal-FdU2EsDFCRv6a7A_2_8"/>
      <w:bookmarkStart w:id="1100" w:name="Tc_VqYDVRai70-wzAk0CQXiMw_2_5"/>
      <w:bookmarkStart w:id="1101" w:name="Tc_MIn18njW_0ysOCjkFfEGYQ_2_2"/>
      <w:bookmarkStart w:id="1102" w:name="Tc_Y1lVz4loC06-PHVHY6CMQA_2_0"/>
      <w:bookmarkStart w:id="1103" w:name="Tc_nOpygTQ2lEux15CY9lrxpw_1_8"/>
      <w:bookmarkStart w:id="1104" w:name="Tc_ULZ6ZLopA0u9zhPJWvF1Cg_1_5"/>
      <w:bookmarkStart w:id="1105" w:name="Tc_IW5O3qODXUOFHwtVB9167w_1_2"/>
      <w:bookmarkStart w:id="1106" w:name="Tc_Q_PjqVrhiU6DjF0lNpYj9w_5_5"/>
      <w:bookmarkStart w:id="1107" w:name="Tc_hbTxU-CXV0esnZ-KPxVXJQ_5_2"/>
      <w:bookmarkStart w:id="1108" w:name="Tc_B__zkZbLckiPg-qel8hcvA_4_0"/>
      <w:bookmarkStart w:id="1109" w:name="Tc_gukOHyy63USWjUoOIdpKMw_3_5"/>
      <w:bookmarkStart w:id="1110" w:name="Tc_8NQdHchRkE-dFR00i4t8Lg_3_3"/>
      <w:bookmarkStart w:id="1111" w:name="Tc_wKW4GkhI30CFkEnhpbA2JQ_3_2"/>
      <w:bookmarkStart w:id="1112" w:name="Tc_74kroCaZkkq-bv_XUXdwug_3_0"/>
      <w:bookmarkStart w:id="1113" w:name="Tc_UU28QIEpAU6w1uEz0D8Cig_2_5"/>
      <w:bookmarkStart w:id="1114" w:name="Tc_5-QoOCtWLE2RndAvfzc2lQ_2_2"/>
      <w:bookmarkStart w:id="1115" w:name="Tc_z2rCM20ecU6Tvsz0ZKkBCQ_1_2"/>
      <w:bookmarkStart w:id="1116" w:name="_0c4b1e76_f811_474b_a100_3e520ad6a8a3"/>
      <w:bookmarkStart w:id="1117" w:name="Tc_KEFf4XBgwkKN7_f_D7xjzw_6_5"/>
      <w:bookmarkStart w:id="1118" w:name="Tc_v6_CpQUKCUi3zRrfjNASqg_6_2"/>
      <w:bookmarkStart w:id="1119" w:name="Tc_y_6rasMDe0O6hpK2oEG8Hg_5_0"/>
      <w:bookmarkStart w:id="1120" w:name="Tc__4jwaYHg3EOgdg6cXD-GRA_4_3"/>
      <w:bookmarkStart w:id="1121" w:name="Tc_9G2zUvlwz0m4opdovhqD7Q_4_0"/>
      <w:bookmarkStart w:id="1122" w:name="Tc_Npx2JO1qT0ugiqVEj77X0w_3_5"/>
      <w:bookmarkStart w:id="1123" w:name="Tc_5YW-9geBg0aW-5t3xsX7Sg_3_2"/>
      <w:bookmarkStart w:id="1124" w:name="Tc_sn-cIdwP-keds0WCcWHHmQ_3_0"/>
      <w:bookmarkStart w:id="1125" w:name="Tc_X18F3ZfidESW5f1OvARHZw_2_5"/>
      <w:bookmarkStart w:id="1126" w:name="Tc_xewQN5o_g0-Donc1H_yXhQ_2_2"/>
      <w:bookmarkStart w:id="1127" w:name="Tc_ny7RN4_v90-vmDX3Zu7IoQ_1_2"/>
      <w:bookmarkStart w:id="1128" w:name="_544c28b4_e581_431d_9856_f5ebcc09c48e"/>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Times New Roman;Times;serif" w:hAnsi="Times New Roman;Times;serif"/>
          <w:b/>
          <w:sz w:val="20"/>
        </w:rPr>
        <w:t>(14) Revenue Recognition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years ended December 31, 2025 and December 31, 2024 (in thousands):</w:t>
      </w:r>
    </w:p>
    <w:tbl>
      <w:tblPr>
        <w:tblW w:w="7886" w:type="dxa"/>
        <w:jc w:val="left"/>
        <w:tblInd w:w="0" w:type="dxa"/>
        <w:tblLayout w:type="fixed"/>
        <w:tblCellMar>
          <w:top w:w="0" w:type="dxa"/>
          <w:left w:w="0" w:type="dxa"/>
          <w:bottom w:w="0" w:type="dxa"/>
          <w:right w:w="0" w:type="dxa"/>
        </w:tblCellMar>
      </w:tblPr>
      <w:tblGrid>
        <w:gridCol w:w="5371"/>
        <w:gridCol w:w="346"/>
        <w:gridCol w:w="211"/>
        <w:gridCol w:w="571"/>
        <w:gridCol w:w="346"/>
        <w:gridCol w:w="211"/>
        <w:gridCol w:w="676"/>
        <w:gridCol w:w="154"/>
      </w:tblGrid>
      <w:tr>
        <w:trPr/>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410585" cy="175260"/>
                      <wp:effectExtent l="0" t="0" r="0" b="0"/>
                      <wp:wrapNone/>
                      <wp:docPr id="180" name="Frame180"/>
                      <a:graphic xmlns:a="http://schemas.openxmlformats.org/drawingml/2006/main">
                        <a:graphicData uri="http://schemas.microsoft.com/office/word/2010/wordprocessingShape">
                          <wps:wsp>
                            <wps:cNvSpPr txBox="1"/>
                            <wps:spPr>
                              <a:xfrm>
                                <a:off x="0" y="0"/>
                                <a:ext cx="341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62585" cy="175260"/>
                      <wp:effectExtent l="0" t="0" r="0" b="0"/>
                      <wp:wrapNone/>
                      <wp:docPr id="183" name="Frame1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6"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7790" cy="175260"/>
                      <wp:effectExtent l="0" t="0" r="0" b="0"/>
                      <wp:wrapNone/>
                      <wp:docPr id="187" name="Frame18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54" w:type="dxa"/>
            <w:tcBorders/>
            <w:vAlign w:val="center"/>
          </w:tcPr>
          <w:p>
            <w:pPr>
              <w:pStyle w:val="TableContents"/>
              <w:bidi w:val="0"/>
              <w:spacing w:before="0" w:after="0"/>
              <w:ind w:left="0" w:right="0" w:hanging="0"/>
              <w:jc w:val="center"/>
              <w:rPr/>
            </w:pPr>
            <w:r>
              <w:rPr/>
              <w:t>​</w:t>
            </w:r>
          </w:p>
        </w:tc>
      </w:tr>
      <w:tr>
        <w:trPr/>
        <w:tc>
          <w:tcPr>
            <w:tcW w:w="5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Collaborative research and professional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Collaborative research materials and sales of quantum computers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c>
          <w:tcPr>
            <w:tcW w:w="154" w:type="dxa"/>
            <w:tcBorders/>
            <w:vAlign w:val="center"/>
          </w:tcPr>
          <w:p>
            <w:pPr>
              <w:pStyle w:val="TableContents"/>
              <w:bidi w:val="0"/>
              <w:spacing w:before="0" w:after="0"/>
              <w:ind w:left="0" w:right="0" w:hanging="0"/>
              <w:jc w:val="left"/>
              <w:rPr/>
            </w:pPr>
            <w:r>
              <w:rPr/>
              <w:t>​</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5689" w:type="dxa"/>
        <w:jc w:val="left"/>
        <w:tblInd w:w="0" w:type="dxa"/>
        <w:tblLayout w:type="fixed"/>
        <w:tblCellMar>
          <w:top w:w="0" w:type="dxa"/>
          <w:left w:w="0" w:type="dxa"/>
          <w:bottom w:w="0" w:type="dxa"/>
          <w:right w:w="0" w:type="dxa"/>
        </w:tblCellMar>
      </w:tblPr>
      <w:tblGrid>
        <w:gridCol w:w="3211"/>
        <w:gridCol w:w="346"/>
        <w:gridCol w:w="211"/>
        <w:gridCol w:w="571"/>
        <w:gridCol w:w="346"/>
        <w:gridCol w:w="211"/>
        <w:gridCol w:w="793"/>
      </w:tblGrid>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62585" cy="175260"/>
                      <wp:effectExtent l="0" t="0" r="0" b="0"/>
                      <wp:wrapNone/>
                      <wp:docPr id="190" name="Frame1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3555" cy="175260"/>
                      <wp:effectExtent l="0" t="0" r="0" b="0"/>
                      <wp:wrapNone/>
                      <wp:docPr id="193" name="Frame19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9,211</w:t>
            </w:r>
          </w:p>
        </w:tc>
      </w:tr>
      <w:tr>
        <w:trPr/>
        <w:tc>
          <w:tcPr>
            <w:tcW w:w="3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10,790</w:t>
            </w:r>
          </w:p>
        </w:tc>
      </w:tr>
    </w:tbl>
    <w:p>
      <w:pPr>
        <w:pStyle w:val="TextBody"/>
        <w:bidi w:val="0"/>
        <w:spacing w:before="0" w:after="240"/>
        <w:ind w:left="0" w:right="0" w:firstLine="540"/>
        <w:jc w:val="both"/>
        <w:rPr/>
      </w:pPr>
      <w:r>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Selected consolidated balance sheet line items that reflect accounts receivable, contract assets and liabilities as of December 31, 2025, December 31, 2024 and December 31, 2023 were as follows (in thousands):</w:t>
      </w:r>
    </w:p>
    <w:p>
      <w:pPr>
        <w:pStyle w:val="TextBody"/>
        <w:bidi w:val="0"/>
        <w:spacing w:before="0" w:after="0"/>
        <w:ind w:left="0" w:right="0" w:hanging="0"/>
        <w:jc w:val="left"/>
        <w:rPr/>
      </w:pPr>
      <w:r>
        <w:rPr/>
        <w:t>​</w:t>
      </w:r>
    </w:p>
    <w:tbl>
      <w:tblPr>
        <w:tblW w:w="8735" w:type="dxa"/>
        <w:jc w:val="left"/>
        <w:tblInd w:w="0" w:type="dxa"/>
        <w:tblLayout w:type="fixed"/>
        <w:tblCellMar>
          <w:top w:w="0" w:type="dxa"/>
          <w:left w:w="0" w:type="dxa"/>
          <w:bottom w:w="0" w:type="dxa"/>
          <w:right w:w="0" w:type="dxa"/>
        </w:tblCellMar>
      </w:tblPr>
      <w:tblGrid>
        <w:gridCol w:w="3151"/>
        <w:gridCol w:w="346"/>
        <w:gridCol w:w="403"/>
        <w:gridCol w:w="1097"/>
        <w:gridCol w:w="346"/>
        <w:gridCol w:w="405"/>
        <w:gridCol w:w="1096"/>
        <w:gridCol w:w="346"/>
        <w:gridCol w:w="394"/>
        <w:gridCol w:w="115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00885" cy="175260"/>
                      <wp:effectExtent l="0" t="0" r="0" b="0"/>
                      <wp:wrapNone/>
                      <wp:docPr id="194" name="Frame194"/>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55905" cy="175260"/>
                      <wp:effectExtent l="0" t="0" r="0" b="0"/>
                      <wp:wrapNone/>
                      <wp:docPr id="196" name="Frame19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6595" cy="175260"/>
                      <wp:effectExtent l="0" t="0" r="0" b="0"/>
                      <wp:wrapNone/>
                      <wp:docPr id="197" name="Frame197"/>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7175" cy="175260"/>
                      <wp:effectExtent l="0" t="0" r="0" b="0"/>
                      <wp:wrapNone/>
                      <wp:docPr id="199" name="Frame199"/>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5960" cy="175260"/>
                      <wp:effectExtent l="0" t="0" r="0" b="0"/>
                      <wp:wrapNone/>
                      <wp:docPr id="200" name="Frame20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0190" cy="175260"/>
                      <wp:effectExtent l="0" t="0" r="0" b="0"/>
                      <wp:wrapNone/>
                      <wp:docPr id="202" name="Frame202"/>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30885" cy="175260"/>
                      <wp:effectExtent l="0" t="0" r="0" b="0"/>
                      <wp:wrapNone/>
                      <wp:docPr id="203" name="Frame203"/>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w:t>
            </w:r>
          </w:p>
        </w:tc>
        <w:tc>
          <w:tcPr>
            <w:tcW w:w="34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2,650</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46"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1,347</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w:t>
            </w:r>
          </w:p>
        </w:tc>
        <w:tc>
          <w:tcPr>
            <w:tcW w:w="34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2,379</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1"/>
              <w:ind w:left="0" w:right="72" w:hanging="0"/>
              <w:jc w:val="right"/>
              <w:rPr/>
            </w:pPr>
            <w:r>
              <w:rPr/>
              <w:t>—</w:t>
            </w:r>
          </w:p>
        </w:tc>
      </w:tr>
    </w:tbl>
    <w:p>
      <w:pPr>
        <w:pStyle w:val="TextBody"/>
        <w:bidi w:val="0"/>
        <w:spacing w:before="0" w:after="24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5771" w:type="dxa"/>
        <w:jc w:val="left"/>
        <w:tblInd w:w="0" w:type="dxa"/>
        <w:tblLayout w:type="fixed"/>
        <w:tblCellMar>
          <w:top w:w="0" w:type="dxa"/>
          <w:left w:w="0" w:type="dxa"/>
          <w:bottom w:w="0" w:type="dxa"/>
          <w:right w:w="0" w:type="dxa"/>
        </w:tblCellMar>
      </w:tblPr>
      <w:tblGrid>
        <w:gridCol w:w="3271"/>
        <w:gridCol w:w="346"/>
        <w:gridCol w:w="211"/>
        <w:gridCol w:w="691"/>
        <w:gridCol w:w="346"/>
        <w:gridCol w:w="211"/>
        <w:gridCol w:w="541"/>
        <w:gridCol w:w="154"/>
      </w:tblGrid>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38785" cy="175260"/>
                      <wp:effectExtent l="0" t="0" r="0" b="0"/>
                      <wp:wrapNone/>
                      <wp:docPr id="206" name="Frame2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43535" cy="175260"/>
                      <wp:effectExtent l="0" t="0" r="0" b="0"/>
                      <wp:wrapNone/>
                      <wp:docPr id="209" name="Frame20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7790" cy="175260"/>
                      <wp:effectExtent l="0" t="0" r="0" b="0"/>
                      <wp:wrapNone/>
                      <wp:docPr id="210" name="Frame2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Amounts recognized as revenue from beginning contract liabilities during the years ended December 31, 2025 and December 31, 2024 totaled $0.1 million and $0.2 million, respectively. Remaining performance obligations represent the portion of the transaction price that has not yet been satisfied or achieved. As of December 31, 2025, the aggregate amount of the transaction price allocated to remaining performance obligations was approximately $3.8 million. The Company expects to recognize estimated revenues related to performance obligations that are unsatisfied (or partially satisfied) during the next twelve months, except for remaining performance obligations totaling $0.8 million.</w:t>
      </w:r>
    </w:p>
    <w:p>
      <w:pPr>
        <w:pStyle w:val="TextBody"/>
        <w:bidi w:val="0"/>
        <w:spacing w:before="0" w:after="12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in accordance with ASC 340-40. Accordingly, the Company did not have any capitalized contract fulfillment costs as of December 31, 2025 or December 31, 2024.</w:t>
      </w:r>
    </w:p>
    <w:p>
      <w:pPr>
        <w:pStyle w:val="TextBody"/>
        <w:bidi w:val="0"/>
        <w:spacing w:before="0" w:after="120"/>
        <w:ind w:left="0" w:right="0" w:hanging="0"/>
        <w:jc w:val="both"/>
        <w:rPr>
          <w:rFonts w:ascii="Times New Roman;Times;serif" w:hAnsi="Times New Roman;Times;serif"/>
          <w:b/>
          <w:sz w:val="20"/>
        </w:rPr>
      </w:pPr>
      <w:bookmarkStart w:id="1129" w:name="Tc_xeUWb0zU7EmQDsDeJCPgQw_7_2"/>
      <w:bookmarkStart w:id="1130" w:name="Tc_xZk-VtIQ6UKnl8eJ91RuMw_7_0"/>
      <w:bookmarkStart w:id="1131" w:name="Tc_xlwOjvP5OE6a6JLDSVfmEQ_6_0"/>
      <w:bookmarkStart w:id="1132" w:name="Tc_M7iS65MdpU2dyJfbxFjsCw_5_4"/>
      <w:bookmarkStart w:id="1133" w:name="Tc_Ro402v5kZkyWwetYedJdrQ_5_0"/>
      <w:bookmarkStart w:id="1134" w:name="Tc_BCzL2FPtNUWMNTYWHMHp3Q_4_0"/>
      <w:bookmarkStart w:id="1135" w:name="Tc_n0sG17OiYkS7g_kcVercmA_3_2"/>
      <w:bookmarkStart w:id="1136" w:name="Tc__BW8eWUAikm2hL5XWZ8ruA_3_0"/>
      <w:bookmarkStart w:id="1137" w:name="Tc_N5ExdoHDy0SOMKMb5DJgFg_2_4"/>
      <w:bookmarkStart w:id="1138" w:name="Tc_Al5Rx-h3zUyqMlATQ1zHmw_2_2"/>
      <w:bookmarkStart w:id="1139" w:name="Tc_bI5pcuyiEESWQLsAyVKg2w_1_2"/>
      <w:bookmarkStart w:id="1140" w:name="_b76845b5_aaf7_46de_aad3_b5bbe3700e2a"/>
      <w:bookmarkStart w:id="1141" w:name="Tc_U-KhwbAW30uWI456Tig3Yg_6_5"/>
      <w:bookmarkStart w:id="1142" w:name="Tc_gY3jkx7h40Cv6C32HH1kyw_6_2"/>
      <w:bookmarkStart w:id="1143" w:name="Tc_g694Mz7jzE-EzU9qnv7xWQ_6_0"/>
      <w:bookmarkStart w:id="1144" w:name="Tc_Go3pdXiaq02dUbRpBcrp7g_5_0"/>
      <w:bookmarkStart w:id="1145" w:name="Tc_OaqbLF846kiC7XA-Ao9nfQ_4_0"/>
      <w:bookmarkStart w:id="1146" w:name="Tc_Tr1ZcA-PsUa0h9N5iFJ2SQ_3_5"/>
      <w:bookmarkStart w:id="1147" w:name="Tc_FxyeLHnK6kqfL4PJf2_y-g_3_2"/>
      <w:bookmarkStart w:id="1148" w:name="Tc_5CIMLx3FQECoMqeZaxzx5w_3_0"/>
      <w:bookmarkStart w:id="1149" w:name="Tc_wRUyNPZipUKVSbIPYOCQbQ_2_5"/>
      <w:bookmarkStart w:id="1150" w:name="Tc_CmAF8k8z-UCE0YIV2Jbb_w_2_2"/>
      <w:bookmarkStart w:id="1151" w:name="Tc_yx7g5d_inkexOcvQp3fTTg_1_2"/>
      <w:bookmarkStart w:id="1152" w:name="_c908a094_7ccc_419b_a40d_693dafef2c95"/>
      <w:bookmarkStart w:id="1153" w:name="Tc_fmYkxq1Vokax_FwakHrzrw_14_5"/>
      <w:bookmarkStart w:id="1154" w:name="Tc_J2Wd1hHd3kGy70ejcvnxug_14_2"/>
      <w:bookmarkStart w:id="1155" w:name="Tc_yekei-NUjUOmkM95eEDplw_14_0"/>
      <w:bookmarkStart w:id="1156" w:name="Tc_u4NUwvotQki3e79Nota6ow_13_0"/>
      <w:bookmarkStart w:id="1157" w:name="Tc_7IzCUoZg1U-inBd-NNaXKA_12_3"/>
      <w:bookmarkStart w:id="1158" w:name="Tc_418Dtqyzaky0b-YqpMb88A_12_0"/>
      <w:bookmarkStart w:id="1159" w:name="Tc_Bdy0Cea8J0GndejO2RsxKQ_11_0"/>
      <w:bookmarkStart w:id="1160" w:name="Tc_3FRDguUqt0meuMFEbM65zQ_10_0"/>
      <w:bookmarkStart w:id="1161" w:name="Tc_iiH3VfQCEk28GcJaOB9dHA_9_0"/>
      <w:bookmarkStart w:id="1162" w:name="Tc_WAj6i3Y1KkO7w3ZeW2qjqQ_8_0"/>
      <w:bookmarkStart w:id="1163" w:name="Tc_q20oE6AYMEucs_djRVYILg_7_0"/>
      <w:bookmarkStart w:id="1164" w:name="Tc_NDt7Rok7FU6a-cx_S0ANsw_6_0"/>
      <w:bookmarkStart w:id="1165" w:name="Tc_eH5PM-VZi0qPqhWf18o08w_5_0"/>
      <w:bookmarkStart w:id="1166" w:name="Tc_2iWZdqd9zUahIAg3f1N5uA_4_0"/>
      <w:bookmarkStart w:id="1167" w:name="Tc_k5ZltXzRUUe8aHrcwDG2Qw_3_5"/>
      <w:bookmarkStart w:id="1168" w:name="Tc_6tslkvR3_k6fUcSg6hz8lQ_3_2"/>
      <w:bookmarkStart w:id="1169" w:name="Tc_-wKkiK_DLEiALT1D7UhylQ_3_0"/>
      <w:bookmarkStart w:id="1170" w:name="Tc__uO8fiKdXUmxBHsFsK3o-g_2_5"/>
      <w:bookmarkStart w:id="1171" w:name="Tc_NOIFKv395UmJkKaLS-YUgw_2_2"/>
      <w:bookmarkStart w:id="1172" w:name="Tc_vyC2y1veo0q1YoyXR-_QwA_1_2"/>
      <w:bookmarkStart w:id="1173" w:name="_8509d702_48a8_4fa3_a883_c36c26643aac"/>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r>
        <w:rPr>
          <w:rFonts w:ascii="Times New Roman;Times;serif" w:hAnsi="Times New Roman;Times;serif"/>
          <w:b/>
          <w:sz w:val="20"/>
        </w:rPr>
        <w:t>(15)  Segments, Geographical Information, Concentrations and Significant Customers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addition to consolidated net loss, our CODM reviews and utilizes natural expenses such as employee wages and benefits at a consolidated level to manage the Company’s operations and strategic growth initiatives. The measure of segment assets is reported in the balance sheet as total consolidated assets. The following table sets forth our segment information of revenue, significant segment expenses and net loss (in thousands):</w:t>
      </w:r>
    </w:p>
    <w:tbl>
      <w:tblPr>
        <w:tblW w:w="6262" w:type="dxa"/>
        <w:jc w:val="left"/>
        <w:tblInd w:w="0" w:type="dxa"/>
        <w:tblLayout w:type="fixed"/>
        <w:tblCellMar>
          <w:top w:w="0" w:type="dxa"/>
          <w:left w:w="0" w:type="dxa"/>
          <w:bottom w:w="0" w:type="dxa"/>
          <w:right w:w="0" w:type="dxa"/>
        </w:tblCellMar>
      </w:tblPr>
      <w:tblGrid>
        <w:gridCol w:w="3301"/>
        <w:gridCol w:w="346"/>
        <w:gridCol w:w="211"/>
        <w:gridCol w:w="901"/>
        <w:gridCol w:w="346"/>
        <w:gridCol w:w="211"/>
        <w:gridCol w:w="94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96135" cy="175260"/>
                      <wp:effectExtent l="0" t="0" r="0" b="0"/>
                      <wp:wrapNone/>
                      <wp:docPr id="211" name="Frame211"/>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72135" cy="175260"/>
                      <wp:effectExtent l="0" t="0" r="0" b="0"/>
                      <wp:wrapNone/>
                      <wp:docPr id="214" name="Frame2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00710" cy="175260"/>
                      <wp:effectExtent l="0" t="0" r="0" b="0"/>
                      <wp:wrapNone/>
                      <wp:docPr id="217" name="Frame21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and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 and legal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&amp; IT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and indirect materials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w:t>
            </w:r>
          </w:p>
        </w:tc>
      </w:tr>
      <w:tr>
        <w:trPr/>
        <w:tc>
          <w:tcPr>
            <w:tcW w:w="33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137,091</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(200,988)</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include interest income, changes in fair value of derivative warrant liabilities and earnout liabilities and other operational expenses which are reflected in the consolidated statements of operations.</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tbl>
      <w:tblPr>
        <w:tblW w:w="3844" w:type="dxa"/>
        <w:jc w:val="left"/>
        <w:tblInd w:w="0" w:type="dxa"/>
        <w:tblLayout w:type="fixed"/>
        <w:tblCellMar>
          <w:top w:w="0" w:type="dxa"/>
          <w:left w:w="0" w:type="dxa"/>
          <w:bottom w:w="0" w:type="dxa"/>
          <w:right w:w="0" w:type="dxa"/>
        </w:tblCellMar>
      </w:tblPr>
      <w:tblGrid>
        <w:gridCol w:w="1366"/>
        <w:gridCol w:w="346"/>
        <w:gridCol w:w="211"/>
        <w:gridCol w:w="571"/>
        <w:gridCol w:w="346"/>
        <w:gridCol w:w="211"/>
        <w:gridCol w:w="793"/>
      </w:tblGrid>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62585" cy="175260"/>
                      <wp:effectExtent l="0" t="0" r="0" b="0"/>
                      <wp:wrapNone/>
                      <wp:docPr id="220" name="Frame2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03555" cy="175260"/>
                      <wp:effectExtent l="0" t="0" r="0" b="0"/>
                      <wp:wrapNone/>
                      <wp:docPr id="223" name="Frame22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and others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10,790</w:t>
            </w:r>
          </w:p>
        </w:tc>
      </w:tr>
    </w:tbl>
    <w:p>
      <w:pPr>
        <w:pStyle w:val="TextBody"/>
        <w:bidi w:val="0"/>
        <w:spacing w:before="0" w:after="0"/>
        <w:ind w:left="0" w:right="0" w:hanging="0"/>
        <w:jc w:val="left"/>
        <w:rPr/>
      </w:pPr>
      <w:r>
        <w:rPr/>
        <w:t>​</w:t>
      </w:r>
    </w:p>
    <w:p>
      <w:pPr>
        <w:pStyle w:val="TextBody"/>
        <w:bidi w:val="0"/>
        <w:spacing w:before="120" w:after="120"/>
        <w:ind w:left="0" w:right="0" w:firstLine="446"/>
        <w:jc w:val="both"/>
        <w:rPr>
          <w:rFonts w:ascii="Times New Roman;Times;serif" w:hAnsi="Times New Roman;Times;serif"/>
          <w:sz w:val="20"/>
        </w:rPr>
      </w:pPr>
      <w:r>
        <w:rPr>
          <w:rFonts w:ascii="Times New Roman;Times;serif" w:hAnsi="Times New Roman;Times;serif"/>
          <w:sz w:val="20"/>
        </w:rPr>
        <w:t xml:space="preserve">Revenues from external customers are attributed to individual countries based on the physical location in which the services are provided or the particular customer location with whom the Company has contracted. </w:t>
      </w:r>
    </w:p>
    <w:p>
      <w:pPr>
        <w:pStyle w:val="TextBody"/>
        <w:bidi w:val="0"/>
        <w:spacing w:before="120" w:after="120"/>
        <w:ind w:left="0" w:right="0" w:firstLine="446"/>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pStyle w:val="TextBody"/>
        <w:bidi w:val="0"/>
        <w:spacing w:before="0" w:after="120"/>
        <w:ind w:left="0" w:right="0" w:firstLine="446"/>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tables:</w:t>
      </w:r>
    </w:p>
    <w:p>
      <w:pPr>
        <w:pStyle w:val="TextBody"/>
        <w:bidi w:val="0"/>
        <w:spacing w:before="0" w:after="0"/>
        <w:ind w:left="0" w:right="0" w:hanging="0"/>
        <w:jc w:val="left"/>
        <w:rPr/>
      </w:pPr>
      <w:r>
        <w:rPr/>
        <w:t>​</w:t>
      </w:r>
    </w:p>
    <w:tbl>
      <w:tblPr>
        <w:tblW w:w="3466" w:type="dxa"/>
        <w:jc w:val="left"/>
        <w:tblInd w:w="0" w:type="dxa"/>
        <w:tblLayout w:type="fixed"/>
        <w:tblCellMar>
          <w:top w:w="0" w:type="dxa"/>
          <w:left w:w="0" w:type="dxa"/>
          <w:bottom w:w="0" w:type="dxa"/>
          <w:right w:w="0" w:type="dxa"/>
        </w:tblCellMar>
      </w:tblPr>
      <w:tblGrid>
        <w:gridCol w:w="1081"/>
        <w:gridCol w:w="346"/>
        <w:gridCol w:w="688"/>
        <w:gridCol w:w="495"/>
        <w:gridCol w:w="856"/>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36880" cy="175260"/>
                      <wp:effectExtent l="0" t="0" r="0" b="0"/>
                      <wp:wrapNone/>
                      <wp:docPr id="225" name="Frame22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14325" cy="175260"/>
                      <wp:effectExtent l="0" t="0" r="0" b="0"/>
                      <wp:wrapNone/>
                      <wp:docPr id="226" name="Frame226"/>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43560" cy="175260"/>
                      <wp:effectExtent l="0" t="0" r="0" b="0"/>
                      <wp:wrapNone/>
                      <wp:docPr id="227" name="Frame22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5"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9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9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9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4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120"/>
        <w:ind w:left="0" w:right="0" w:firstLine="450"/>
        <w:jc w:val="both"/>
        <w:rPr>
          <w:rFonts w:ascii="Times New Roman;Times;serif" w:hAnsi="Times New Roman;Times;serif"/>
          <w:sz w:val="20"/>
        </w:rPr>
      </w:pPr>
      <w:r>
        <w:rPr>
          <w:rFonts w:ascii="Times New Roman;Times;serif" w:hAnsi="Times New Roman;Times;serif"/>
          <w:sz w:val="20"/>
        </w:rPr>
        <w:t xml:space="preserve">During the years ended December 31, 2025 and December 31, 2024, sales to government entities comprised 90.2% and 89.4% of the Company’s total revenue,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450"/>
        <w:jc w:val="both"/>
        <w:rPr>
          <w:rFonts w:ascii="Times New Roman;Times;serif" w:hAnsi="Times New Roman;Times;serif"/>
          <w:sz w:val="20"/>
        </w:rPr>
      </w:pPr>
      <w:bookmarkStart w:id="1174" w:name="Tc_H1WStrGaukayWUzJjIla1w_7_4"/>
      <w:bookmarkStart w:id="1175" w:name="Tc_vxZJ4GW6LUCYQFuAxuSVqg_7_0"/>
      <w:bookmarkStart w:id="1176" w:name="Tc_IEKKOgIF4kSi3B_UsJ1CaQ_6_4"/>
      <w:bookmarkStart w:id="1177" w:name="Tc_cKMZ320ve0-EKA3pTT3ZLg_6_0"/>
      <w:bookmarkStart w:id="1178" w:name="Tc_F-2Q4bR3F0Ck3Ev_f_99jw_5_2"/>
      <w:bookmarkStart w:id="1179" w:name="Tc_bNdTtbK2L0SEPqBpB3p7pQ_5_0"/>
      <w:bookmarkStart w:id="1180" w:name="Tc_5UqfbnQ1sE2EBa-H9Oy7rw_4_2"/>
      <w:bookmarkStart w:id="1181" w:name="Tc_S5q8F5DvxUaZXaA3pOLAjw_4_0"/>
      <w:bookmarkStart w:id="1182" w:name="Tc_IdP1ppuZDEyoV4H6iQoZUA_3_2"/>
      <w:bookmarkStart w:id="1183" w:name="Tc_KbF-CCxgvkaD3AGDepvKCA_3_0"/>
      <w:bookmarkStart w:id="1184" w:name="Tc_n7QrFduxUEOL3nZGZ6eDBw_2_0"/>
      <w:bookmarkStart w:id="1185" w:name="Tc_7IFOhoG-uEeGYrOiM10dkA_1_4"/>
      <w:bookmarkStart w:id="1186" w:name="Tc_Ix39BFK12UORVePw2u6Kiw_1_2"/>
      <w:bookmarkStart w:id="1187" w:name="_81a05f80_2bb0_49ec_aa98_1987d7e06e4f"/>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Times New Roman;Times;serif" w:hAnsi="Times New Roman;Times;serif"/>
          <w:sz w:val="20"/>
        </w:rPr>
        <w:t>Significant customers that represent 10% or more of accounts receivable are set forth in the following tables:</w:t>
      </w:r>
    </w:p>
    <w:p>
      <w:pPr>
        <w:pStyle w:val="TextBody"/>
        <w:bidi w:val="0"/>
        <w:spacing w:before="0" w:after="0"/>
        <w:ind w:left="0" w:right="0" w:hanging="0"/>
        <w:jc w:val="left"/>
        <w:rPr/>
      </w:pPr>
      <w:r>
        <w:rPr/>
        <w:t>​</w:t>
      </w:r>
    </w:p>
    <w:tbl>
      <w:tblPr>
        <w:tblW w:w="4820" w:type="dxa"/>
        <w:jc w:val="left"/>
        <w:tblInd w:w="0" w:type="dxa"/>
        <w:tblLayout w:type="fixed"/>
        <w:tblCellMar>
          <w:top w:w="0" w:type="dxa"/>
          <w:left w:w="0" w:type="dxa"/>
          <w:bottom w:w="0" w:type="dxa"/>
          <w:right w:w="0" w:type="dxa"/>
        </w:tblCellMar>
      </w:tblPr>
      <w:tblGrid>
        <w:gridCol w:w="1081"/>
        <w:gridCol w:w="346"/>
        <w:gridCol w:w="1501"/>
        <w:gridCol w:w="346"/>
        <w:gridCol w:w="1546"/>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53135" cy="175260"/>
                      <wp:effectExtent l="0" t="0" r="0" b="0"/>
                      <wp:wrapNone/>
                      <wp:docPr id="229" name="Frame22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81710" cy="175260"/>
                      <wp:effectExtent l="0" t="0" r="0" b="0"/>
                      <wp:wrapNone/>
                      <wp:docPr id="231" name="Frame23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Customer accounted for less than 10% of accounts receivable at the respective point in time.</w:t>
      </w:r>
    </w:p>
    <w:p>
      <w:pPr>
        <w:pStyle w:val="TextBody"/>
        <w:bidi w:val="0"/>
        <w:spacing w:before="0" w:after="0"/>
        <w:ind w:left="0" w:right="0" w:hanging="0"/>
        <w:jc w:val="both"/>
        <w:rPr/>
      </w:pPr>
      <w:bookmarkStart w:id="1188" w:name="Tc_gan3beCHqUCtsLXF5V_YiA_11_7"/>
      <w:bookmarkStart w:id="1189" w:name="Tc_X2KxhpGx40mjqYKWZR5K2Q_11_2"/>
      <w:bookmarkStart w:id="1190" w:name="Tc_UDP79W8EVkOv7X6xc91EQQ_10_7"/>
      <w:bookmarkStart w:id="1191" w:name="Tc_znW2T-hcnE2mDm1bb2m1qQ_10_0"/>
      <w:bookmarkStart w:id="1192" w:name="Tc_sHen4lXg6EivZuMAxbYd6A_9_7"/>
      <w:bookmarkStart w:id="1193" w:name="Tc_D8YRMx7nNUiH7kWzGMmRcA_9_0"/>
      <w:bookmarkStart w:id="1194" w:name="Tc_z8eZg87KLEWVPRCioa4qqA_8_7"/>
      <w:bookmarkStart w:id="1195" w:name="Tc_SzoN_HBDM0a_zG8R7ldM_Q_8_0"/>
      <w:bookmarkStart w:id="1196" w:name="Tc_zZhzBpnim0G0iNe6EV7EuQ_7_7"/>
      <w:bookmarkStart w:id="1197" w:name="Tc_n41zGbTcAEOOU9e71dn2zQ_7_0"/>
      <w:bookmarkStart w:id="1198" w:name="Tc_pdHIp_J30UibToyORJYzMA_6_0"/>
      <w:bookmarkStart w:id="1199" w:name="Tc_mR6vbqKuK02XDiAOQskZTw_5_7"/>
      <w:bookmarkStart w:id="1200" w:name="Tc_tdkKtyLrDkyw6DMNPPTQVg_5_0"/>
      <w:bookmarkStart w:id="1201" w:name="Tc_ttB-F9Tkl02jno0K6575rg_4_7"/>
      <w:bookmarkStart w:id="1202" w:name="Tc_8r41h-qAbEKySWdwbawZRw_4_0"/>
      <w:bookmarkStart w:id="1203" w:name="Tc_OEonCVa-PkOloKvgjtvP_w_3_7"/>
      <w:bookmarkStart w:id="1204" w:name="Tc_xHhxChYDEE6Y25IqBG8--A_3_6"/>
      <w:bookmarkStart w:id="1205" w:name="Tc_T6j14e-Fd0eCUNaSYUlG0Q_3_3"/>
      <w:bookmarkStart w:id="1206" w:name="Tc_FdF0v61oC0KflsGAnMPGXQ_3_0"/>
      <w:bookmarkStart w:id="1207" w:name="Tc_5tI-yg4yak-Hde2zCQ5McQ_2_7"/>
      <w:bookmarkStart w:id="1208" w:name="Tc_0ZuO-zF_j0yW5NS5FcVu5Q_2_2"/>
      <w:bookmarkStart w:id="1209" w:name="Tc_t7kpxN_VhEG9t-zkT0vTEg_2_0"/>
      <w:bookmarkStart w:id="1210" w:name="Tc_C_-GV-u02EuCUrYfvwQr_w_1_6"/>
      <w:bookmarkStart w:id="1211" w:name="Tc_JUbbBOtsrEyFWUHYra_STw_1_3"/>
      <w:bookmarkStart w:id="1212" w:name="Tc_YWtOk5ajd0ydSkR9euoI1g_1_0"/>
      <w:bookmarkStart w:id="1213" w:name="_7209978a_b07b_40eb_bccd_f7a2b133f35b"/>
      <w:bookmarkStart w:id="1214" w:name="Tc_EPPuG09yqkmWBrL9ja2wog_5_5"/>
      <w:bookmarkStart w:id="1215" w:name="Tc_5RZ_Xwe67U-02AxRuSSviw_5_2"/>
      <w:bookmarkStart w:id="1216" w:name="Tc_gqJG_GpRskuq0MC2IIztbw_4_0"/>
      <w:bookmarkStart w:id="1217" w:name="Tc_JlGbOgmgwkaGHpg68RigPw_3_5"/>
      <w:bookmarkStart w:id="1218" w:name="Tc_rm-uvf6ikkO0ltM5UGvXkA_3_2"/>
      <w:bookmarkStart w:id="1219" w:name="Tc_Vem3eIvFpUWiK6ABJexQKA_3_0"/>
      <w:bookmarkStart w:id="1220" w:name="Tc_I4Gx7G91PkW3DfFu-5AAsQ_2_5"/>
      <w:bookmarkStart w:id="1221" w:name="Tc_4GzhdKpNrU-ivMapg3orkw_2_2"/>
      <w:bookmarkStart w:id="1222" w:name="Tc_ulT2-YRkbk6MsWQHT-Ottg_1_2"/>
      <w:bookmarkStart w:id="1223" w:name="_c9921c09_75ee_4cc2_a14b_5a0f2cccdee9"/>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(16) Income Taxes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Domestic and foreign components of loss before income taxes are as follows (in thousands):</w:t>
      </w:r>
    </w:p>
    <w:tbl>
      <w:tblPr>
        <w:tblW w:w="3610" w:type="dxa"/>
        <w:jc w:val="left"/>
        <w:tblInd w:w="0" w:type="dxa"/>
        <w:tblLayout w:type="fixed"/>
        <w:tblCellMar>
          <w:top w:w="0" w:type="dxa"/>
          <w:left w:w="0" w:type="dxa"/>
          <w:bottom w:w="0" w:type="dxa"/>
          <w:right w:w="0" w:type="dxa"/>
        </w:tblCellMar>
      </w:tblPr>
      <w:tblGrid>
        <w:gridCol w:w="886"/>
        <w:gridCol w:w="346"/>
        <w:gridCol w:w="211"/>
        <w:gridCol w:w="901"/>
        <w:gridCol w:w="109"/>
        <w:gridCol w:w="211"/>
        <w:gridCol w:w="946"/>
      </w:tblGrid>
      <w:tr>
        <w:trPr/>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72135" cy="175260"/>
                      <wp:effectExtent l="0" t="0" r="0" b="0"/>
                      <wp:wrapNone/>
                      <wp:docPr id="234" name="Frame23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00710" cy="175260"/>
                      <wp:effectExtent l="0" t="0" r="0" b="0"/>
                      <wp:wrapNone/>
                      <wp:docPr id="237" name="Frame23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(213,875)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(198,588)</w:t>
            </w:r>
          </w:p>
        </w:tc>
      </w:tr>
      <w:tr>
        <w:trPr/>
        <w:tc>
          <w:tcPr>
            <w:tcW w:w="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r>
      <w:tr>
        <w:trPr/>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(200,988)</w:t>
            </w:r>
          </w:p>
        </w:tc>
      </w:tr>
    </w:tbl>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did not pay any income taxes for the years ended December 31, 2025 or December 31, 2024. All components of the Company’s current and deferred income tax provisions for the years ended December 31, 2025 and December 31, 2024 were zero. The effective tax rate differs from the statutory rate, primarily due to the Company’s history of incurring losses which have not been benefited, write-off of federal and state net operating loss carryforwards and research and development tax credit carryforwards under Internal Revenue Code (IRC) section 382 limitation, stock-based compensation and other permanent differences.</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July 4, 2025, new federal tax and budget legislation, known as the “One Big Beautiful Bill Act” (“OBBA”) was signed into law. The Company evaluated the impact of the OBBA and determined that its provisions did not have a material impact on the consolidated financial statements.</w:t>
      </w:r>
    </w:p>
    <w:p>
      <w:pPr>
        <w:pStyle w:val="TextBody"/>
        <w:bidi w:val="0"/>
        <w:spacing w:before="0" w:after="24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Upon adoption of ASU 2023-09, Improvement to Income Tax Disclosures, as described in Note 2, Summary of Significant Accounting Policies, the reconciliation of taxes at the federal statutory rate to the Company’s provision for income taxes for the year ended December 31, 2025, was as follows (in thousands, except for percentages):</w:t>
      </w:r>
    </w:p>
    <w:tbl>
      <w:tblPr>
        <w:tblW w:w="7847" w:type="dxa"/>
        <w:jc w:val="left"/>
        <w:tblInd w:w="0" w:type="dxa"/>
        <w:tblLayout w:type="fixed"/>
        <w:tblCellMar>
          <w:top w:w="0" w:type="dxa"/>
          <w:left w:w="0" w:type="dxa"/>
          <w:bottom w:w="0" w:type="dxa"/>
          <w:right w:w="0" w:type="dxa"/>
        </w:tblCellMar>
      </w:tblPr>
      <w:tblGrid>
        <w:gridCol w:w="5146"/>
        <w:gridCol w:w="109"/>
        <w:gridCol w:w="256"/>
        <w:gridCol w:w="796"/>
        <w:gridCol w:w="109"/>
        <w:gridCol w:w="109"/>
        <w:gridCol w:w="1006"/>
        <w:gridCol w:w="316"/>
      </w:tblGrid>
      <w:tr>
        <w:trPr/>
        <w:tc>
          <w:tcPr>
            <w:tcW w:w="5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62560" cy="175260"/>
                      <wp:effectExtent l="0" t="0" r="0" b="0"/>
                      <wp:wrapNone/>
                      <wp:docPr id="239" name="Frame23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5460" cy="175260"/>
                      <wp:effectExtent l="0" t="0" r="0" b="0"/>
                      <wp:wrapNone/>
                      <wp:docPr id="240" name="Frame2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38810" cy="175260"/>
                      <wp:effectExtent l="0" t="0" r="0" b="0"/>
                      <wp:wrapNone/>
                      <wp:docPr id="243" name="Frame24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0660" cy="175260"/>
                      <wp:effectExtent l="0" t="0" r="0" b="0"/>
                      <wp:wrapNone/>
                      <wp:docPr id="244" name="Frame2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Component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 Impact</w:t>
            </w:r>
          </w:p>
        </w:tc>
        <w:tc>
          <w:tcPr>
            <w:tcW w:w="316" w:type="dxa"/>
            <w:tcBorders/>
            <w:vAlign w:val="center"/>
          </w:tcPr>
          <w:p>
            <w:pPr>
              <w:pStyle w:val="TableContents"/>
              <w:bidi w:val="0"/>
              <w:spacing w:before="0" w:after="1"/>
              <w:ind w:left="0" w:right="0" w:hanging="0"/>
              <w:jc w:val="left"/>
              <w:rPr/>
            </w:pPr>
            <w:r>
              <w:rPr/>
              <w:t> </w:t>
            </w:r>
          </w:p>
        </w:tc>
      </w:tr>
      <w:tr>
        <w:trPr/>
        <w:tc>
          <w:tcPr>
            <w:tcW w:w="5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at the U.S. federal statutory tax rate</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(45,404)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 income taxes, net of federal income tax benefit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effects, foreign tax impacts</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30,620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Executive compensation - IRC 162M</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6,847</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market value adjustments</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31,103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4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446"/>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446"/>
        <w:jc w:val="both"/>
        <w:rPr>
          <w:rFonts w:ascii="Times New Roman;Times;serif" w:hAnsi="Times New Roman;Times;serif"/>
          <w:sz w:val="20"/>
        </w:rPr>
      </w:pPr>
      <w:bookmarkStart w:id="1224" w:name="Tc_jGacRxXr2Ey5EbVthQTMCg_18_6"/>
      <w:bookmarkStart w:id="1225" w:name="Tc_F_-ZkB2OaESnO5ZOmgmeZw_18_5"/>
      <w:bookmarkStart w:id="1226" w:name="Tc_pS63-v_HEEebPdokeI4BOQ_18_3"/>
      <w:bookmarkStart w:id="1227" w:name="Tc_2o1UtGJAmkmtRyiygWnkTg_18_2"/>
      <w:bookmarkStart w:id="1228" w:name="Tc_bgp4Q1cNEEa9EP8HDSmVhA_18_0"/>
      <w:bookmarkStart w:id="1229" w:name="Tc_Doi6amxXgk6kICmj26kanw_17_0"/>
      <w:bookmarkStart w:id="1230" w:name="Tc_VuvWGg1_Yk-LoPLK1PphgA_16_0"/>
      <w:bookmarkStart w:id="1231" w:name="Tc_tjnD6vxI5ECxk0euXc_9GA_15_0"/>
      <w:bookmarkStart w:id="1232" w:name="Tc_wl5XsSWUa0SOID23mKJCuA_14_0"/>
      <w:bookmarkStart w:id="1233" w:name="Tc_D4NfAXx_tUOXYUID9-havg_13_0"/>
      <w:bookmarkStart w:id="1234" w:name="Tc_OsHlbU70bUCJBsHqirSaZw_12_0"/>
      <w:bookmarkStart w:id="1235" w:name="Tc_p--rpXw0yUyiMOnwLUIeUg_11_0"/>
      <w:bookmarkStart w:id="1236" w:name="Tc_cl8TSnBLmE6_j2kvxT-TgQ_10_6"/>
      <w:bookmarkStart w:id="1237" w:name="Tc_4g3opczxL0-d_SvRnVeBRw_10_0"/>
      <w:bookmarkStart w:id="1238" w:name="Tc_azd1ASTCm0C11CP6gcnWfg_9_0"/>
      <w:bookmarkStart w:id="1239" w:name="Tc_2RUUBX9yJ0-xoKPVBzYN8A_8_0"/>
      <w:bookmarkStart w:id="1240" w:name="Tc_XcM7jR4R1UCjJCN6rzxGXQ_7_0"/>
      <w:bookmarkStart w:id="1241" w:name="Tc_XNJfq2J30U2yoGjKtF0Kcg_6_0"/>
      <w:bookmarkStart w:id="1242" w:name="Tc_UObW-aCoXUaOypqIjojjoA_5_0"/>
      <w:bookmarkStart w:id="1243" w:name="Tc_YO9gU-oWZkqe5LGymdVuPg_4_5"/>
      <w:bookmarkStart w:id="1244" w:name="Tc_VZ8flMpOCUaIxy_lGN8CWw_4_2"/>
      <w:bookmarkStart w:id="1245" w:name="Tc_9etJm2R7e0ya6CbnDA5Ifg_4_0"/>
      <w:bookmarkStart w:id="1246" w:name="Tc_9sJl8ddJkkqpKCQz62IX2A_3_0"/>
      <w:bookmarkStart w:id="1247" w:name="Tc_p08zCWIafUSCf4-WVkGTOA_2_5"/>
      <w:bookmarkStart w:id="1248" w:name="Tc_OQMhnOsY3kKwmB9qazN1_Q_2_2"/>
      <w:bookmarkStart w:id="1249" w:name="Tc_wijmpy5mB06IsGPex0TTYg_1_2"/>
      <w:bookmarkStart w:id="1250" w:name="Tc_JGmv-GiuAky4piafdmEg6A_9_4"/>
      <w:bookmarkStart w:id="1251" w:name="Tc_omQplPTK50mXEzBloH6kbA_9_3"/>
      <w:bookmarkStart w:id="1252" w:name="Tc_Y23ad8bL4E-xGbkit2nHlg_9_0"/>
      <w:bookmarkStart w:id="1253" w:name="Tc_kdDlyKFBZk-ff_zXEjzZ-A_8_4"/>
      <w:bookmarkStart w:id="1254" w:name="Tc_GqDyJhZToE6bRIby63MYSg_8_0"/>
      <w:bookmarkStart w:id="1255" w:name="Tc_jd7th_rU9UaXDAaiPxChbw_7_4"/>
      <w:bookmarkStart w:id="1256" w:name="Tc_zO7ofQF6AUy_oRBtSE2eoQ_7_0"/>
      <w:bookmarkStart w:id="1257" w:name="Tc_k9iegCCoBUum4mTx7j2ZLw_6_4"/>
      <w:bookmarkStart w:id="1258" w:name="Tc_A4mVvXHeY0qib2lJ0szkOA_6_0"/>
      <w:bookmarkStart w:id="1259" w:name="Tc_-VVclji9xEGVnF_mipsGZg_5_4"/>
      <w:bookmarkStart w:id="1260" w:name="Tc_SjFHB7wdk0-Ws-WxmnRwDg_5_3"/>
      <w:bookmarkStart w:id="1261" w:name="Tc_SF6qKK9lOUOchYbHAy0NWA_5_0"/>
      <w:bookmarkStart w:id="1262" w:name="Tc_N9_j_duAWEaAqYsi76pi7A_4_4"/>
      <w:bookmarkStart w:id="1263" w:name="Tc_lBR1-tKtg0-RwZsZ6XngtA_4_0"/>
      <w:bookmarkStart w:id="1264" w:name="Tc_hnxazDD3PUOV_bXni6iHmg_3_4"/>
      <w:bookmarkStart w:id="1265" w:name="Tc_NqcP5hZ19kuVwQba6-DxMw_3_0"/>
      <w:bookmarkStart w:id="1266" w:name="Tc_7Vzuq_fNy0mK0ZSbc9uR_A_2_4"/>
      <w:bookmarkStart w:id="1267" w:name="Tc_dUsvTuwa5kuw5JYv8uK_fw_2_0"/>
      <w:bookmarkStart w:id="1268" w:name="Tc_C3K2-qaqc0OdCkC3Tpu7Pg_1_3"/>
      <w:bookmarkStart w:id="1269" w:name="Tc_NfHOjGeyd02kymQqpZa2eQ_1_0"/>
      <w:bookmarkStart w:id="1270" w:name="_8b4c47b2_0e76_499d_9810_977c99899bd9"/>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r>
        <w:rPr>
          <w:rFonts w:ascii="Times New Roman;Times;serif" w:hAnsi="Times New Roman;Times;serif"/>
          <w:sz w:val="20"/>
        </w:rPr>
        <w:t>Significant components of the differences between the statutory tax rate and the Company’s effective tax rate for the year ended December 2024 are as follows:</w:t>
      </w:r>
    </w:p>
    <w:tbl>
      <w:tblPr>
        <w:tblW w:w="5583" w:type="dxa"/>
        <w:jc w:val="left"/>
        <w:tblInd w:w="0" w:type="dxa"/>
        <w:tblLayout w:type="fixed"/>
        <w:tblCellMar>
          <w:top w:w="0" w:type="dxa"/>
          <w:left w:w="0" w:type="dxa"/>
          <w:bottom w:w="0" w:type="dxa"/>
          <w:right w:w="0" w:type="dxa"/>
        </w:tblCellMar>
      </w:tblPr>
      <w:tblGrid>
        <w:gridCol w:w="3961"/>
        <w:gridCol w:w="109"/>
        <w:gridCol w:w="146"/>
        <w:gridCol w:w="1006"/>
        <w:gridCol w:w="361"/>
      </w:tblGrid>
      <w:tr>
        <w:trPr/>
        <w:tc>
          <w:tcPr>
            <w:tcW w:w="39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2710" cy="175260"/>
                      <wp:effectExtent l="0" t="0" r="0" b="0"/>
                      <wp:wrapNone/>
                      <wp:docPr id="246" name="Frame2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38810" cy="175260"/>
                      <wp:effectExtent l="0" t="0" r="0" b="0"/>
                      <wp:wrapNone/>
                      <wp:docPr id="247" name="Frame24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29235" cy="175260"/>
                      <wp:effectExtent l="0" t="0" r="0" b="0"/>
                      <wp:wrapNone/>
                      <wp:docPr id="248" name="Frame2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Component</w:t>
            </w:r>
          </w:p>
        </w:tc>
        <w:tc>
          <w:tcPr>
            <w:tcW w:w="109" w:type="dxa"/>
            <w:tcBorders/>
            <w:vAlign w:val="center"/>
          </w:tcPr>
          <w:p>
            <w:pPr>
              <w:pStyle w:val="TableContents"/>
              <w:bidi w:val="0"/>
              <w:spacing w:before="0" w:after="1"/>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 Impact</w:t>
            </w:r>
          </w:p>
        </w:tc>
        <w:tc>
          <w:tcPr>
            <w:tcW w:w="361" w:type="dxa"/>
            <w:tcBorders/>
            <w:vAlign w:val="center"/>
          </w:tcPr>
          <w:p>
            <w:pPr>
              <w:pStyle w:val="TableContents"/>
              <w:bidi w:val="0"/>
              <w:spacing w:before="0" w:after="1"/>
              <w:ind w:left="0" w:right="0" w:hanging="0"/>
              <w:jc w:val="left"/>
              <w:rPr/>
            </w:pPr>
            <w:r>
              <w:rPr/>
              <w:t> </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pre-tax book income</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 income taxes</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Executive compensation - IRC 162M</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limitation ownership change</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market value adjustments</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Deferred income taxes reflect the net tax effects of temporary differences between the carrying amount of assets and liabilities for financial reporting purposes and the amounts used for income tax purposes. Significant components of the deferred income tax assets and liabilities as of December 31, 2025 and December 31, 2024, are as follows (in thousands):</w:t>
      </w:r>
    </w:p>
    <w:p>
      <w:pPr>
        <w:pStyle w:val="TextBody"/>
        <w:bidi w:val="0"/>
        <w:spacing w:before="0" w:after="0"/>
        <w:ind w:left="0" w:right="0" w:hanging="0"/>
        <w:jc w:val="left"/>
        <w:rPr/>
      </w:pPr>
      <w:r>
        <w:rPr/>
        <w:t>​</w:t>
      </w:r>
    </w:p>
    <w:tbl>
      <w:tblPr>
        <w:tblW w:w="5515" w:type="dxa"/>
        <w:jc w:val="left"/>
        <w:tblInd w:w="0" w:type="dxa"/>
        <w:tblLayout w:type="fixed"/>
        <w:tblCellMar>
          <w:top w:w="0" w:type="dxa"/>
          <w:left w:w="0" w:type="dxa"/>
          <w:bottom w:w="0" w:type="dxa"/>
          <w:right w:w="0" w:type="dxa"/>
        </w:tblCellMar>
      </w:tblPr>
      <w:tblGrid>
        <w:gridCol w:w="2896"/>
        <w:gridCol w:w="346"/>
        <w:gridCol w:w="211"/>
        <w:gridCol w:w="901"/>
        <w:gridCol w:w="109"/>
        <w:gridCol w:w="211"/>
        <w:gridCol w:w="841"/>
      </w:tblGrid>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72135" cy="175260"/>
                      <wp:effectExtent l="0" t="0" r="0" b="0"/>
                      <wp:wrapNone/>
                      <wp:docPr id="251" name="Frame25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34035" cy="175260"/>
                      <wp:effectExtent l="0" t="0" r="0" b="0"/>
                      <wp:wrapNone/>
                      <wp:docPr id="254" name="Frame25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71,054</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 and reserves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18,356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25,007</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deferred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98,861</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ROU asset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(5,865)</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deferred tax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126,153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92,996</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(92,996)</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firstLine="547"/>
        <w:jc w:val="both"/>
        <w:rPr/>
      </w:pPr>
      <w:r>
        <w:rPr/>
        <w:t>​</w:t>
      </w:r>
    </w:p>
    <w:p>
      <w:pPr>
        <w:pStyle w:val="TextBody"/>
        <w:bidi w:val="0"/>
        <w:spacing w:before="0" w:after="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Realization of deferred tax assets is dependent upon future earnings, if any, the timing and amount of which are uncertain. Accordingly, the net U.S. federal and state deferred tax assets have been fully offset by a valuation allowance. The net change in total valuation allowance increased by approximately $33.2 million and $17.9 million for the years ended December 31, 2025 and December 31, 2024, respectively.</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December 31, 2025, the Company had net operating loss carryforwards for federal income tax purposes of $455.3 million, of which $453.9 million does not expire; federal research and development tax credits of $14.1 million, which will start to expire in 2044; net operating loss carryforwards for state income tax purposes of $193.3 million, which will start to expire in 2038; and state research and development tax credits of $12.6 million, which do not expire.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liabilities, if any. Such annual limitations could result in the expiration of the net operating loss carryforwards and research and development tax credit carryforwards before their utilization.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12"/>
        </w:rPr>
      </w:pPr>
      <w:bookmarkStart w:id="1271" w:name="Tc_I0RALFU9MUml2eGVlJdvzA_6_5"/>
      <w:bookmarkStart w:id="1272" w:name="Tc_9JBhpy6CXkygyiDHR3vKaQ_6_2"/>
      <w:bookmarkStart w:id="1273" w:name="Tc_xP2_jxqoU02YsOKhzIw2yw_6_0"/>
      <w:bookmarkStart w:id="1274" w:name="Tc_eB-4NpX6-UKQxx5pyAQiEg_5_0"/>
      <w:bookmarkStart w:id="1275" w:name="Tc_isjau7ahk0iVkN0yaU-wAw_4_0"/>
      <w:bookmarkStart w:id="1276" w:name="Tc_XXk9e76fw06tRImkTIssTw_3_5"/>
      <w:bookmarkStart w:id="1277" w:name="Tc_3knRkgeQC0mNXyknES6sCA_3_2"/>
      <w:bookmarkStart w:id="1278" w:name="Tc_dSz2-ilGDUuBhIJVBOXDFQ_3_0"/>
      <w:bookmarkStart w:id="1279" w:name="Tc_D-VixwhHaka7-zNmFNwKEw_2_5"/>
      <w:bookmarkStart w:id="1280" w:name="Tc_Q0Z7mW_rmkmZriAgPl0wwg_2_2"/>
      <w:bookmarkStart w:id="1281" w:name="Tc_GZXIDWsspk6KfxcYnOajmg_1_2"/>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sz w:val="20"/>
        </w:rPr>
        <w:t>During the year ended December 31, 2024, the Company assessed whether an ownership change, as defined by Section 382, occurred during the period from January 1, 2023 through December 31, 2024. Based upon the assessment conducted in 2024, the Company concluded that an ownership change occurred in November of 2024; however, based on the annual limitation from the November 2024 ownership change, none of the net operating losses or research and development tax credits are expected to expire prior to their potential use, as such there was no reduction to the gross deferred tax assets during the year ended December 31, 2024. The Company also assessed whether an ownership change occurred during the year ended December 31, 2025. Based on the results of this assessment, the Company determined that an ownership change as defined by Section 382 did not occur during the year ended December 31, 2025.</w:t>
      </w:r>
      <w:r>
        <w:rPr>
          <w:rFonts w:ascii="Times New Roman;Times;serif" w:hAnsi="Times New Roman;Times;serif"/>
          <w:sz w:val="12"/>
        </w:rPr>
        <w:t xml:space="preserve">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Company files U.S. and various state income tax returns as well as foreign income tax returns in Australia, Canada and the United Kingdom with varying statutes of limitations. All tax years from inception in 2013 remain open to examination due to the carryover of unused net operating losses and tax credits. The Company had unrecognized tax benefits of $24.1 million as of December 31, 2025, all of which are offset by a full valuation allowance. These unrecognized tax benefits, if recognized, would not affect the effective tax rate. There were no interest or penalties accrued as of December 31, 2025.</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 reconciliation of the beginning and ending amounts of unrecognized income tax benefits is as follows:</w:t>
      </w:r>
    </w:p>
    <w:p>
      <w:pPr>
        <w:pStyle w:val="TextBody"/>
        <w:bidi w:val="0"/>
        <w:spacing w:before="0" w:after="0"/>
        <w:ind w:left="0" w:right="0" w:hanging="0"/>
        <w:jc w:val="left"/>
        <w:rPr/>
      </w:pPr>
      <w:r>
        <w:rPr/>
        <w:t>​</w:t>
      </w:r>
    </w:p>
    <w:tbl>
      <w:tblPr>
        <w:tblW w:w="5116" w:type="dxa"/>
        <w:jc w:val="left"/>
        <w:tblInd w:w="0" w:type="dxa"/>
        <w:tblLayout w:type="fixed"/>
        <w:tblCellMar>
          <w:top w:w="0" w:type="dxa"/>
          <w:left w:w="0" w:type="dxa"/>
          <w:bottom w:w="0" w:type="dxa"/>
          <w:right w:w="0" w:type="dxa"/>
        </w:tblCellMar>
      </w:tblPr>
      <w:tblGrid>
        <w:gridCol w:w="2731"/>
        <w:gridCol w:w="346"/>
        <w:gridCol w:w="215"/>
        <w:gridCol w:w="689"/>
        <w:gridCol w:w="111"/>
        <w:gridCol w:w="215"/>
        <w:gridCol w:w="809"/>
      </w:tblGrid>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6525" cy="175260"/>
                      <wp:effectExtent l="0" t="0" r="0" b="0"/>
                      <wp:wrapNone/>
                      <wp:docPr id="256" name="Frame25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37515" cy="175260"/>
                      <wp:effectExtent l="0" t="0" r="0" b="0"/>
                      <wp:wrapNone/>
                      <wp:docPr id="257" name="Frame257"/>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70485" cy="175260"/>
                      <wp:effectExtent l="0" t="0" r="0" b="0"/>
                      <wp:wrapNone/>
                      <wp:docPr id="258" name="Frame258"/>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6525" cy="175260"/>
                      <wp:effectExtent l="0" t="0" r="0" b="0"/>
                      <wp:wrapNone/>
                      <wp:docPr id="259" name="Frame25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13715" cy="175260"/>
                      <wp:effectExtent l="0" t="0" r="0" b="0"/>
                      <wp:wrapNone/>
                      <wp:docPr id="260" name="Frame260"/>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1" w:type="dxa"/>
            <w:tcBorders/>
            <w:vAlign w:val="center"/>
          </w:tcPr>
          <w:p>
            <w:pPr>
              <w:pStyle w:val="TableContents"/>
              <w:bidi w:val="0"/>
              <w:spacing w:before="0" w:after="0"/>
              <w:ind w:left="0" w:right="0" w:hanging="0"/>
              <w:jc w:val="center"/>
              <w:rPr/>
            </w:pPr>
            <w:r>
              <w:rPr/>
              <w:t>​</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  ​ ​ ​</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10,927</w:t>
            </w:r>
          </w:p>
        </w:tc>
        <w:tc>
          <w:tcPr>
            <w:tcW w:w="111"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5,861</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year increase</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 of prior year position</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24,057</w:t>
            </w:r>
          </w:p>
        </w:tc>
        <w:tc>
          <w:tcPr>
            <w:tcW w:w="111" w:type="dxa"/>
            <w:tcBorders/>
            <w:vAlign w:val="center"/>
          </w:tcPr>
          <w:p>
            <w:pPr>
              <w:pStyle w:val="TableContents"/>
              <w:bidi w:val="0"/>
              <w:spacing w:before="0" w:after="0"/>
              <w:ind w:left="0" w:right="0" w:hanging="0"/>
              <w:jc w:val="righ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10,927</w:t>
            </w:r>
          </w:p>
        </w:tc>
      </w:tr>
    </w:tbl>
    <w:p>
      <w:pPr>
        <w:pStyle w:val="TextBody"/>
        <w:bidi w:val="0"/>
        <w:spacing w:before="0" w:after="0"/>
        <w:ind w:left="0" w:right="0" w:hanging="0"/>
        <w:jc w:val="both"/>
        <w:rPr/>
      </w:pPr>
      <w:r>
        <w:rPr/>
        <w:t>​</w:t>
      </w:r>
    </w:p>
    <w:p>
      <w:pPr>
        <w:pStyle w:val="TextBody"/>
        <w:pBdr/>
        <w:bidi w:val="0"/>
        <w:spacing w:lineRule="auto" w:line="328" w:before="120" w:after="120"/>
        <w:ind w:left="0" w:right="0" w:hanging="360"/>
        <w:jc w:val="left"/>
        <w:rPr>
          <w:rFonts w:ascii="Times New Roman;Times;serif" w:hAnsi="Times New Roman;Times;serif"/>
          <w:b/>
          <w:sz w:val="20"/>
        </w:rPr>
      </w:pPr>
      <w:r>
        <w:rPr>
          <w:rFonts w:ascii="Times New Roman;Times;serif" w:hAnsi="Times New Roman;Times;serif"/>
          <w:b/>
          <w:sz w:val="20"/>
        </w:rPr>
        <w:t>(17) Collaborative Arrangements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February 27, 2025, the Company entered into a Collaboration Agreement (the “Collaboration Agreement”) with Quanta Computer Inc., a Taiwan corporation (“Quanta”). The term of the Collaboration Agreement is for five years, subject to cancellation under certain circumstances.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Collaboration Agreement, during the five year period following February 27, 2025, the Company has agreed it will invest at least $250.0 million in the field of quantum computing, in furtherance of its product roadmap, and Quanta has agreed it will invest at least $250.0 million in the field of quantum computing, and the investment by Quanta will be towards personnel and capital expenditures for developing products and services and manufacturing capability in furtherance of the Company’s product roadmap. No equity or joint venture was formed under the Collaboration Agreement. Costs incurred by the Company under the Collaboration Agreement, consisting of its expenditures for research and development and related capital, will be accounted for in accordance with GAAP as incurred.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Under the Collaboration Agreement, the Company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undivided interest in, all such joint project technology and all newly-created or newly-arising IP rights with respect thereto.</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connection with the Collaboration Agreement, on February 27, 2025, the Company entered into a securities purchase agreement with Quanta, pursuant to which the Company agreed to sell and issue to Quanta in a private placement transaction 3,020,412 shares of its Common Stock at a price per share of approximately $11.59, for an aggregate value of approximately $35.0 million. The price per share was based on the volume weighted-average price of the Company’s Common Stock for the 15 trading days prior to February 27, 2025. </w:t>
      </w:r>
      <w:r>
        <w:rPr>
          <w:rFonts w:ascii="Times New Roman;Times;serif" w:hAnsi="Times New Roman;Times;serif"/>
          <w:sz w:val="20"/>
          <w:shd w:fill="FFFFFF" w:val="clear"/>
        </w:rPr>
        <w:t>The private placement transaction, which was subject to regulatory clearance, closed on April 29, 2025. In connection with the private placement transaction, Quanta entered into</w:t>
      </w:r>
      <w:r>
        <w:rPr>
          <w:rFonts w:ascii="Times New Roman;Times;serif" w:hAnsi="Times New Roman;Times;serif"/>
          <w:sz w:val="20"/>
        </w:rPr>
        <w:t> a board observer and confidentiality agreement under which it has the option and right to appoint a single representative to attend certain meetings of the board of directors of the Company, subject to exceptions, in a non-voting observer capacity. The securities purchase agreement also contains a lock-up provision prohibiting Quanta from selling any of the shares of the Company’s Common Stock acquired in the securities purchase agreement for a three year period following the closing of the private placement transaction.</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both"/>
        <w:rPr>
          <w:rFonts w:ascii="Times New Roman;Times;serif" w:hAnsi="Times New Roman;Times;serif"/>
          <w:b/>
          <w:sz w:val="20"/>
        </w:rPr>
      </w:pPr>
      <w:bookmarkStart w:id="1282" w:name="Tc_jJ4C1xvwBE2MwtV9Sl7h7g_6_8"/>
      <w:bookmarkStart w:id="1283" w:name="Tc_BKm8k5csokSANr9V29U0wA_6_5"/>
      <w:bookmarkStart w:id="1284" w:name="Tc_5CXnZpouo0aa7Z9zmDbxRA_6_2"/>
      <w:bookmarkStart w:id="1285" w:name="Tc_o7pBc4uQR06mRAn6Wx6Wlg_6_0"/>
      <w:bookmarkStart w:id="1286" w:name="Tc_G7c_fZp90UacslcC0qkb5A_5_0"/>
      <w:bookmarkStart w:id="1287" w:name="Tc_L84oXnR5wEamx-K83W3jSw_4_8"/>
      <w:bookmarkStart w:id="1288" w:name="Tc_AB-BIht2BEq96WvhQMW3YQ_4_5"/>
      <w:bookmarkStart w:id="1289" w:name="Tc_f5ENx_zUoUyIgSwEr2Wqtw_4_2"/>
      <w:bookmarkStart w:id="1290" w:name="Tc_VA1m1ZhhPkmYX0dbcxk3sA_4_0"/>
      <w:bookmarkStart w:id="1291" w:name="Tc_zecXfyqQ3UKftBEEy_44gA_3_0"/>
      <w:bookmarkStart w:id="1292" w:name="Tc_BXUetzkQHk2a6T_UBgG2Zg_2_8"/>
      <w:bookmarkStart w:id="1293" w:name="Tc_mLtIrmjPxk-jIIKbnbXGQQ_2_5"/>
      <w:bookmarkStart w:id="1294" w:name="Tc_AKvPDCHF4kGJd4PKz--ZWg_2_2"/>
      <w:bookmarkStart w:id="1295" w:name="Tc_4LwdIWc8_E6OwIlMILmHrg_2_0"/>
      <w:bookmarkStart w:id="1296" w:name="Tc_v21m4otynEu3sDVkFlGQdw_1_8"/>
      <w:bookmarkStart w:id="1297" w:name="Tc_IgHX-fro5k-lpiQwki6jrQ_1_5"/>
      <w:bookmarkStart w:id="1298" w:name="Tc_6G4C0Vwb50Kyph1g9-xAeg_1_2"/>
      <w:bookmarkStart w:id="1299" w:name="_ce571244_054f_4066_8089_1e9b47bf1b09"/>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r>
        <w:rPr>
          <w:rFonts w:ascii="Times New Roman;Times;serif" w:hAnsi="Times New Roman;Times;serif"/>
          <w:b/>
          <w:sz w:val="20"/>
        </w:rPr>
        <w:t>(18) Accumulated Other Comprehensive Income (Loss)</w:t>
      </w:r>
    </w:p>
    <w:p>
      <w:pPr>
        <w:pStyle w:val="TextBody"/>
        <w:bidi w:val="0"/>
        <w:spacing w:before="0" w:after="120"/>
        <w:ind w:left="0" w:right="0" w:firstLine="360"/>
        <w:jc w:val="both"/>
        <w:rPr>
          <w:rFonts w:ascii="Times New Roman;Times;serif" w:hAnsi="Times New Roman;Times;serif"/>
          <w:b w:val="false"/>
          <w:sz w:val="20"/>
        </w:rPr>
      </w:pPr>
      <w:r>
        <w:rPr>
          <w:rFonts w:ascii="Times New Roman;Times;serif" w:hAnsi="Times New Roman;Times;serif"/>
          <w:b w:val="false"/>
          <w:sz w:val="20"/>
        </w:rPr>
        <w:t>Components of accumulated other comprehensive income (loss) are as follows (in thousands):</w:t>
      </w:r>
    </w:p>
    <w:tbl>
      <w:tblPr>
        <w:tblW w:w="10205" w:type="dxa"/>
        <w:jc w:val="left"/>
        <w:tblInd w:w="0" w:type="dxa"/>
        <w:tblLayout w:type="fixed"/>
        <w:tblCellMar>
          <w:top w:w="0" w:type="dxa"/>
          <w:left w:w="0" w:type="dxa"/>
          <w:bottom w:w="0" w:type="dxa"/>
          <w:right w:w="0" w:type="dxa"/>
        </w:tblCellMar>
      </w:tblPr>
      <w:tblGrid>
        <w:gridCol w:w="2948"/>
        <w:gridCol w:w="109"/>
        <w:gridCol w:w="958"/>
        <w:gridCol w:w="2190"/>
        <w:gridCol w:w="109"/>
        <w:gridCol w:w="399"/>
        <w:gridCol w:w="1084"/>
        <w:gridCol w:w="109"/>
        <w:gridCol w:w="645"/>
        <w:gridCol w:w="1654"/>
      </w:tblGrid>
      <w:tr>
        <w:trPr/>
        <w:tc>
          <w:tcPr>
            <w:tcW w:w="2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71980" cy="175260"/>
                      <wp:effectExtent l="0" t="0" r="0" b="0"/>
                      <wp:wrapNone/>
                      <wp:docPr id="261" name="Frame261"/>
                      <a:graphic xmlns:a="http://schemas.openxmlformats.org/drawingml/2006/main">
                        <a:graphicData uri="http://schemas.microsoft.com/office/word/2010/wordprocessingShape">
                          <wps:wsp>
                            <wps:cNvSpPr txBox="1"/>
                            <wps:spPr>
                              <a:xfrm>
                                <a:off x="0" y="0"/>
                                <a:ext cx="1871980"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08330" cy="175260"/>
                      <wp:effectExtent l="0" t="0" r="0" b="0"/>
                      <wp:wrapNone/>
                      <wp:docPr id="263" name="Frame263"/>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2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90650" cy="175260"/>
                      <wp:effectExtent l="0" t="0" r="0" b="0"/>
                      <wp:wrapNone/>
                      <wp:docPr id="264" name="Frame264"/>
                      <a:graphic xmlns:a="http://schemas.openxmlformats.org/drawingml/2006/main">
                        <a:graphicData uri="http://schemas.microsoft.com/office/word/2010/wordprocessingShape">
                          <wps:wsp>
                            <wps:cNvSpPr txBox="1"/>
                            <wps:spPr>
                              <a:xfrm>
                                <a:off x="0" y="0"/>
                                <a:ext cx="1390650"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53365" cy="175260"/>
                      <wp:effectExtent l="0" t="0" r="0" b="0"/>
                      <wp:wrapNone/>
                      <wp:docPr id="266" name="Frame266"/>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1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88340" cy="175260"/>
                      <wp:effectExtent l="0" t="0" r="0" b="0"/>
                      <wp:wrapNone/>
                      <wp:docPr id="267" name="Frame267"/>
                      <a:graphic xmlns:a="http://schemas.openxmlformats.org/drawingml/2006/main">
                        <a:graphicData uri="http://schemas.microsoft.com/office/word/2010/wordprocessingShape">
                          <wps:wsp>
                            <wps:cNvSpPr txBox="1"/>
                            <wps:spPr>
                              <a:xfrm>
                                <a:off x="0" y="0"/>
                                <a:ext cx="688340"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09575" cy="175260"/>
                      <wp:effectExtent l="0" t="0" r="0" b="0"/>
                      <wp:wrapNone/>
                      <wp:docPr id="269" name="Frame269"/>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c>
          <w:tcPr>
            <w:tcW w:w="1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050290" cy="175260"/>
                      <wp:effectExtent l="0" t="0" r="0" b="0"/>
                      <wp:wrapNone/>
                      <wp:docPr id="270" name="Frame270"/>
                      <a:graphic xmlns:a="http://schemas.openxmlformats.org/drawingml/2006/main">
                        <a:graphicData uri="http://schemas.microsoft.com/office/word/2010/wordprocessingShape">
                          <wps:wsp>
                            <wps:cNvSpPr txBox="1"/>
                            <wps:spPr>
                              <a:xfrm>
                                <a:off x="0" y="0"/>
                                <a:ext cx="1050290" cy="175260"/>
                              </a:xfrm>
                              <a:prstGeom prst="rect"/>
                              <a:solidFill>
                                <a:srgbClr val="FFFFFF"/>
                              </a:solidFill>
                            </wps:spPr>
                            <wps:txbx>
                              <w:txbxContent>
                                <w:p>
                                  <w:pPr>
                                    <w:pStyle w:val="TableContents"/>
                                    <w:bidi w:val="0"/>
                                    <w:spacing w:before="0" w:after="96"/>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96"/>
                              <w:ind w:left="0" w:right="0" w:hanging="0"/>
                              <w:jc w:val="left"/>
                              <w:rPr/>
                            </w:pPr>
                            <w:r>
                              <w:rPr/>
                              <w:t>​</w:t>
                            </w:r>
                          </w:p>
                        </w:txbxContent>
                      </v:textbox>
                      <w10:wrap type="none"/>
                    </v:rect>
                  </w:pict>
                </mc:Fallback>
              </mc:AlternateContent>
            </w:r>
          </w:p>
        </w:tc>
      </w:tr>
      <w:tr>
        <w:trPr/>
        <w:tc>
          <w:tcPr>
            <w:tcW w:w="29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1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Translation Adjustment</w:t>
            </w:r>
          </w:p>
        </w:tc>
        <w:tc>
          <w:tcPr>
            <w:tcW w:w="109" w:type="dxa"/>
            <w:tcBorders/>
            <w:vAlign w:val="center"/>
          </w:tcPr>
          <w:p>
            <w:pPr>
              <w:pStyle w:val="TableContents"/>
              <w:bidi w:val="0"/>
              <w:spacing w:before="0" w:after="1"/>
              <w:ind w:left="0" w:right="0" w:hanging="0"/>
              <w:jc w:val="center"/>
              <w:rPr/>
            </w:pPr>
            <w:r>
              <w:rPr/>
              <w:t>​</w:t>
            </w:r>
          </w:p>
        </w:tc>
        <w:tc>
          <w:tcPr>
            <w:tcW w:w="14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Available-for-Sale </w:t>
              <w:br/>
              <w:t>Securities</w:t>
            </w:r>
          </w:p>
        </w:tc>
        <w:tc>
          <w:tcPr>
            <w:tcW w:w="109" w:type="dxa"/>
            <w:tcBorders/>
            <w:vAlign w:val="center"/>
          </w:tcPr>
          <w:p>
            <w:pPr>
              <w:pStyle w:val="TableContents"/>
              <w:bidi w:val="0"/>
              <w:spacing w:before="0" w:after="1"/>
              <w:ind w:left="0" w:right="0" w:hanging="0"/>
              <w:jc w:val="center"/>
              <w:rPr/>
            </w:pPr>
            <w:r>
              <w:rPr/>
              <w:t>​</w:t>
            </w:r>
          </w:p>
        </w:tc>
        <w:tc>
          <w:tcPr>
            <w:tcW w:w="22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Other </w:t>
              <w:br/>
              <w:t>Comprehensive Income (Loss)</w:t>
            </w:r>
          </w:p>
        </w:tc>
      </w:tr>
      <w:tr>
        <w:trPr/>
        <w:tc>
          <w:tcPr>
            <w:tcW w:w="29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at December, 2023</w:t>
            </w:r>
          </w:p>
        </w:tc>
        <w:tc>
          <w:tcPr>
            <w:tcW w:w="109" w:type="dxa"/>
            <w:tcBorders/>
            <w:shd w:fill="CCEEFF" w:val="clear"/>
            <w:vAlign w:val="center"/>
          </w:tcPr>
          <w:p>
            <w:pPr>
              <w:pStyle w:val="TableContents"/>
              <w:bidi w:val="0"/>
              <w:spacing w:before="0" w:after="1"/>
              <w:ind w:left="0" w:right="0" w:hanging="0"/>
              <w:jc w:val="left"/>
              <w:rPr/>
            </w:pPr>
            <w:r>
              <w:rPr/>
              <w:t>​</w:t>
            </w:r>
          </w:p>
        </w:tc>
        <w:tc>
          <w:tcPr>
            <w:tcW w:w="9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6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r>
      <w:tr>
        <w:trPr/>
        <w:tc>
          <w:tcPr>
            <w:tcW w:w="29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1"/>
              <w:ind w:left="0" w:right="0" w:hanging="0"/>
              <w:jc w:val="left"/>
              <w:rPr/>
            </w:pPr>
            <w:r>
              <w:rPr/>
              <w:t>​</w:t>
            </w:r>
          </w:p>
        </w:tc>
        <w:tc>
          <w:tcPr>
            <w:tcW w:w="9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109" w:type="dxa"/>
            <w:tcBorders/>
            <w:vAlign w:val="center"/>
          </w:tcPr>
          <w:p>
            <w:pPr>
              <w:pStyle w:val="TableContents"/>
              <w:bidi w:val="0"/>
              <w:spacing w:before="0" w:after="1"/>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vAlign w:val="center"/>
          </w:tcPr>
          <w:p>
            <w:pPr>
              <w:pStyle w:val="TableContents"/>
              <w:bidi w:val="0"/>
              <w:spacing w:before="0" w:after="1"/>
              <w:ind w:left="0" w:right="0" w:hanging="0"/>
              <w:jc w:val="lef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9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at December, 2024</w:t>
            </w:r>
          </w:p>
        </w:tc>
        <w:tc>
          <w:tcPr>
            <w:tcW w:w="109" w:type="dxa"/>
            <w:tcBorders/>
            <w:shd w:fill="CCEEFF" w:val="clear"/>
            <w:vAlign w:val="center"/>
          </w:tcPr>
          <w:p>
            <w:pPr>
              <w:pStyle w:val="TableContents"/>
              <w:bidi w:val="0"/>
              <w:spacing w:before="0" w:after="1"/>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bidi w:val="0"/>
              <w:spacing w:before="0" w:after="1"/>
              <w:ind w:left="0" w:right="0" w:hanging="0"/>
              <w:jc w:val="lef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9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1"/>
              <w:ind w:left="0" w:right="0" w:hanging="0"/>
              <w:jc w:val="left"/>
              <w:rPr/>
            </w:pPr>
            <w:r>
              <w:rPr/>
              <w:t>​</w:t>
            </w:r>
          </w:p>
        </w:tc>
        <w:tc>
          <w:tcPr>
            <w:tcW w:w="9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1"/>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109" w:type="dxa"/>
            <w:tcBorders/>
            <w:vAlign w:val="center"/>
          </w:tcPr>
          <w:p>
            <w:pPr>
              <w:pStyle w:val="TableContents"/>
              <w:bidi w:val="0"/>
              <w:spacing w:before="0" w:after="1"/>
              <w:ind w:left="0" w:right="0" w:hanging="0"/>
              <w:jc w:val="lef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w:t>
            </w:r>
          </w:p>
        </w:tc>
      </w:tr>
      <w:tr>
        <w:trPr/>
        <w:tc>
          <w:tcPr>
            <w:tcW w:w="29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Balances at December, 2025</w:t>
            </w:r>
          </w:p>
        </w:tc>
        <w:tc>
          <w:tcPr>
            <w:tcW w:w="109" w:type="dxa"/>
            <w:tcBorders/>
            <w:shd w:fill="CCEEFF" w:val="clear"/>
            <w:vAlign w:val="center"/>
          </w:tcPr>
          <w:p>
            <w:pPr>
              <w:pStyle w:val="TableContents"/>
              <w:bidi w:val="0"/>
              <w:spacing w:before="0" w:after="1"/>
              <w:ind w:left="0" w:right="0" w:hanging="0"/>
              <w:jc w:val="left"/>
              <w:rPr/>
            </w:pPr>
            <w:r>
              <w:rPr/>
              <w:t>​</w:t>
            </w:r>
          </w:p>
        </w:tc>
        <w:tc>
          <w:tcPr>
            <w:tcW w:w="9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1"/>
              <w:ind w:left="0" w:right="0" w:hanging="0"/>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54"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997</w:t>
            </w:r>
          </w:p>
        </w:tc>
      </w:tr>
    </w:tbl>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are no reclassification adjustments or income taxes associated with any of the components of accumulated other comprehensive income (loss).</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(19)</w:t>
      </w:r>
      <w:r>
        <w:rPr>
          <w:rFonts w:ascii="Times New Roman;Times;serif" w:hAnsi="Times New Roman;Times;serif"/>
          <w:sz w:val="20"/>
        </w:rPr>
        <w:t xml:space="preserve"> </w:t>
      </w:r>
      <w:r>
        <w:rPr>
          <w:rFonts w:ascii="Times New Roman;Times;serif" w:hAnsi="Times New Roman;Times;serif"/>
          <w:b/>
          <w:sz w:val="20"/>
        </w:rPr>
        <w:t>Commitments and Contingencies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120"/>
        <w:ind w:left="0" w:right="0" w:firstLine="540"/>
        <w:jc w:val="both"/>
        <w:rPr>
          <w:rFonts w:ascii="Times New Roman;Times;serif" w:hAnsi="Times New Roman;Times;serif"/>
          <w:b/>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consolidated financial statements</w:t>
      </w:r>
      <w:r>
        <w:rPr>
          <w:rFonts w:ascii="Times New Roman;Times;serif" w:hAnsi="Times New Roman;Times;serif"/>
          <w:b/>
          <w:sz w:val="20"/>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bookmarkStart w:id="1300" w:name="Item9ChangesinandDisagreementsWithAccoun"/>
      <w:bookmarkStart w:id="1301" w:name="_2ac8b4f1_3763_463a_a29a_d4ab4480c80b"/>
      <w:bookmarkEnd w:id="1300"/>
      <w:bookmarkEnd w:id="1301"/>
      <w:r>
        <w:rPr>
          <w:rFonts w:ascii="Times New Roman;Times;serif" w:hAnsi="Times New Roman;Times;serif"/>
          <w:b/>
          <w:i w:val="false"/>
          <w:caps w:val="false"/>
          <w:smallCaps w:val="false"/>
          <w:sz w:val="20"/>
        </w:rPr>
        <w:t>ITEM 9.</w:t>
      </w:r>
      <w:r>
        <w:rPr>
          <w:rFonts w:ascii="Times New Roman;Times;serif" w:hAnsi="Times New Roman;Times;serif"/>
          <w:b/>
          <w:sz w:val="20"/>
        </w:rPr>
        <w:t>CHANGES IN AND DISAGREEMENTS WITH ACCOUNTANT ON ACCOUNTING AND FINANCIAL DISCLOSURE</w:t>
      </w:r>
    </w:p>
    <w:p>
      <w:pPr>
        <w:pStyle w:val="TextBody"/>
        <w:bidi w:val="0"/>
        <w:spacing w:before="0" w:after="120"/>
        <w:ind w:left="0" w:right="0" w:firstLine="540"/>
        <w:jc w:val="both"/>
        <w:rPr>
          <w:rFonts w:ascii="Times New Roman;Times;serif" w:hAnsi="Times New Roman;Times;serif"/>
          <w:b w:val="false"/>
          <w:sz w:val="20"/>
        </w:rPr>
      </w:pPr>
      <w:r>
        <w:rPr>
          <w:rFonts w:ascii="Times New Roman;Times;serif" w:hAnsi="Times New Roman;Times;serif"/>
          <w:b w:val="false"/>
          <w:sz w:val="20"/>
        </w:rPr>
        <w:t>None.</w:t>
      </w:r>
    </w:p>
    <w:p>
      <w:pPr>
        <w:pStyle w:val="TextBody"/>
        <w:bidi w:val="0"/>
        <w:spacing w:before="0" w:after="120"/>
        <w:ind w:left="0" w:right="0" w:hanging="0"/>
        <w:jc w:val="left"/>
        <w:rPr>
          <w:rFonts w:ascii="Times New Roman;Times;serif" w:hAnsi="Times New Roman;Times;serif"/>
          <w:b/>
          <w:sz w:val="20"/>
        </w:rPr>
      </w:pPr>
      <w:bookmarkStart w:id="1302" w:name="Item9AControlsandProcedures_853898"/>
      <w:bookmarkStart w:id="1303" w:name="_c1a4bb8b_0b1e_4c22_a40c_3f1582c121dd"/>
      <w:bookmarkEnd w:id="1302"/>
      <w:bookmarkEnd w:id="1303"/>
      <w:r>
        <w:rPr>
          <w:rFonts w:ascii="Times New Roman;Times;serif" w:hAnsi="Times New Roman;Times;serif"/>
          <w:b/>
          <w:i w:val="false"/>
          <w:caps w:val="false"/>
          <w:smallCaps w:val="false"/>
          <w:sz w:val="20"/>
        </w:rPr>
        <w:t>ITEM 9A.</w:t>
      </w:r>
      <w:r>
        <w:rPr>
          <w:rFonts w:ascii="Times New Roman;Times;serif" w:hAnsi="Times New Roman;Times;serif"/>
          <w:b/>
          <w:sz w:val="20"/>
        </w:rPr>
        <w:t>CONTROLS AND PROCEDURES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Chief Executive Officer and our Chief Financial Officer, as appropriate to allow timely decisions regarding required disclosure.</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this evaluation, our chief executive officer and chief financial officer concluded that our disclosure controls and procedures were effective at the reasonable assurance level as of December 31, 2025.</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our chief financial officer, is responsible for establishing and maintaining adequate internal control over financial reporting as defined in Rules 13a-15(f) and 15d-15(f) under the Exchange Act.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2025, our internal control over financial reporting was effective.</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Attestation of Independent Registered Public Accounting Firm</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This Annual Report on Form 10-K does not include an attestation report of our independent registered accounting firm on the effectiveness of our internal control over financial reporting pursuant to Section 404 of the Sarbanes-Oxley Act of 2002 due to the exemption for “emerging growth company” as defined in the JOBS Act.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in our internal control over financial reporting (as such term is defined in Rules 13a-15(f) and 15d-15(f) under the Exchange Act) that occurred during the quarter ended December 31, 2025 that materially affected, or are reasonably likely to materially affect, our internal control over financial reporting.</w:t>
      </w:r>
    </w:p>
    <w:p>
      <w:pPr>
        <w:pStyle w:val="TextBody"/>
        <w:bidi w:val="0"/>
        <w:spacing w:before="0" w:after="0"/>
        <w:ind w:left="0" w:right="0" w:firstLine="547"/>
        <w:jc w:val="both"/>
        <w:rPr/>
      </w:pPr>
      <w:r>
        <w:rPr/>
        <w:t>​</w:t>
      </w:r>
    </w:p>
    <w:p>
      <w:pPr>
        <w:pStyle w:val="TextBody"/>
        <w:bidi w:val="0"/>
        <w:spacing w:before="0" w:after="120"/>
        <w:ind w:left="0" w:right="0" w:hanging="0"/>
        <w:jc w:val="left"/>
        <w:rPr>
          <w:rFonts w:ascii="Times New Roman;Times;serif" w:hAnsi="Times New Roman;Times;serif"/>
          <w:b/>
          <w:sz w:val="20"/>
        </w:rPr>
      </w:pPr>
      <w:bookmarkStart w:id="1304" w:name="Item9BOtherInformation_57198"/>
      <w:bookmarkStart w:id="1305" w:name="_ce36cb80_9ddb_4455_b32d_14c7af5dcedd"/>
      <w:bookmarkEnd w:id="1304"/>
      <w:bookmarkEnd w:id="1305"/>
      <w:r>
        <w:rPr>
          <w:rFonts w:ascii="Times New Roman;Times;serif" w:hAnsi="Times New Roman;Times;serif"/>
          <w:b/>
          <w:i w:val="false"/>
          <w:caps w:val="false"/>
          <w:smallCaps w:val="false"/>
          <w:sz w:val="20"/>
        </w:rPr>
        <w:t>ITEM</w:t>
      </w:r>
      <w:r>
        <w:rPr>
          <w:rFonts w:ascii="Times New Roman;Times;serif" w:hAnsi="Times New Roman;Times;serif"/>
          <w:b/>
          <w:caps w:val="false"/>
          <w:smallCaps w:val="false"/>
          <w:sz w:val="20"/>
        </w:rPr>
        <w:t xml:space="preserve"> </w:t>
      </w:r>
      <w:r>
        <w:rPr>
          <w:rFonts w:ascii="Times New Roman;Times;serif" w:hAnsi="Times New Roman;Times;serif"/>
          <w:b/>
          <w:i w:val="false"/>
          <w:caps w:val="false"/>
          <w:smallCaps w:val="false"/>
          <w:sz w:val="20"/>
        </w:rPr>
        <w:t>9B.</w:t>
      </w:r>
      <w:r>
        <w:rPr>
          <w:rFonts w:ascii="Times New Roman;Times;serif" w:hAnsi="Times New Roman;Times;serif"/>
          <w:b/>
          <w:sz w:val="20"/>
        </w:rPr>
        <w:t>OTHER INFORMATION</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Amendment and Restatement of Bylaws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On February 27, 2026, our board of directors approved and adopted the Second Amended and Restated Bylaws of the Company (the “Second Amended and Restated Bylaws”), effective as of such date. The Second Amended and Restated Bylaws modify the provisions for determining the presence of a quorum at all meetings of stockholders to provide that the presence, in person, by remote communication, if applicable, or by proxy duly authorized, of the holders of one-third (33-1/3%) of the voting power of the outstanding shares of stock entitled to vote at a meeting of stockholders shall constitute a quorum for the transaction of business. Prior to the amendment and restatement, the presence, in person, by remote communication, if applicable, or by proxy, of the holders of a majority of the voting power of the outstanding shares of stock entitled to vote at a meeting of stockholders, constituted a quorum for the transaction of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addition, the Second Amended and Restated Bylaws update certain requirements in the advance notice provisions to align them to current best practices, including (i) removing the requirement for a stockholder nominating a director to our board to provide a statement whether such nominee, if elected, would intend to tender a resignation promptly following such person’s failure to receive the required vote for election or re-election and (ii) clarifying that a written notice provided by a stockholder with respect to a director nominee shall include, to the extent known by such stockholder, the name and address of any other stockholder providing financial support for the stockholder’s proposal (previously, the requirement was to provide the name and address of any other stockholder supporting such proposal). The Second Amended and Restated Bylaws also make certain other technical, modernizing and clarifying changes.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foregoing description of the changes contained in the Second Amended and Restated Bylaws does not purport to be complete and is qualified in its entirety by reference to the full text thereof, a copy of which is attached hereto as Exhibit 3.2 to this Annual Report on Form 10-K and is incorporated herein by reference.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Rule 10b5-1 Trading Plans</w:t>
      </w:r>
    </w:p>
    <w:p>
      <w:pPr>
        <w:pStyle w:val="TextBody"/>
        <w:bidi w:val="0"/>
        <w:spacing w:before="0" w:after="120"/>
        <w:ind w:left="0" w:right="0" w:firstLine="547"/>
        <w:jc w:val="both"/>
        <w:rPr>
          <w:rFonts w:ascii="Times New Roman;Times;serif" w:hAnsi="Times New Roman;Times;serif"/>
          <w:b w:val="false"/>
          <w:sz w:val="20"/>
        </w:rPr>
      </w:pPr>
      <w:r>
        <w:rPr>
          <w:rFonts w:ascii="Times New Roman;Times;serif" w:hAnsi="Times New Roman;Times;serif"/>
          <w:b w:val="false"/>
          <w:sz w:val="20"/>
        </w:rPr>
        <w:t>During the three months ended December 31, 2025, except for the below, none of our directors or officers (as defined in Rule 16a-1(f) promulgated under the Exchange Act) adopted or terminated a Rule 10b5-1 trading arrangement or a non-Rule 10b5-1 trading arrangement (as each term is defined in Item 408 of Regulation S-K).</w:t>
      </w:r>
    </w:p>
    <w:p>
      <w:pPr>
        <w:pStyle w:val="TextBody"/>
        <w:bidi w:val="0"/>
        <w:spacing w:before="0" w:after="120"/>
        <w:ind w:left="0" w:right="0" w:firstLine="547"/>
        <w:jc w:val="both"/>
        <w:rPr>
          <w:rFonts w:ascii="Times New Roman;Times;serif" w:hAnsi="Times New Roman;Times;serif"/>
          <w:b/>
          <w:sz w:val="20"/>
        </w:rPr>
      </w:pPr>
      <w:r>
        <w:rPr>
          <w:rFonts w:ascii="Times New Roman;Times;serif" w:hAnsi="Times New Roman;Times;serif"/>
          <w:b w:val="false"/>
          <w:sz w:val="20"/>
        </w:rPr>
        <w:t>On November 24, 2025, Thomas Iannotti, a member of our board of directors, adopted</w:t>
      </w:r>
      <w:r>
        <w:rPr>
          <w:rFonts w:ascii="Times New Roman;Times;serif" w:hAnsi="Times New Roman;Times;serif"/>
          <w:b/>
          <w:sz w:val="20"/>
        </w:rPr>
        <w:t> </w:t>
      </w:r>
      <w:r>
        <w:rPr>
          <w:rFonts w:ascii="Times New Roman;Times;serif" w:hAnsi="Times New Roman;Times;serif"/>
          <w:b w:val="false"/>
          <w:sz w:val="20"/>
        </w:rPr>
        <w:t>a Rule 10b5-1 trading arrangement that provides for the sale of up to 100,000</w:t>
      </w:r>
      <w:r>
        <w:rPr>
          <w:rFonts w:ascii="Times New Roman;Times;serif" w:hAnsi="Times New Roman;Times;serif"/>
          <w:b/>
          <w:sz w:val="20"/>
        </w:rPr>
        <w:t> </w:t>
      </w:r>
      <w:r>
        <w:rPr>
          <w:rFonts w:ascii="Times New Roman;Times;serif" w:hAnsi="Times New Roman;Times;serif"/>
          <w:b w:val="false"/>
          <w:sz w:val="20"/>
        </w:rPr>
        <w:t>shares of our Common Stock, depending on the market prices of the securities. The plan is scheduled to terminate</w:t>
      </w:r>
      <w:r>
        <w:rPr>
          <w:rFonts w:ascii="Times New Roman;Times;serif" w:hAnsi="Times New Roman;Times;serif"/>
          <w:b/>
          <w:sz w:val="20"/>
        </w:rPr>
        <w:t xml:space="preserve"> </w:t>
      </w:r>
      <w:r>
        <w:rPr>
          <w:rFonts w:ascii="Times New Roman;Times;serif" w:hAnsi="Times New Roman;Times;serif"/>
          <w:b w:val="false"/>
          <w:sz w:val="20"/>
        </w:rPr>
        <w:t>on February 28, 2027, subject to earlier termination upon the sale of all securities subject to the plan, or as otherwise provided in the plan.</w:t>
      </w:r>
      <w:r>
        <w:rPr>
          <w:rFonts w:ascii="Times New Roman;Times;serif" w:hAnsi="Times New Roman;Times;serif"/>
          <w:b/>
          <w:sz w:val="20"/>
        </w:rPr>
        <w:t xml:space="preserve"> </w:t>
      </w:r>
    </w:p>
    <w:p>
      <w:pPr>
        <w:pStyle w:val="TextBody"/>
        <w:bidi w:val="0"/>
        <w:spacing w:before="240" w:after="120"/>
        <w:ind w:left="0" w:right="0" w:hanging="0"/>
        <w:jc w:val="left"/>
        <w:rPr>
          <w:rFonts w:ascii="Times New Roman;Times;serif" w:hAnsi="Times New Roman;Times;serif"/>
          <w:b/>
          <w:sz w:val="20"/>
        </w:rPr>
      </w:pPr>
      <w:bookmarkStart w:id="1306" w:name="Item9CDisclosureRegardingForeignJurisdic"/>
      <w:bookmarkStart w:id="1307" w:name="_47ae7f6d_c3a8_4352_aa03_1d5ed84bf5fb"/>
      <w:bookmarkEnd w:id="1306"/>
      <w:bookmarkEnd w:id="1307"/>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JURISDICTION THAT PREVENT INSPECTIONS</w:t>
      </w:r>
    </w:p>
    <w:p>
      <w:pPr>
        <w:pStyle w:val="TextBody"/>
        <w:bidi w:val="0"/>
        <w:spacing w:before="0" w:after="120"/>
        <w:ind w:left="0" w:right="0" w:firstLine="547"/>
        <w:jc w:val="both"/>
        <w:rPr>
          <w:rFonts w:ascii="Times New Roman;Times;serif" w:hAnsi="Times New Roman;Times;serif"/>
          <w:b w:val="false"/>
          <w:sz w:val="20"/>
        </w:rPr>
      </w:pPr>
      <w:r>
        <w:rPr>
          <w:rFonts w:ascii="Times New Roman;Times;serif" w:hAnsi="Times New Roman;Times;serif"/>
          <w:b w:val="false"/>
          <w:sz w:val="20"/>
        </w:rPr>
        <w:t>Not applicable</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308" w:name="PARTIII_679073"/>
      <w:bookmarkStart w:id="1309" w:name="_5bb469a5_76f4_4c41_b0ef_1a196e8f9619"/>
      <w:bookmarkEnd w:id="1308"/>
      <w:bookmarkEnd w:id="1309"/>
      <w:r>
        <w:rPr>
          <w:rFonts w:ascii="Times New Roman;Times;serif" w:hAnsi="Times New Roman;Times;serif"/>
          <w:b/>
          <w:sz w:val="20"/>
        </w:rPr>
        <w:t>PART III</w:t>
      </w:r>
    </w:p>
    <w:p>
      <w:pPr>
        <w:pStyle w:val="TextBody"/>
        <w:bidi w:val="0"/>
        <w:spacing w:before="0" w:after="120"/>
        <w:ind w:left="0" w:right="0" w:hanging="0"/>
        <w:jc w:val="left"/>
        <w:rPr>
          <w:rFonts w:ascii="Times New Roman;Times;serif" w:hAnsi="Times New Roman;Times;serif"/>
          <w:b/>
          <w:sz w:val="20"/>
        </w:rPr>
      </w:pPr>
      <w:bookmarkStart w:id="1310" w:name="Item10"/>
      <w:bookmarkStart w:id="1311" w:name="Item10DirectorsExecutiveOfficersandCorpo"/>
      <w:bookmarkEnd w:id="1310"/>
      <w:bookmarkEnd w:id="1311"/>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information required by this Item will be included in our definitive proxy statement to be filed with the SEC with respect to our 2026 Annual Meeting of Stockholders within 120 days of the end of the fiscal year to which this Annual Report on Form 10-K relates (our “Proxy Statement”), which information is incorporated by reference herein. </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We have adopted an Insider Trading Policy governing the purchase, sale and/or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 on Form 10-K. </w:t>
      </w:r>
    </w:p>
    <w:p>
      <w:pPr>
        <w:pStyle w:val="TextBody"/>
        <w:bidi w:val="0"/>
        <w:spacing w:before="0" w:after="0"/>
        <w:ind w:left="0" w:right="0" w:firstLine="490"/>
        <w:jc w:val="both"/>
        <w:rPr/>
      </w:pPr>
      <w:r>
        <w:rPr/>
        <w:t>​</w:t>
      </w:r>
    </w:p>
    <w:p>
      <w:pPr>
        <w:pStyle w:val="TextBody"/>
        <w:bidi w:val="0"/>
        <w:spacing w:before="0" w:after="120"/>
        <w:ind w:left="0" w:right="0" w:hanging="0"/>
        <w:jc w:val="left"/>
        <w:rPr>
          <w:rFonts w:ascii="Times New Roman;Times;serif" w:hAnsi="Times New Roman;Times;serif"/>
          <w:b/>
          <w:sz w:val="20"/>
        </w:rPr>
      </w:pPr>
      <w:bookmarkStart w:id="1312" w:name="Item11"/>
      <w:bookmarkStart w:id="1313" w:name="_978fd9c2_56d6_4ec5_b7df_1201183f1a63"/>
      <w:bookmarkEnd w:id="1312"/>
      <w:bookmarkEnd w:id="1313"/>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information required by this Item will be included in our Proxy Statement, which information is incorporated by reference herein. </w:t>
      </w:r>
    </w:p>
    <w:p>
      <w:pPr>
        <w:pStyle w:val="TextBody"/>
        <w:bidi w:val="0"/>
        <w:spacing w:before="0" w:after="120"/>
        <w:ind w:left="0" w:right="0" w:hanging="0"/>
        <w:jc w:val="left"/>
        <w:rPr>
          <w:rFonts w:ascii="Times New Roman;Times;serif" w:hAnsi="Times New Roman;Times;serif"/>
          <w:b/>
          <w:sz w:val="20"/>
        </w:rPr>
      </w:pPr>
      <w:bookmarkStart w:id="1314" w:name="Item12"/>
      <w:bookmarkStart w:id="1315" w:name="_95a64e02_5a9a_473f_a32b_9e248343fa0a"/>
      <w:bookmarkEnd w:id="1314"/>
      <w:bookmarkEnd w:id="1315"/>
      <w:r>
        <w:rPr>
          <w:rFonts w:ascii="Times New Roman;Times;serif" w:hAnsi="Times New Roman;Times;serif"/>
          <w:b/>
          <w:i w:val="false"/>
          <w:caps w:val="false"/>
          <w:smallCaps w:val="false"/>
          <w:sz w:val="20"/>
        </w:rPr>
        <w:t>ITEM 12.</w:t>
      </w:r>
      <w:r>
        <w:rPr>
          <w:rFonts w:ascii="Times New Roman;Times;serif" w:hAnsi="Times New Roman;Times;serif"/>
          <w:b/>
          <w:sz w:val="20"/>
        </w:rPr>
        <w:t>SECURITY OWNERSHIP OF CERTAIN BENEFICIAL OWNERS AND MANAGEMENT AND RELATED STOCKHOLDER MATTERS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information required by this Item will be included in our Proxy Statement, which information is incorporated by reference herein. </w:t>
      </w:r>
    </w:p>
    <w:p>
      <w:pPr>
        <w:pStyle w:val="TextBody"/>
        <w:bidi w:val="0"/>
        <w:spacing w:before="0" w:after="120"/>
        <w:ind w:left="0" w:right="0" w:hanging="0"/>
        <w:jc w:val="left"/>
        <w:rPr>
          <w:rFonts w:ascii="Times New Roman;Times;serif" w:hAnsi="Times New Roman;Times;serif"/>
          <w:b/>
          <w:sz w:val="20"/>
        </w:rPr>
      </w:pPr>
      <w:bookmarkStart w:id="1316" w:name="Item13"/>
      <w:bookmarkStart w:id="1317" w:name="_e8a13782_aba2_4cbf_9f9b_4224b8b2734a"/>
      <w:bookmarkEnd w:id="1316"/>
      <w:bookmarkEnd w:id="1317"/>
      <w:r>
        <w:rPr>
          <w:rFonts w:ascii="Times New Roman;Times;serif" w:hAnsi="Times New Roman;Times;serif"/>
          <w:b/>
          <w:i w:val="false"/>
          <w:caps w:val="false"/>
          <w:smallCaps w:val="false"/>
          <w:sz w:val="20"/>
        </w:rPr>
        <w:t>ITEM 13.</w:t>
      </w:r>
      <w:r>
        <w:rPr>
          <w:rFonts w:ascii="Times New Roman;Times;serif" w:hAnsi="Times New Roman;Times;serif"/>
          <w:b/>
          <w:sz w:val="20"/>
        </w:rPr>
        <w:t>CERTAIN RELATIONSHIPS AND RELATED TRANSACTIONS, AND DIRECTOR INDEPENDENCE</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information required by this Item will be included in our Proxy Statement, which information is incorporated by reference herein. </w:t>
      </w:r>
    </w:p>
    <w:p>
      <w:pPr>
        <w:pStyle w:val="TextBody"/>
        <w:bidi w:val="0"/>
        <w:spacing w:before="0" w:after="120"/>
        <w:ind w:left="0" w:right="0" w:hanging="0"/>
        <w:jc w:val="left"/>
        <w:rPr>
          <w:rFonts w:ascii="Times New Roman;Times;serif" w:hAnsi="Times New Roman;Times;serif"/>
          <w:b/>
          <w:sz w:val="20"/>
        </w:rPr>
      </w:pPr>
      <w:bookmarkStart w:id="1318" w:name="Item14"/>
      <w:bookmarkStart w:id="1319" w:name="_7ef56880_77cb_4eaf_8bfc_1e0afc111cbc"/>
      <w:bookmarkEnd w:id="1318"/>
      <w:bookmarkEnd w:id="1319"/>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ACCOUNTANT FEES AND SERVICES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information required by this Item will be included in our Proxy Statement, which information is incorporated by reference herein. </w:t>
      </w:r>
    </w:p>
    <w:p>
      <w:pPr>
        <w:pStyle w:val="TextBody"/>
        <w:bidi w:val="0"/>
        <w:spacing w:before="0" w:after="120"/>
        <w:ind w:left="0" w:right="0" w:hanging="0"/>
        <w:jc w:val="center"/>
        <w:rPr>
          <w:rFonts w:ascii="Times New Roman;Times;serif" w:hAnsi="Times New Roman;Times;serif"/>
          <w:b/>
          <w:sz w:val="20"/>
        </w:rPr>
      </w:pPr>
      <w:bookmarkStart w:id="1320" w:name="PARTIV_232930"/>
      <w:bookmarkStart w:id="1321" w:name="_fb0ab2ed_8653_441a_8eaf_9114b96c58e7"/>
      <w:bookmarkEnd w:id="1320"/>
      <w:bookmarkEnd w:id="1321"/>
      <w:r>
        <w:rPr>
          <w:rFonts w:ascii="Times New Roman;Times;serif" w:hAnsi="Times New Roman;Times;serif"/>
          <w:b/>
          <w:sz w:val="20"/>
        </w:rPr>
        <w:t>PART IV</w:t>
      </w:r>
    </w:p>
    <w:p>
      <w:pPr>
        <w:pStyle w:val="TextBody"/>
        <w:bidi w:val="0"/>
        <w:spacing w:before="0" w:after="120"/>
        <w:ind w:left="0" w:right="0" w:hanging="0"/>
        <w:jc w:val="left"/>
        <w:rPr>
          <w:rFonts w:ascii="Times New Roman;Times;serif" w:hAnsi="Times New Roman;Times;serif"/>
          <w:b/>
          <w:sz w:val="20"/>
        </w:rPr>
      </w:pPr>
      <w:bookmarkStart w:id="1322" w:name="Item15ExhibitsFinancialStatementSchedule"/>
      <w:bookmarkEnd w:id="1322"/>
      <w:r>
        <w:rPr>
          <w:rFonts w:ascii="Times New Roman;Times;serif" w:hAnsi="Times New Roman;Times;serif"/>
          <w:b/>
          <w:i w:val="false"/>
          <w:caps w:val="false"/>
          <w:smallCaps w:val="false"/>
          <w:sz w:val="20"/>
        </w:rPr>
        <w:t>ITEM 15.</w:t>
      </w:r>
      <w:r>
        <w:rPr>
          <w:rFonts w:ascii="Times New Roman;Times;serif" w:hAnsi="Times New Roman;Times;serif"/>
          <w:b/>
          <w:sz w:val="20"/>
        </w:rPr>
        <w:t>EXHIBITS. FINANCIALSTATEMENT SCHEDULES</w:t>
      </w:r>
    </w:p>
    <w:p>
      <w:pPr>
        <w:pStyle w:val="TextBody"/>
        <w:bidi w:val="0"/>
        <w:spacing w:before="0" w:after="120"/>
        <w:ind w:left="0" w:right="0" w:firstLine="540"/>
        <w:jc w:val="both"/>
        <w:rPr>
          <w:rFonts w:ascii="Times New Roman;Times;serif" w:hAnsi="Times New Roman;Times;serif"/>
          <w:b/>
          <w:sz w:val="20"/>
        </w:rPr>
      </w:pPr>
      <w:r>
        <w:rPr>
          <w:rFonts w:ascii="Times New Roman;Times;serif" w:hAnsi="Times New Roman;Times;serif"/>
          <w:b/>
          <w:sz w:val="20"/>
        </w:rPr>
        <w:t xml:space="preserve">The Following documents are filed as a part of this Annual Report on Form 10-K: </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(a) Financial Statements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(b) Financial Statement Schedules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All schedules have been omitted because the required information is not present or not present in amounts sufficient to require submission of the schedules, or because the information required is included in Item 8, entitled the “Consolidated Financial Statements and Supplementary Data.”</w:t>
      </w:r>
    </w:p>
    <w:p>
      <w:pPr>
        <w:pStyle w:val="TextBody"/>
        <w:bidi w:val="0"/>
        <w:spacing w:before="0" w:after="120"/>
        <w:ind w:left="0" w:right="0" w:firstLine="540"/>
        <w:jc w:val="both"/>
        <w:rPr>
          <w:rFonts w:ascii="Times New Roman;Times;serif" w:hAnsi="Times New Roman;Times;serif"/>
          <w:b/>
          <w:i/>
          <w:sz w:val="20"/>
        </w:rPr>
      </w:pPr>
      <w:r>
        <w:rPr>
          <w:rFonts w:ascii="Times New Roman;Times;serif" w:hAnsi="Times New Roman;Times;serif"/>
          <w:b/>
          <w:i/>
          <w:sz w:val="20"/>
        </w:rPr>
        <w:t>(c) Exhibits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list of exhibits filed with this report is set forth in the Exhibit Index following the signature pages and is incorporated herein by reference.</w:t>
      </w:r>
    </w:p>
    <w:p>
      <w:pPr>
        <w:pStyle w:val="TextBody"/>
        <w:bidi w:val="0"/>
        <w:spacing w:before="0" w:after="120"/>
        <w:ind w:left="0" w:right="0" w:hanging="0"/>
        <w:jc w:val="left"/>
        <w:rPr>
          <w:rFonts w:ascii="Times New Roman;Times;serif" w:hAnsi="Times New Roman;Times;serif"/>
          <w:b/>
          <w:sz w:val="20"/>
        </w:rPr>
      </w:pPr>
      <w:bookmarkStart w:id="1323" w:name="ITEM16FORM10KSU_369056"/>
      <w:bookmarkStart w:id="1324" w:name="_944dc459_edb8_4a3e_997a_43e8e9a7b3e0"/>
      <w:bookmarkEnd w:id="1323"/>
      <w:bookmarkEnd w:id="1324"/>
      <w:r>
        <w:rPr>
          <w:rFonts w:ascii="Times New Roman;Times;serif" w:hAnsi="Times New Roman;Times;serif"/>
          <w:b/>
          <w:i w:val="false"/>
          <w:caps w:val="false"/>
          <w:smallCaps w:val="false"/>
          <w:sz w:val="20"/>
        </w:rPr>
        <w:t>ITEM 16.</w:t>
      </w:r>
      <w:r>
        <w:rPr>
          <w:rFonts w:ascii="Times New Roman;Times;serif" w:hAnsi="Times New Roman;Times;serif"/>
          <w:b/>
          <w:sz w:val="20"/>
        </w:rPr>
        <w:t>FORM 10-K SUMMARY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25" w:name="EXHIBITINDEX_965779"/>
      <w:bookmarkStart w:id="1326" w:name="_b182db32_f9e1_4ec4_a713_b7bd3bef4417"/>
      <w:bookmarkEnd w:id="1325"/>
      <w:bookmarkEnd w:id="1326"/>
      <w:r>
        <w:rPr>
          <w:rFonts w:ascii="Times New Roman;Times;serif" w:hAnsi="Times New Roman;Times;serif"/>
          <w:b/>
          <w:sz w:val="20"/>
        </w:rPr>
        <w:t>EXHIBIT INDEX</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46"/>
        <w:gridCol w:w="346"/>
        <w:gridCol w:w="3847"/>
        <w:gridCol w:w="286"/>
        <w:gridCol w:w="781"/>
        <w:gridCol w:w="286"/>
        <w:gridCol w:w="783"/>
        <w:gridCol w:w="286"/>
        <w:gridCol w:w="631"/>
        <w:gridCol w:w="286"/>
        <w:gridCol w:w="1727"/>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00710" cy="29210"/>
                      <wp:effectExtent l="0" t="0" r="0" b="0"/>
                      <wp:wrapNone/>
                      <wp:docPr id="271" name="Frame271"/>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442845" cy="29210"/>
                      <wp:effectExtent l="0" t="0" r="0" b="0"/>
                      <wp:wrapNone/>
                      <wp:docPr id="272" name="Frame272"/>
                      <a:graphic xmlns:a="http://schemas.openxmlformats.org/drawingml/2006/main">
                        <a:graphicData uri="http://schemas.microsoft.com/office/word/2010/wordprocessingShape">
                          <wps:wsp>
                            <wps:cNvSpPr txBox="1"/>
                            <wps:spPr>
                              <a:xfrm>
                                <a:off x="0" y="0"/>
                                <a:ext cx="2442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29210"/>
                      <wp:effectExtent l="0" t="0" r="0" b="0"/>
                      <wp:wrapNone/>
                      <wp:docPr id="273" name="Frame273"/>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7205" cy="29210"/>
                      <wp:effectExtent l="0" t="0" r="0" b="0"/>
                      <wp:wrapNone/>
                      <wp:docPr id="274" name="Frame274"/>
                      <a:graphic xmlns:a="http://schemas.openxmlformats.org/drawingml/2006/main">
                        <a:graphicData uri="http://schemas.microsoft.com/office/word/2010/wordprocessingShape">
                          <wps:wsp>
                            <wps:cNvSpPr txBox="1"/>
                            <wps:spPr>
                              <a:xfrm>
                                <a:off x="0" y="0"/>
                                <a:ext cx="497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00685" cy="29210"/>
                      <wp:effectExtent l="0" t="0" r="0" b="0"/>
                      <wp:wrapNone/>
                      <wp:docPr id="275" name="Frame275"/>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0"/>
              <w:ind w:left="0" w:right="0" w:hanging="0"/>
              <w:jc w:val="both"/>
              <w:rPr/>
            </w:pPr>
            <w:r>
              <w:rPr/>
              <w:t>​</w:t>
            </w:r>
          </w:p>
        </w:tc>
        <w:tc>
          <w:tcPr>
            <w:tcW w:w="1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096645" cy="29210"/>
                      <wp:effectExtent l="0" t="0" r="0" b="0"/>
                      <wp:wrapNone/>
                      <wp:docPr id="276" name="Frame276"/>
                      <a:graphic xmlns:a="http://schemas.openxmlformats.org/drawingml/2006/main">
                        <a:graphicData uri="http://schemas.microsoft.com/office/word/2010/wordprocessingShape">
                          <wps:wsp>
                            <wps:cNvSpPr txBox="1"/>
                            <wps:spPr>
                              <a:xfrm>
                                <a:off x="0" y="0"/>
                                <a:ext cx="10966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6" w:type="dxa"/>
            <w:tcBorders/>
            <w:vAlign w:val="center"/>
          </w:tcPr>
          <w:p>
            <w:pPr>
              <w:pStyle w:val="TableContents"/>
              <w:bidi w:val="0"/>
              <w:spacing w:before="0" w:after="2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478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946"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vAlign w:val="center"/>
          </w:tcPr>
          <w:p>
            <w:pPr>
              <w:pStyle w:val="TableContents"/>
              <w:bidi w:val="0"/>
              <w:spacing w:before="0" w:after="0"/>
              <w:ind w:left="0" w:right="0" w:hanging="0"/>
              <w:jc w:val="both"/>
              <w:rPr/>
            </w:pPr>
            <w:r>
              <w:rPr/>
              <w:t>  ​ ​ ​</w:t>
            </w:r>
          </w:p>
        </w:tc>
        <w:tc>
          <w:tcPr>
            <w:tcW w:w="3847"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286" w:type="dxa"/>
            <w:tcBorders/>
            <w:vAlign w:val="center"/>
          </w:tcPr>
          <w:p>
            <w:pPr>
              <w:pStyle w:val="TableContents"/>
              <w:bidi w:val="0"/>
              <w:spacing w:before="0" w:after="0"/>
              <w:ind w:left="0" w:right="0" w:hanging="0"/>
              <w:jc w:val="center"/>
              <w:rPr/>
            </w:pPr>
            <w:r>
              <w:rPr/>
              <w:t>  ​ ​</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Schedule/</w:t>
            </w:r>
            <w:r>
              <w:rPr>
                <w:rFonts w:ascii="Times New Roman;Times;serif" w:hAnsi="Times New Roman;Times;serif"/>
                <w:sz w:val="16"/>
              </w:rPr>
              <w:br/>
            </w:r>
            <w:r>
              <w:rPr>
                <w:rFonts w:ascii="Times New Roman;Times;serif" w:hAnsi="Times New Roman;Times;serif"/>
                <w:b/>
                <w:sz w:val="16"/>
              </w:rPr>
              <w:t>Form</w:t>
            </w:r>
          </w:p>
        </w:tc>
        <w:tc>
          <w:tcPr>
            <w:tcW w:w="286" w:type="dxa"/>
            <w:tcBorders/>
            <w:vAlign w:val="center"/>
          </w:tcPr>
          <w:p>
            <w:pPr>
              <w:pStyle w:val="TableContents"/>
              <w:bidi w:val="0"/>
              <w:spacing w:before="0" w:after="0"/>
              <w:ind w:left="0" w:right="0" w:hanging="0"/>
              <w:jc w:val="center"/>
              <w:rPr/>
            </w:pPr>
            <w:r>
              <w:rPr/>
              <w:t>  ​ ​</w:t>
            </w:r>
          </w:p>
        </w:tc>
        <w:tc>
          <w:tcPr>
            <w:tcW w:w="78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86" w:type="dxa"/>
            <w:tcBorders/>
            <w:vAlign w:val="center"/>
          </w:tcPr>
          <w:p>
            <w:pPr>
              <w:pStyle w:val="TableContents"/>
              <w:bidi w:val="0"/>
              <w:spacing w:before="0" w:after="0"/>
              <w:ind w:left="0" w:right="0" w:hanging="0"/>
              <w:jc w:val="center"/>
              <w:rPr/>
            </w:pPr>
            <w:r>
              <w:rPr/>
              <w:t>  ​ ​</w:t>
            </w:r>
          </w:p>
        </w:tc>
        <w:tc>
          <w:tcPr>
            <w:tcW w:w="6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86" w:type="dxa"/>
            <w:tcBorders/>
            <w:vAlign w:val="center"/>
          </w:tcPr>
          <w:p>
            <w:pPr>
              <w:pStyle w:val="TableContents"/>
              <w:bidi w:val="0"/>
              <w:spacing w:before="0" w:after="0"/>
              <w:ind w:left="0" w:right="0" w:hanging="0"/>
              <w:jc w:val="center"/>
              <w:rPr/>
            </w:pPr>
            <w:r>
              <w:rPr/>
              <w:t>  ​ ​</w:t>
            </w:r>
          </w:p>
        </w:tc>
        <w:tc>
          <w:tcPr>
            <w:tcW w:w="172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 Merger Sub, LLC and Rigetti Holdings, Inc.</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2.1</w:t>
            </w:r>
          </w:p>
        </w:tc>
        <w:tc>
          <w:tcPr>
            <w:tcW w:w="286" w:type="dxa"/>
            <w:tcBorders/>
            <w:vAlign w:val="center"/>
          </w:tcPr>
          <w:p>
            <w:pPr>
              <w:pStyle w:val="TableContents"/>
              <w:bidi w:val="0"/>
              <w:spacing w:before="0" w:after="0"/>
              <w:ind w:left="0" w:right="0" w:hanging="0"/>
              <w:jc w:val="both"/>
              <w:rPr/>
            </w:pPr>
            <w:r>
              <w:rPr/>
              <w:t>​</w:t>
            </w:r>
          </w:p>
        </w:tc>
        <w:tc>
          <w:tcPr>
            <w:tcW w:w="17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October 6,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2.1</w:t>
            </w:r>
          </w:p>
        </w:tc>
        <w:tc>
          <w:tcPr>
            <w:tcW w:w="286" w:type="dxa"/>
            <w:tcBorders/>
            <w:vAlign w:val="center"/>
          </w:tcPr>
          <w:p>
            <w:pPr>
              <w:pStyle w:val="TableContents"/>
              <w:bidi w:val="0"/>
              <w:spacing w:before="0" w:after="0"/>
              <w:ind w:left="0" w:right="0" w:hanging="0"/>
              <w:jc w:val="both"/>
              <w:rPr/>
            </w:pPr>
            <w:r>
              <w:rPr/>
              <w:t>​</w:t>
            </w:r>
          </w:p>
        </w:tc>
        <w:tc>
          <w:tcPr>
            <w:tcW w:w="17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December 23,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2.1</w:t>
            </w:r>
          </w:p>
        </w:tc>
        <w:tc>
          <w:tcPr>
            <w:tcW w:w="286" w:type="dxa"/>
            <w:tcBorders/>
            <w:vAlign w:val="center"/>
          </w:tcPr>
          <w:p>
            <w:pPr>
              <w:pStyle w:val="TableContents"/>
              <w:bidi w:val="0"/>
              <w:spacing w:before="0" w:after="0"/>
              <w:ind w:left="0" w:right="0" w:hanging="0"/>
              <w:jc w:val="both"/>
              <w:rPr/>
            </w:pPr>
            <w:r>
              <w:rPr/>
              <w:t>​</w:t>
            </w:r>
          </w:p>
        </w:tc>
        <w:tc>
          <w:tcPr>
            <w:tcW w:w="17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January 10,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3.1</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w:anchor="rgti-20251231xex3d2.htm">
              <w:r>
                <w:rPr>
                  <w:rStyle w:val="InternetLink"/>
                  <w:rFonts w:ascii="Times New Roman;Times;serif" w:hAnsi="Times New Roman;Times;serif"/>
                  <w:b w:val="false"/>
                  <w:i w:val="false"/>
                  <w:caps w:val="false"/>
                  <w:smallCaps w:val="false"/>
                  <w:sz w:val="20"/>
                </w:rPr>
                <w:t>Second Amended and Restated Bylaws of Rigetti Computing, Inc.</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pPr>
            <w:r>
              <w:rPr/>
              <w:t>​</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pPr>
            <w:r>
              <w:rPr/>
              <w:t>​</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Specimen Common Stock Certificate.</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4.1</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Specimen Warrant Certificate.</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4.2</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Warrant Agreement between American Stock Transfer &amp; Trust Company, LLC and Supernova Partners Acquisition Company II, Ltd., dated March 1, 2021.</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4.1</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4,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w:anchor="rgti-20251231xex4d4.htm">
              <w:r>
                <w:rPr>
                  <w:rStyle w:val="InternetLink"/>
                  <w:rFonts w:ascii="Times New Roman;Times;serif" w:hAnsi="Times New Roman;Times;serif"/>
                  <w:b w:val="false"/>
                  <w:i w:val="false"/>
                  <w:caps w:val="false"/>
                  <w:smallCaps w:val="false"/>
                  <w:sz w:val="20"/>
                </w:rPr>
                <w:t>Description of the Registrant’s Securities</w:t>
              </w:r>
            </w:hyperlink>
            <w:r>
              <w:rPr>
                <w:rFonts w:ascii="Times New Roman;Times;serif" w:hAnsi="Times New Roman;Times;serif"/>
                <w:sz w:val="20"/>
              </w:rPr>
              <w:t xml:space="preserve"> </w:t>
            </w:r>
          </w:p>
        </w:tc>
        <w:tc>
          <w:tcPr>
            <w:tcW w:w="286" w:type="dxa"/>
            <w:tcBorders/>
            <w:vAlign w:val="center"/>
          </w:tcPr>
          <w:p>
            <w:pPr>
              <w:pStyle w:val="TableContents"/>
              <w:bidi w:val="0"/>
              <w:spacing w:before="0" w:after="0"/>
              <w:ind w:left="0" w:right="0" w:hanging="0"/>
              <w:jc w:val="both"/>
              <w:rPr/>
            </w:pPr>
            <w:r>
              <w:rPr/>
              <w:t>​</w:t>
            </w:r>
          </w:p>
        </w:tc>
        <w:tc>
          <w:tcPr>
            <w:tcW w:w="78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727" w:type="dxa"/>
            <w:tcBorders/>
            <w:vAlign w:val="center"/>
          </w:tcPr>
          <w:p>
            <w:pPr>
              <w:pStyle w:val="TableContents"/>
              <w:bidi w:val="0"/>
              <w:spacing w:before="0" w:after="0"/>
              <w:ind w:left="0" w:right="0" w:hanging="0"/>
              <w:jc w:val="both"/>
              <w:rPr/>
            </w:pPr>
            <w:r>
              <w:rPr/>
              <w:t>​</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Amended and Restated Registration Rights Agreement, dated March 2, 2022, by and among New Rigetti, the Sponsor and the other holders party thereto.</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Subscription Agreement for PIPE Financing.</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October 6,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Manufacturing Agreement dated May 28, 2020, by and between Rigetti and Sparqtron Corporation.</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10.17</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Rigetti &amp; Co, Inc. 2013 Equity Incentive Plan, as amended.</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10-Q</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10.21</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May 16,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Stock Option Grant Notice and Form of Stock Option Agreement under Rigetti &amp; Co, Inc. 2013 Equity Incentive Plan.</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10.20</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January 14,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Form of Restricted Stock Unit Grant Notice and Form of Restricted Stock Unit Agreement under Rigetti &amp; Co, Inc. 2013 Equity Incentive Plan.</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10.21</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January 14,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10.10#</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Rigetti Computing, Inc. 2022 Equity Incentive Plan.</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10.16</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10.11#</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Stock Option Grant Package under 2022 Equity Incentive Plan.</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10.17</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10.12#</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RSU Grant Package under 2022 Equity Incentive Plan.</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10.18</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10.13#</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Form of Stock Award Grant Package under 2022 Equity Incentive Plan.</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10.19</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10.14#</w:t>
            </w:r>
          </w:p>
        </w:tc>
        <w:tc>
          <w:tcPr>
            <w:tcW w:w="346" w:type="dxa"/>
            <w:tcBorders/>
            <w:vAlign w:val="center"/>
          </w:tcPr>
          <w:p>
            <w:pPr>
              <w:pStyle w:val="TableContents"/>
              <w:bidi w:val="0"/>
              <w:spacing w:before="0" w:after="0"/>
              <w:ind w:left="0" w:right="0" w:hanging="0"/>
              <w:jc w:val="both"/>
              <w:rPr/>
            </w:pPr>
            <w:r>
              <w:rPr/>
              <w:t>​</w:t>
            </w:r>
          </w:p>
        </w:tc>
        <w:tc>
          <w:tcPr>
            <w:tcW w:w="3847"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Rigetti Computing, Inc. 2022 Employee Stock Purchase Plan.</w:t>
              </w:r>
            </w:hyperlink>
          </w:p>
        </w:tc>
        <w:tc>
          <w:tcPr>
            <w:tcW w:w="286" w:type="dxa"/>
            <w:tcBorders/>
            <w:vAlign w:val="center"/>
          </w:tcPr>
          <w:p>
            <w:pPr>
              <w:pStyle w:val="TableContents"/>
              <w:bidi w:val="0"/>
              <w:spacing w:before="0" w:after="20"/>
              <w:ind w:left="0" w:right="0" w:hanging="0"/>
              <w:jc w:val="both"/>
              <w:rPr/>
            </w:pPr>
            <w:r>
              <w:rPr/>
              <w:t>​</w:t>
            </w:r>
          </w:p>
        </w:tc>
        <w:tc>
          <w:tcPr>
            <w:tcW w:w="78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286" w:type="dxa"/>
            <w:tcBorders/>
            <w:vAlign w:val="center"/>
          </w:tcPr>
          <w:p>
            <w:pPr>
              <w:pStyle w:val="TableContents"/>
              <w:bidi w:val="0"/>
              <w:spacing w:before="0" w:after="20"/>
              <w:ind w:left="0" w:right="0" w:hanging="0"/>
              <w:jc w:val="both"/>
              <w:rPr/>
            </w:pPr>
            <w:r>
              <w:rPr/>
              <w:t>​</w:t>
            </w:r>
          </w:p>
        </w:tc>
        <w:tc>
          <w:tcPr>
            <w:tcW w:w="783"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286" w:type="dxa"/>
            <w:tcBorders/>
            <w:vAlign w:val="center"/>
          </w:tcPr>
          <w:p>
            <w:pPr>
              <w:pStyle w:val="TableContents"/>
              <w:bidi w:val="0"/>
              <w:spacing w:before="0" w:after="20"/>
              <w:ind w:left="0" w:right="0" w:hanging="0"/>
              <w:jc w:val="both"/>
              <w:rPr/>
            </w:pPr>
            <w:r>
              <w:rPr/>
              <w:t>​</w:t>
            </w:r>
          </w:p>
        </w:tc>
        <w:tc>
          <w:tcPr>
            <w:tcW w:w="63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10.20</w:t>
            </w:r>
          </w:p>
        </w:tc>
        <w:tc>
          <w:tcPr>
            <w:tcW w:w="286" w:type="dxa"/>
            <w:tcBorders/>
            <w:vAlign w:val="center"/>
          </w:tcPr>
          <w:p>
            <w:pPr>
              <w:pStyle w:val="TableContents"/>
              <w:bidi w:val="0"/>
              <w:spacing w:before="0" w:after="20"/>
              <w:ind w:left="0" w:right="0" w:hanging="0"/>
              <w:jc w:val="both"/>
              <w:rPr/>
            </w:pPr>
            <w:r>
              <w:rPr/>
              <w:t>​</w:t>
            </w:r>
          </w:p>
        </w:tc>
        <w:tc>
          <w:tcPr>
            <w:tcW w:w="172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38"/>
        <w:gridCol w:w="109"/>
        <w:gridCol w:w="5407"/>
        <w:gridCol w:w="109"/>
        <w:gridCol w:w="826"/>
        <w:gridCol w:w="109"/>
        <w:gridCol w:w="829"/>
        <w:gridCol w:w="109"/>
        <w:gridCol w:w="571"/>
        <w:gridCol w:w="109"/>
        <w:gridCol w:w="1389"/>
      </w:tblGrid>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Form of Indemnification Agreement by and between the Company and its directors and officers.</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2022</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w:anchor="rgti-20251231xex10d16.htm">
              <w:r>
                <w:rPr>
                  <w:rStyle w:val="InternetLink"/>
                  <w:rFonts w:ascii="Times New Roman;Times;serif" w:hAnsi="Times New Roman;Times;serif"/>
                  <w:b w:val="false"/>
                  <w:i w:val="false"/>
                  <w:caps w:val="false"/>
                  <w:smallCaps w:val="false"/>
                  <w:sz w:val="20"/>
                </w:rPr>
                <w:t>Non-Employee Director Compensation Policy</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pPr>
            <w:r>
              <w:rPr/>
              <w:t>​</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pPr>
            <w:r>
              <w:rPr/>
              <w:t>​</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pPr>
            <w:r>
              <w:rPr/>
              <w:t>​</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pPr>
            <w:r>
              <w:rPr/>
              <w:t>​</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Lease Agreement dated August 9, 2016 by and between Rigetti and Prologis Limited Partnership 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First Amendment to the Lease Agreement dated August 9, 2016 by and between Rigetti and Prologis Limited Partnership 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Second Amendment to the Lease Agreement dated August 9, 2016 by and between Rigetti and Prologis Limited Partnership 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Third Amendment to the Lease Agreement dated August 9, 2016 by and between Rigetti and Prologis Limited Partnership 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Fourth Amendment to the Lease Agreement dated August 9, 2016 by and between Rigetti and Prologis Limited Partnership 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Sixth Amendment to the Lease Agreement dated August 9, 2016 by and between Rigetti and Prologis Limited Partnership 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Seventh Amendment to Lease Agreement dated August 9, 2016 by and between Rigetti and Prologis Limited Partnership I.</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August 8, 2024</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Lease Agreement dated April 15, 2015, by and among Rigetti, Temescal, LP and Contra Costa Industrial Park, Ltd.</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S-4/A</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333-260692</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20, 2021</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Amendment No. 1 to the Lease Agreement dated April 15, 2015, by and among Rigetti, Temescal, LP and Contra Costa Industrial Park, Ltd.</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Amendment No. 2 to the Lease Agreement dated April 15, 2015, by and among Rigetti, Temescal, LP and Contra Costa Industrial Park, Ltd.</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Notice of Option to Extend Lease Term to the Lease Agreement dated April 15, 2015, by and among Rigetti, Temescal, LP and Contra Costa Industrial Park, Ltd.</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Executive Employment Agreement, dated December 7, 2022, by and between Rigetti Computing, Inc. and Dr. Subodh Kulkarni.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December 8, 2022</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33">
              <w:r>
                <w:rPr>
                  <w:rStyle w:val="InternetLink"/>
                  <w:rFonts w:ascii="Times New Roman;Times;serif" w:hAnsi="Times New Roman;Times;serif"/>
                  <w:b w:val="false"/>
                  <w:i w:val="false"/>
                  <w:caps w:val="false"/>
                  <w:smallCaps w:val="false"/>
                  <w:sz w:val="20"/>
                </w:rPr>
                <w:t>Executive Employment Agreement, dated February 9, 2023, by and between Rigetti Computing, Inc. and Jeffrey Bertelsen.</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February 10, 2023</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Amended and Restated Employment Agreement, dated as of March 2, 2023, between Rigetti Computing, Inc. and David Rivas</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POS-AM</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333-263798</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April 5, 2023</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10.31</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35">
              <w:r>
                <w:rPr>
                  <w:rStyle w:val="InternetLink"/>
                  <w:rFonts w:ascii="Times New Roman;Times;serif" w:hAnsi="Times New Roman;Times;serif"/>
                  <w:b w:val="false"/>
                  <w:i w:val="false"/>
                  <w:caps w:val="false"/>
                  <w:smallCaps w:val="false"/>
                  <w:sz w:val="20"/>
                </w:rPr>
                <w:t>Amendment No.3, dated as of September 20, 2024, to Standard Industrial/Commercial Multi-Tenant Lease-Gross dated as of April 15, 2015, by and between Rigetti &amp; Co. LLC, Temescal, LP, Costa Industrial Park, II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September 24, 2024</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36">
              <w:r>
                <w:rPr>
                  <w:rStyle w:val="InternetLink"/>
                  <w:rFonts w:ascii="Times New Roman;Times;serif" w:hAnsi="Times New Roman;Times;serif"/>
                  <w:b w:val="false"/>
                  <w:i w:val="false"/>
                  <w:caps w:val="false"/>
                  <w:smallCaps w:val="false"/>
                  <w:sz w:val="20"/>
                </w:rPr>
                <w:t>Third Amendment to the Lease Agreement dated August 9, 2016 by and between Rigetti and Prologis Limited Partnership I.</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  </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10.33</w:t>
            </w:r>
          </w:p>
        </w:tc>
        <w:tc>
          <w:tcPr>
            <w:tcW w:w="109" w:type="dxa"/>
            <w:tcBorders/>
            <w:vAlign w:val="center"/>
          </w:tcPr>
          <w:p>
            <w:pPr>
              <w:pStyle w:val="TableContents"/>
              <w:bidi w:val="0"/>
              <w:spacing w:before="0" w:after="0"/>
              <w:ind w:left="0" w:right="0" w:hanging="0"/>
              <w:jc w:val="both"/>
              <w:rPr/>
            </w:pPr>
            <w:r>
              <w:rPr/>
              <w:t>​</w:t>
            </w:r>
          </w:p>
        </w:tc>
        <w:tc>
          <w:tcPr>
            <w:tcW w:w="5407" w:type="dxa"/>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Securities Purchase Agreement, dated as of February 27, 2025, by and between Rigetti Computing, Inc. and Quanta Computer Inc.</w:t>
              </w:r>
            </w:hyperlink>
          </w:p>
        </w:tc>
        <w:tc>
          <w:tcPr>
            <w:tcW w:w="109" w:type="dxa"/>
            <w:tcBorders/>
            <w:vAlign w:val="center"/>
          </w:tcPr>
          <w:p>
            <w:pPr>
              <w:pStyle w:val="TableContents"/>
              <w:bidi w:val="0"/>
              <w:spacing w:before="0" w:after="20"/>
              <w:ind w:left="0" w:right="0" w:hanging="0"/>
              <w:jc w:val="both"/>
              <w:rPr/>
            </w:pPr>
            <w:r>
              <w:rPr/>
              <w:t>​</w:t>
            </w:r>
          </w:p>
        </w:tc>
        <w:tc>
          <w:tcPr>
            <w:tcW w:w="82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82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571"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20"/>
              <w:ind w:left="0" w:right="0" w:hanging="0"/>
              <w:jc w:val="both"/>
              <w:rPr/>
            </w:pPr>
            <w:r>
              <w:rPr/>
              <w:t>​</w:t>
            </w:r>
          </w:p>
        </w:tc>
        <w:tc>
          <w:tcPr>
            <w:tcW w:w="138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February 28,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76"/>
        <w:gridCol w:w="109"/>
        <w:gridCol w:w="6232"/>
        <w:gridCol w:w="109"/>
        <w:gridCol w:w="419"/>
        <w:gridCol w:w="109"/>
        <w:gridCol w:w="750"/>
        <w:gridCol w:w="109"/>
        <w:gridCol w:w="466"/>
        <w:gridCol w:w="109"/>
        <w:gridCol w:w="1117"/>
      </w:tblGrid>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Collaboration Agreement, dated as of February 27, 2025, by and between Rigetti &amp; Co. LLC and Quanta Computer Inc.</w:t>
              </w:r>
            </w:hyperlink>
          </w:p>
        </w:tc>
        <w:tc>
          <w:tcPr>
            <w:tcW w:w="109" w:type="dxa"/>
            <w:tcBorders/>
            <w:vAlign w:val="center"/>
          </w:tcPr>
          <w:p>
            <w:pPr>
              <w:pStyle w:val="TableContents"/>
              <w:bidi w:val="0"/>
              <w:spacing w:before="0" w:after="20"/>
              <w:ind w:left="0" w:right="0" w:hanging="0"/>
              <w:jc w:val="both"/>
              <w:rPr/>
            </w:pPr>
            <w:r>
              <w:rPr/>
              <w:t>​</w:t>
            </w:r>
          </w:p>
        </w:tc>
        <w:tc>
          <w:tcPr>
            <w:tcW w:w="41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0"/>
              <w:ind w:left="0" w:right="0" w:hanging="0"/>
              <w:jc w:val="both"/>
              <w:rPr/>
            </w:pPr>
            <w:r>
              <w:rPr/>
              <w:t>​</w:t>
            </w:r>
          </w:p>
        </w:tc>
        <w:tc>
          <w:tcPr>
            <w:tcW w:w="750"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0"/>
              <w:ind w:left="0" w:right="0" w:hanging="0"/>
              <w:jc w:val="both"/>
              <w:rPr/>
            </w:pPr>
            <w:r>
              <w:rPr/>
              <w:t>​</w:t>
            </w:r>
          </w:p>
        </w:tc>
        <w:tc>
          <w:tcPr>
            <w:tcW w:w="111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February 28, 2025</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Insider Trading Policy</w:t>
              </w:r>
            </w:hyperlink>
          </w:p>
        </w:tc>
        <w:tc>
          <w:tcPr>
            <w:tcW w:w="109" w:type="dxa"/>
            <w:tcBorders/>
            <w:vAlign w:val="center"/>
          </w:tcPr>
          <w:p>
            <w:pPr>
              <w:pStyle w:val="TableContents"/>
              <w:bidi w:val="0"/>
              <w:spacing w:before="0" w:after="20"/>
              <w:ind w:left="0" w:right="0" w:hanging="0"/>
              <w:jc w:val="both"/>
              <w:rPr/>
            </w:pPr>
            <w:r>
              <w:rPr/>
              <w:t>​</w:t>
            </w:r>
          </w:p>
        </w:tc>
        <w:tc>
          <w:tcPr>
            <w:tcW w:w="419"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20"/>
              <w:ind w:left="0" w:right="0" w:hanging="0"/>
              <w:jc w:val="both"/>
              <w:rPr/>
            </w:pPr>
            <w:r>
              <w:rPr/>
              <w:t>​</w:t>
            </w:r>
          </w:p>
        </w:tc>
        <w:tc>
          <w:tcPr>
            <w:tcW w:w="750"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20"/>
              <w:ind w:left="0" w:right="0" w:hanging="0"/>
              <w:jc w:val="both"/>
              <w:rPr/>
            </w:pPr>
            <w:r>
              <w:rPr/>
              <w:t>​</w:t>
            </w:r>
          </w:p>
        </w:tc>
        <w:tc>
          <w:tcPr>
            <w:tcW w:w="1117" w:type="dxa"/>
            <w:tcBorders/>
            <w:vAlign w:val="center"/>
          </w:tcPr>
          <w:p>
            <w:pPr>
              <w:pStyle w:val="TableContents"/>
              <w:bidi w:val="0"/>
              <w:spacing w:before="0" w:after="20"/>
              <w:ind w:left="0" w:right="0" w:hanging="0"/>
              <w:jc w:val="both"/>
              <w:rPr>
                <w:rFonts w:ascii="Times New Roman;Times;serif" w:hAnsi="Times New Roman;Times;serif"/>
                <w:sz w:val="20"/>
              </w:rPr>
            </w:pPr>
            <w:r>
              <w:rPr>
                <w:rFonts w:ascii="Times New Roman;Times;serif" w:hAnsi="Times New Roman;Times;serif"/>
                <w:sz w:val="20"/>
              </w:rPr>
              <w:t>March 7, 2025</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w:anchor="rgti-20251231xex21d1.htm">
              <w:r>
                <w:rPr>
                  <w:rStyle w:val="InternetLink"/>
                  <w:rFonts w:ascii="Times New Roman;Times;serif" w:hAnsi="Times New Roman;Times;serif"/>
                  <w:b w:val="false"/>
                  <w:i w:val="false"/>
                  <w:caps w:val="false"/>
                  <w:smallCaps w:val="false"/>
                  <w:sz w:val="20"/>
                </w:rPr>
                <w:t>List of Subsidiaries of Rigetti Computing, Inc.</w:t>
              </w:r>
            </w:hyperlink>
          </w:p>
        </w:tc>
        <w:tc>
          <w:tcPr>
            <w:tcW w:w="109" w:type="dxa"/>
            <w:tcBorders/>
            <w:vAlign w:val="center"/>
          </w:tcPr>
          <w:p>
            <w:pPr>
              <w:pStyle w:val="TableContents"/>
              <w:bidi w:val="0"/>
              <w:spacing w:before="0" w:after="2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w:anchor="rgti-20251231xex23d1.htm">
              <w:r>
                <w:rPr>
                  <w:rStyle w:val="InternetLink"/>
                  <w:rFonts w:ascii="Times New Roman;Times;serif" w:hAnsi="Times New Roman;Times;serif"/>
                  <w:b w:val="false"/>
                  <w:i w:val="false"/>
                  <w:caps w:val="false"/>
                  <w:smallCaps w:val="false"/>
                  <w:sz w:val="20"/>
                </w:rPr>
                <w:t>Consent of BDO USA P.C</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w:anchor="POWEROFATTORNEY_588894">
              <w:r>
                <w:rPr>
                  <w:rStyle w:val="InternetLink"/>
                  <w:rFonts w:ascii="Times New Roman;Times;serif" w:hAnsi="Times New Roman;Times;serif"/>
                  <w:b w:val="false"/>
                  <w:i w:val="false"/>
                  <w:caps w:val="false"/>
                  <w:smallCaps w:val="false"/>
                  <w:sz w:val="20"/>
                </w:rPr>
                <w:t>Power of Attorney (incorporated by reference to the signature page of this Annual Report on Form 10-K).</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w:anchor="rgti-202512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w:anchor="rgti-202512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w:anchor="rgti-202512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w:anchor="rgti-202512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Incentive Compensation Recoupment Policy</w:t>
              </w:r>
            </w:hyperlink>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14, 2024</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XBRL tags are embedded within the Inline XBRL document.</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ind w:left="0" w:right="0" w:hanging="0"/>
              <w:jc w:val="left"/>
              <w:rPr>
                <w:sz w:val="4"/>
                <w:szCs w:val="4"/>
              </w:rPr>
            </w:pPr>
            <w:r>
              <w:rPr>
                <w:sz w:val="4"/>
                <w:szCs w:val="4"/>
              </w:rPr>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6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109" w:type="dxa"/>
            <w:tcBorders/>
            <w:vAlign w:val="center"/>
          </w:tcPr>
          <w:p>
            <w:pPr>
              <w:pStyle w:val="TableContents"/>
              <w:bidi w:val="0"/>
              <w:spacing w:before="0" w:after="0"/>
              <w:ind w:left="0" w:right="0" w:hanging="0"/>
              <w:jc w:val="both"/>
              <w:rPr/>
            </w:pPr>
            <w:r>
              <w:rPr/>
              <w:t>​</w:t>
            </w:r>
          </w:p>
        </w:tc>
        <w:tc>
          <w:tcPr>
            <w:tcW w:w="41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117" w:type="dxa"/>
            <w:tcBorders/>
            <w:vAlign w:val="center"/>
          </w:tcPr>
          <w:p>
            <w:pPr>
              <w:pStyle w:val="TableContents"/>
              <w:bidi w:val="0"/>
              <w:spacing w:before="0" w:after="283"/>
              <w:jc w:val="left"/>
              <w:rPr>
                <w:sz w:val="4"/>
                <w:szCs w:val="4"/>
              </w:rPr>
            </w:pPr>
            <w:r>
              <w:rPr>
                <w:sz w:val="4"/>
                <w:szCs w:val="4"/>
              </w:rPr>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schedules and exhibits to this agreement have been omitted pursuant to Item 601(a)(5) of Regulation S-K. A copy of any omitted schedule and/or exhibit will be furnished to the SEC upon request.</w:t>
            </w:r>
          </w:p>
        </w:tc>
      </w:tr>
    </w:tbl>
    <w:tbl>
      <w:tblPr>
        <w:tblW w:w="6002" w:type="dxa"/>
        <w:jc w:val="left"/>
        <w:tblInd w:w="0" w:type="dxa"/>
        <w:tblLayout w:type="fixed"/>
        <w:tblCellMar>
          <w:top w:w="0" w:type="dxa"/>
          <w:left w:w="0" w:type="dxa"/>
          <w:bottom w:w="0" w:type="dxa"/>
          <w:right w:w="0" w:type="dxa"/>
        </w:tblCellMar>
      </w:tblPr>
      <w:tblGrid>
        <w:gridCol w:w="226"/>
        <w:gridCol w:w="577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57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27" w:name="SIGNATURES_954937"/>
      <w:bookmarkStart w:id="1328" w:name="_fb273a20_be81_494c_9d29_602f27098098"/>
      <w:bookmarkEnd w:id="1327"/>
      <w:bookmarkEnd w:id="1328"/>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r>
        <w:rPr>
          <w:rFonts w:ascii="Times New Roman;Times;serif" w:hAnsi="Times New Roman;Times;serif"/>
          <w:b/>
          <w:sz w:val="20"/>
        </w:rPr>
        <w:t>.</w:t>
      </w:r>
    </w:p>
    <w:tbl>
      <w:tblPr>
        <w:tblW w:w="4336" w:type="dxa"/>
        <w:jc w:val="left"/>
        <w:tblInd w:w="0" w:type="dxa"/>
        <w:tblLayout w:type="fixed"/>
        <w:tblCellMar>
          <w:top w:w="0" w:type="dxa"/>
          <w:left w:w="0" w:type="dxa"/>
          <w:bottom w:w="0" w:type="dxa"/>
          <w:right w:w="0" w:type="dxa"/>
        </w:tblCellMar>
      </w:tblPr>
      <w:tblGrid>
        <w:gridCol w:w="1786"/>
        <w:gridCol w:w="418"/>
        <w:gridCol w:w="2132"/>
      </w:tblGrid>
      <w:tr>
        <w:trPr/>
        <w:tc>
          <w:tcPr>
            <w:tcW w:w="1786" w:type="dxa"/>
            <w:tcBorders/>
            <w:vAlign w:val="center"/>
          </w:tcPr>
          <w:p>
            <w:pPr>
              <w:pStyle w:val="TableContents"/>
              <w:bidi w:val="0"/>
              <w:spacing w:before="0" w:after="0"/>
              <w:ind w:left="0" w:right="0" w:hanging="0"/>
              <w:jc w:val="both"/>
              <w:rPr/>
            </w:pPr>
            <w:r>
              <w:rPr/>
              <w:t>​</w:t>
            </w:r>
          </w:p>
        </w:tc>
        <w:tc>
          <w:tcPr>
            <w:tcW w:w="2550"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RIGETTI COMPUTING, INC.</w:t>
            </w:r>
          </w:p>
        </w:tc>
      </w:tr>
      <w:tr>
        <w:trPr/>
        <w:tc>
          <w:tcPr>
            <w:tcW w:w="1786" w:type="dxa"/>
            <w:tcBorders/>
            <w:vAlign w:val="center"/>
          </w:tcPr>
          <w:p>
            <w:pPr>
              <w:pStyle w:val="TableContents"/>
              <w:bidi w:val="0"/>
              <w:spacing w:before="0" w:after="0"/>
              <w:ind w:left="0" w:right="0" w:hanging="0"/>
              <w:jc w:val="both"/>
              <w:rPr/>
            </w:pPr>
            <w:r>
              <w:rPr/>
              <w:t>​</w:t>
            </w:r>
          </w:p>
        </w:tc>
        <w:tc>
          <w:tcPr>
            <w:tcW w:w="418" w:type="dxa"/>
            <w:tcBorders/>
            <w:vAlign w:val="center"/>
          </w:tcPr>
          <w:p>
            <w:pPr>
              <w:pStyle w:val="TableContents"/>
              <w:bidi w:val="0"/>
              <w:spacing w:before="0" w:after="0"/>
              <w:ind w:left="0" w:right="0" w:hanging="0"/>
              <w:jc w:val="both"/>
              <w:rPr/>
            </w:pPr>
            <w:r>
              <w:rPr/>
              <w:t>​</w:t>
            </w:r>
          </w:p>
        </w:tc>
        <w:tc>
          <w:tcPr>
            <w:tcW w:w="2132" w:type="dxa"/>
            <w:tcBorders/>
            <w:vAlign w:val="center"/>
          </w:tcPr>
          <w:p>
            <w:pPr>
              <w:pStyle w:val="TableContents"/>
              <w:bidi w:val="0"/>
              <w:spacing w:before="0" w:after="0"/>
              <w:ind w:left="0" w:right="0" w:hanging="0"/>
              <w:jc w:val="both"/>
              <w:rPr/>
            </w:pPr>
            <w:r>
              <w:rPr/>
              <w:t>​</w:t>
            </w:r>
          </w:p>
        </w:tc>
      </w:tr>
      <w:tr>
        <w:trPr/>
        <w:tc>
          <w:tcPr>
            <w:tcW w:w="17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4, 2026</w:t>
            </w:r>
          </w:p>
        </w:tc>
        <w:tc>
          <w:tcPr>
            <w:tcW w:w="4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132"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Dr. Subodh Kulkarni</w:t>
            </w:r>
          </w:p>
        </w:tc>
      </w:tr>
      <w:tr>
        <w:trPr/>
        <w:tc>
          <w:tcPr>
            <w:tcW w:w="1786" w:type="dxa"/>
            <w:tcBorders/>
            <w:vAlign w:val="center"/>
          </w:tcPr>
          <w:p>
            <w:pPr>
              <w:pStyle w:val="TableContents"/>
              <w:bidi w:val="0"/>
              <w:spacing w:before="0" w:after="0"/>
              <w:ind w:left="0" w:right="0" w:hanging="0"/>
              <w:jc w:val="both"/>
              <w:rPr/>
            </w:pPr>
            <w:r>
              <w:rPr/>
              <w:t>​</w:t>
            </w:r>
          </w:p>
        </w:tc>
        <w:tc>
          <w:tcPr>
            <w:tcW w:w="418" w:type="dxa"/>
            <w:tcBorders/>
            <w:vAlign w:val="center"/>
          </w:tcPr>
          <w:p>
            <w:pPr>
              <w:pStyle w:val="TableContents"/>
              <w:bidi w:val="0"/>
              <w:spacing w:before="0" w:after="0"/>
              <w:ind w:left="0" w:right="0" w:hanging="0"/>
              <w:jc w:val="both"/>
              <w:rPr/>
            </w:pPr>
            <w:r>
              <w:rPr/>
              <w:t>​</w:t>
            </w:r>
          </w:p>
        </w:tc>
        <w:tc>
          <w:tcPr>
            <w:tcW w:w="2132"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Dr. Subodh Kulkarni</w:t>
            </w:r>
          </w:p>
        </w:tc>
      </w:tr>
      <w:tr>
        <w:trPr/>
        <w:tc>
          <w:tcPr>
            <w:tcW w:w="1786" w:type="dxa"/>
            <w:tcBorders/>
            <w:vAlign w:val="center"/>
          </w:tcPr>
          <w:p>
            <w:pPr>
              <w:pStyle w:val="TableContents"/>
              <w:bidi w:val="0"/>
              <w:spacing w:before="0" w:after="0"/>
              <w:ind w:left="0" w:right="0" w:hanging="0"/>
              <w:jc w:val="both"/>
              <w:rPr/>
            </w:pPr>
            <w:r>
              <w:rPr/>
              <w:t>​</w:t>
            </w:r>
          </w:p>
        </w:tc>
        <w:tc>
          <w:tcPr>
            <w:tcW w:w="418" w:type="dxa"/>
            <w:tcBorders/>
            <w:vAlign w:val="center"/>
          </w:tcPr>
          <w:p>
            <w:pPr>
              <w:pStyle w:val="TableContents"/>
              <w:bidi w:val="0"/>
              <w:spacing w:before="0" w:after="0"/>
              <w:ind w:left="0" w:right="0" w:hanging="0"/>
              <w:jc w:val="both"/>
              <w:rPr/>
            </w:pPr>
            <w:r>
              <w:rPr/>
              <w:t>​</w:t>
            </w:r>
          </w:p>
        </w:tc>
        <w:tc>
          <w:tcPr>
            <w:tcW w:w="21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pPr>
      <w:r>
        <w:rPr/>
        <w:t>​</w:t>
      </w:r>
    </w:p>
    <w:p>
      <w:pPr>
        <w:pStyle w:val="TextBody"/>
        <w:bidi w:val="0"/>
        <w:spacing w:before="0" w:after="120"/>
        <w:ind w:left="0" w:right="0" w:hanging="0"/>
        <w:jc w:val="center"/>
        <w:rPr>
          <w:rFonts w:ascii="Times New Roman;Times;serif" w:hAnsi="Times New Roman;Times;serif"/>
          <w:b/>
          <w:sz w:val="20"/>
        </w:rPr>
      </w:pPr>
      <w:bookmarkStart w:id="1329" w:name="POWEROFATTORNEY_588894"/>
      <w:bookmarkEnd w:id="1329"/>
      <w:r>
        <w:rPr>
          <w:rFonts w:ascii="Times New Roman;Times;serif" w:hAnsi="Times New Roman;Times;serif"/>
          <w:b/>
          <w:sz w:val="20"/>
        </w:rPr>
        <w:t>POWER OF ATTORNEY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Each person whose individual signature appears below hereby authorizes and appoints Dr. Subodh Kulkarni and Jeffrey Bertelsen,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6905" w:type="dxa"/>
        <w:jc w:val="left"/>
        <w:tblInd w:w="0" w:type="dxa"/>
        <w:tblLayout w:type="fixed"/>
        <w:tblCellMar>
          <w:top w:w="0" w:type="dxa"/>
          <w:left w:w="0" w:type="dxa"/>
          <w:bottom w:w="0" w:type="dxa"/>
          <w:right w:w="0" w:type="dxa"/>
        </w:tblCellMar>
      </w:tblPr>
      <w:tblGrid>
        <w:gridCol w:w="1801"/>
        <w:gridCol w:w="346"/>
        <w:gridCol w:w="3076"/>
        <w:gridCol w:w="346"/>
        <w:gridCol w:w="1336"/>
      </w:tblGrid>
      <w:tr>
        <w:trPr/>
        <w:tc>
          <w:tcPr>
            <w:tcW w:w="180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71500" cy="175260"/>
                      <wp:effectExtent l="0" t="0" r="0" b="0"/>
                      <wp:wrapNone/>
                      <wp:docPr id="277" name="Frame27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Heading"/>
                                    <w:bidi w:val="0"/>
                                    <w:spacing w:before="0" w:after="0"/>
                                    <w:ind w:left="0" w:right="0" w:hanging="0"/>
                                    <w:jc w:val="both"/>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both"/>
                              <w:rPr/>
                            </w:pPr>
                            <w:r>
                              <w:rPr/>
                              <w:t>  ​ ​ ​</w:t>
                            </w:r>
                          </w:p>
                        </w:txbxContent>
                      </v:textbox>
                      <w10:wrap type="none"/>
                    </v:rect>
                  </w:pict>
                </mc:Fallback>
              </mc:AlternateContent>
            </w:r>
          </w:p>
        </w:tc>
        <w:tc>
          <w:tcPr>
            <w:tcW w:w="346" w:type="dxa"/>
            <w:tcBorders/>
            <w:vAlign w:val="center"/>
          </w:tcPr>
          <w:p>
            <w:pPr>
              <w:pStyle w:val="TableHeading"/>
              <w:bidi w:val="0"/>
              <w:spacing w:before="0" w:after="0"/>
              <w:ind w:left="0" w:right="0" w:hanging="0"/>
              <w:jc w:val="both"/>
              <w:rPr/>
            </w:pPr>
            <w:r>
              <w:rPr/>
              <w:t>​</w:t>
            </w:r>
          </w:p>
        </w:tc>
        <w:tc>
          <w:tcPr>
            <w:tcW w:w="307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76630" cy="29210"/>
                      <wp:effectExtent l="0" t="0" r="0" b="0"/>
                      <wp:wrapNone/>
                      <wp:docPr id="278" name="Frame278"/>
                      <a:graphic xmlns:a="http://schemas.openxmlformats.org/drawingml/2006/main">
                        <a:graphicData uri="http://schemas.microsoft.com/office/word/2010/wordprocessingShape">
                          <wps:wsp>
                            <wps:cNvSpPr txBox="1"/>
                            <wps:spPr>
                              <a:xfrm>
                                <a:off x="0" y="0"/>
                                <a:ext cx="9766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0"/>
              <w:ind w:left="0" w:right="0" w:hanging="0"/>
              <w:jc w:val="both"/>
              <w:rPr/>
            </w:pPr>
            <w:r>
              <w:rPr/>
              <w:t>​</w:t>
            </w:r>
          </w:p>
        </w:tc>
        <w:tc>
          <w:tcPr>
            <w:tcW w:w="133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24180" cy="29210"/>
                      <wp:effectExtent l="0" t="0" r="0" b="0"/>
                      <wp:wrapNone/>
                      <wp:docPr id="279" name="Frame279"/>
                      <a:graphic xmlns:a="http://schemas.openxmlformats.org/drawingml/2006/main">
                        <a:graphicData uri="http://schemas.microsoft.com/office/word/2010/wordprocessingShape">
                          <wps:wsp>
                            <wps:cNvSpPr txBox="1"/>
                            <wps:spPr>
                              <a:xfrm>
                                <a:off x="0" y="0"/>
                                <a:ext cx="4241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01" w:type="dxa"/>
            <w:tcBorders>
              <w:bottom w:val="single" w:sz="2" w:space="0" w:color="000000"/>
            </w:tcBorders>
            <w:tcMar>
              <w:bottom w:w="28" w:type="dxa"/>
            </w:tcMar>
            <w:vAlign w:val="center"/>
          </w:tcPr>
          <w:p>
            <w:pPr>
              <w:pStyle w:val="TableHeading"/>
              <w:bidi w:val="0"/>
              <w:spacing w:before="0" w:after="20"/>
              <w:ind w:left="0" w:right="0" w:hanging="0"/>
              <w:jc w:val="both"/>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Heading"/>
              <w:bidi w:val="0"/>
              <w:spacing w:before="0" w:after="0"/>
              <w:ind w:left="0" w:right="0" w:hanging="0"/>
              <w:jc w:val="both"/>
              <w:rPr/>
            </w:pPr>
            <w:r>
              <w:rPr/>
              <w:t>  ​ ​ ​</w:t>
            </w:r>
          </w:p>
        </w:tc>
        <w:tc>
          <w:tcPr>
            <w:tcW w:w="3076"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Title</w:t>
            </w:r>
          </w:p>
        </w:tc>
        <w:tc>
          <w:tcPr>
            <w:tcW w:w="346" w:type="dxa"/>
            <w:tcBorders/>
            <w:vAlign w:val="center"/>
          </w:tcPr>
          <w:p>
            <w:pPr>
              <w:pStyle w:val="TableHeading"/>
              <w:bidi w:val="0"/>
              <w:spacing w:before="0" w:after="0"/>
              <w:ind w:left="0" w:right="0" w:hanging="0"/>
              <w:jc w:val="both"/>
              <w:rPr/>
            </w:pPr>
            <w:r>
              <w:rPr/>
              <w:t>  ​ ​ ​</w:t>
            </w:r>
          </w:p>
        </w:tc>
        <w:tc>
          <w:tcPr>
            <w:tcW w:w="1336"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Date</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3076" w:type="dxa"/>
            <w:tcBorders>
              <w:top w:val="single" w:sz="2" w:space="0" w:color="000000"/>
            </w:tcBorders>
            <w:tcMar>
              <w:top w:w="28" w:type="dxa"/>
            </w:tcMar>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top w:val="single" w:sz="2" w:space="0" w:color="000000"/>
            </w:tcBorders>
            <w:tcMar>
              <w:top w:w="28" w:type="dxa"/>
            </w:tcMar>
            <w:vAlign w:val="center"/>
          </w:tcPr>
          <w:p>
            <w:pPr>
              <w:pStyle w:val="TableContents"/>
              <w:bidi w:val="0"/>
              <w:spacing w:before="0" w:after="0"/>
              <w:ind w:left="0" w:right="0" w:hanging="0"/>
              <w:jc w:val="both"/>
              <w:rPr/>
            </w:pPr>
            <w:r>
              <w:rPr/>
              <w:t>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Subodh Kulkarni</w:t>
            </w:r>
          </w:p>
        </w:tc>
        <w:tc>
          <w:tcPr>
            <w:tcW w:w="34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 Director</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4, 2026</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Subodh Kulkarni</w:t>
            </w:r>
          </w:p>
        </w:tc>
        <w:tc>
          <w:tcPr>
            <w:tcW w:w="34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Jeffrey Bertelsen</w:t>
            </w:r>
          </w:p>
        </w:tc>
        <w:tc>
          <w:tcPr>
            <w:tcW w:w="34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4, 2026</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Jeffrey Bertelsen</w:t>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Financial Officer and </w:t>
              <w:br/>
              <w:t>Principal Accounting Officer)</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Thomas J. Iannoti</w:t>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Chair of the Board of Directors</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4, 2026</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Thomas J. Iannoti</w:t>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pPr>
            <w:r>
              <w:rPr/>
              <w:t>​</w:t>
            </w:r>
          </w:p>
        </w:tc>
      </w:tr>
      <w:tr>
        <w:trPr/>
        <w:tc>
          <w:tcPr>
            <w:tcW w:w="180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pPr>
            <w:r>
              <w:rPr/>
              <w:t>​</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Michael Clifton</w:t>
            </w:r>
          </w:p>
        </w:tc>
        <w:tc>
          <w:tcPr>
            <w:tcW w:w="34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4, 2026</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Clifton</w:t>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Alissa Fitzgerald</w:t>
            </w:r>
          </w:p>
        </w:tc>
        <w:tc>
          <w:tcPr>
            <w:tcW w:w="34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4, 2026</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Alissa Fitzgerald</w:t>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Ray Johnson</w:t>
            </w:r>
          </w:p>
        </w:tc>
        <w:tc>
          <w:tcPr>
            <w:tcW w:w="34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4, 2026</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Ray Johnson</w:t>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H. Gail Sandford</w:t>
            </w:r>
          </w:p>
        </w:tc>
        <w:tc>
          <w:tcPr>
            <w:tcW w:w="346" w:type="dxa"/>
            <w:tcBorders/>
            <w:vAlign w:val="center"/>
          </w:tcPr>
          <w:p>
            <w:pPr>
              <w:pStyle w:val="TableContents"/>
              <w:pBdr/>
              <w:bidi w:val="0"/>
              <w:spacing w:before="0" w:after="0"/>
              <w:ind w:left="0" w:right="0" w:hanging="0"/>
              <w:jc w:val="both"/>
              <w:rPr/>
            </w:pPr>
            <w:r>
              <w:rPr/>
              <w:t>​</w:t>
            </w:r>
          </w:p>
        </w:tc>
        <w:tc>
          <w:tcPr>
            <w:tcW w:w="307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4, 2026</w:t>
            </w:r>
          </w:p>
        </w:tc>
      </w:tr>
      <w:tr>
        <w:trPr/>
        <w:tc>
          <w:tcPr>
            <w:tcW w:w="180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 Gail Sandford</w:t>
            </w:r>
          </w:p>
        </w:tc>
        <w:tc>
          <w:tcPr>
            <w:tcW w:w="346" w:type="dxa"/>
            <w:tcBorders/>
            <w:vAlign w:val="center"/>
          </w:tcPr>
          <w:p>
            <w:pPr>
              <w:pStyle w:val="TableContents"/>
              <w:bidi w:val="0"/>
              <w:spacing w:before="0" w:after="0"/>
              <w:ind w:left="0" w:right="0" w:hanging="0"/>
              <w:jc w:val="both"/>
              <w:rPr/>
            </w:pPr>
            <w:r>
              <w:rPr/>
              <w:t>​</w:t>
            </w:r>
          </w:p>
        </w:tc>
        <w:tc>
          <w:tcPr>
            <w:tcW w:w="30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3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240"/>
        <w:ind w:left="0" w:right="0" w:hanging="0"/>
        <w:jc w:val="right"/>
        <w:rPr>
          <w:rFonts w:ascii="Times New Roman;Times;serif" w:hAnsi="Times New Roman;Times;serif"/>
          <w:b/>
          <w:sz w:val="20"/>
        </w:rPr>
      </w:pPr>
      <w:bookmarkStart w:id="1330" w:name="rgti-20251231xex3d2.htm"/>
      <w:bookmarkStart w:id="1331" w:name="ksrgti20251231xex3d2"/>
      <w:bookmarkEnd w:id="1330"/>
      <w:bookmarkEnd w:id="1331"/>
      <w:r>
        <w:rPr>
          <w:rFonts w:ascii="Times New Roman;Times;serif" w:hAnsi="Times New Roman;Times;serif"/>
          <w:b/>
          <w:sz w:val="20"/>
        </w:rPr>
        <w:t>Exhibit 3.2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SECOND AMENDED AND RESTATED BYLAWS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 DELAWARE CORPORATION)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TABLE OF CONTENTS</w:t>
      </w:r>
    </w:p>
    <w:p>
      <w:pPr>
        <w:pStyle w:val="TextBody"/>
        <w:bidi w:val="0"/>
        <w:spacing w:before="0" w:after="0"/>
        <w:ind w:left="0" w:right="0" w:hanging="0"/>
        <w:jc w:val="left"/>
        <w:rPr/>
      </w:pPr>
      <w:r>
        <w:rPr/>
        <w:t>​</w:t>
      </w:r>
    </w:p>
    <w:tbl>
      <w:tblPr>
        <w:tblW w:w="5567" w:type="dxa"/>
        <w:jc w:val="center"/>
        <w:tblInd w:w="0" w:type="dxa"/>
        <w:tblLayout w:type="fixed"/>
        <w:tblCellMar>
          <w:top w:w="0" w:type="dxa"/>
          <w:left w:w="0" w:type="dxa"/>
          <w:bottom w:w="0" w:type="dxa"/>
          <w:right w:w="0" w:type="dxa"/>
        </w:tblCellMar>
      </w:tblPr>
      <w:tblGrid>
        <w:gridCol w:w="4996"/>
        <w:gridCol w:w="571"/>
      </w:tblGrid>
      <w:tr>
        <w:trPr/>
        <w:tc>
          <w:tcPr>
            <w:tcW w:w="49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996" w:type="dxa"/>
            <w:tcBorders/>
            <w:vAlign w:val="center"/>
          </w:tcPr>
          <w:p>
            <w:pPr>
              <w:pStyle w:val="TableContents"/>
              <w:bidi w:val="0"/>
              <w:spacing w:before="0" w:after="60"/>
              <w:ind w:left="0" w:right="0" w:hanging="0"/>
              <w:jc w:val="left"/>
              <w:rPr>
                <w:caps/>
              </w:rPr>
            </w:pPr>
            <w:r>
              <w:rPr>
                <w:caps/>
              </w:rPr>
              <w:t>​</w:t>
            </w:r>
          </w:p>
        </w:tc>
        <w:tc>
          <w:tcPr>
            <w:tcW w:w="571" w:type="dxa"/>
            <w:tcBorders/>
            <w:vAlign w:val="center"/>
          </w:tcPr>
          <w:p>
            <w:pPr>
              <w:pStyle w:val="TableContents"/>
              <w:bidi w:val="0"/>
              <w:spacing w:before="0" w:after="6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I OFFICES</w:t>
            </w:r>
          </w:p>
        </w:tc>
        <w:tc>
          <w:tcPr>
            <w:tcW w:w="57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 Registered Office</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 Other Offices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II CORPORATE SEAL</w:t>
            </w:r>
          </w:p>
        </w:tc>
        <w:tc>
          <w:tcPr>
            <w:tcW w:w="57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 Corporate Seal</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III STOCKHOLDERS’ MEETINGS</w:t>
            </w:r>
          </w:p>
        </w:tc>
        <w:tc>
          <w:tcPr>
            <w:tcW w:w="57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 Place of Meetings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 Annual Meetings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6. Special Meetings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7. Notice of Meetings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8. Quorum; Voting</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9. Adjournment And Notice Of Adjourned Meetings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10. Voting Rights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11. Joint Owners of Stock</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12. List of Stockholders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13. Action Without Meeting</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14. Organization</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IV DIRECTORS</w:t>
            </w:r>
          </w:p>
        </w:tc>
        <w:tc>
          <w:tcPr>
            <w:tcW w:w="57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9</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15. Number And Term Of Office</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16. Powers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17. Classes of Directors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18. Board of Directors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19. Vacancies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20. Resignation</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21. Removal</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22. Meetings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23. Quorum and Voting</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24. Action Without Meeting</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25. Fees and Compensation</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26. Committees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27. Duties of Chairperson of the Board of Directors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28. Lead Independent Director</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29. Organization</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V OFFICERS</w:t>
            </w:r>
          </w:p>
        </w:tc>
        <w:tc>
          <w:tcPr>
            <w:tcW w:w="57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12</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30. Officers Designated</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9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31. Tenure And Duties Of Officers</w:t>
            </w:r>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250940" cy="175260"/>
                      <wp:effectExtent l="0" t="0" r="0" b="0"/>
                      <wp:wrapNone/>
                      <wp:docPr id="280" name="Frame280"/>
                      <a:graphic xmlns:a="http://schemas.openxmlformats.org/drawingml/2006/main">
                        <a:graphicData uri="http://schemas.microsoft.com/office/word/2010/wordprocessingShape">
                          <wps:wsp>
                            <wps:cNvSpPr txBox="1"/>
                            <wps:spPr>
                              <a:xfrm>
                                <a:off x="0" y="0"/>
                                <a:ext cx="6250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29235" cy="175260"/>
                      <wp:effectExtent l="0" t="0" r="0" b="0"/>
                      <wp:wrapNone/>
                      <wp:docPr id="281" name="Frame28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32. Delegation Of Authority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33. Resignations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34. Removal</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VI EXECUTION OF CORPORATE INSTRUMENTS AND VOTING OF SECURITIES OWNED BY THE CORPORATION</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14</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35. Execution Of Corporate Instruments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36. Voting Of Securities Owned By The Corporation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VII SHARES OF STOCK</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14</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37. Form And Execution Of Certificates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38. Lost Certificates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39. Transfers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40. Fixing Record Dates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41. Registered Stockholders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42. Reserved</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VIII OTHER SECURITIES OF THE CORPORATION</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15</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43. Execution Of Other Securities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IX DIVIDENDS</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16</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44. Declaration Of Dividends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45. Dividend Reserve</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X FISCAL YEAR</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16</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46. Fiscal Year</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XI INDEMNIFICATION</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16</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47. Indemnification of Directors, Executive Officers, Other Officers, Employees and Other Agents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XII NOTICES</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18</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48. Notices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XIII AMENDMENTS</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19</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49. Amendments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b/>
                <w:caps/>
                <w:sz w:val="20"/>
              </w:rPr>
            </w:pPr>
            <w:r>
              <w:rPr>
                <w:rFonts w:ascii="Times New Roman;Times;serif" w:hAnsi="Times New Roman;Times;serif"/>
                <w:b/>
                <w:caps/>
                <w:sz w:val="20"/>
              </w:rPr>
              <w:t>Article XIV LOANS TO OFFICERS</w:t>
            </w:r>
          </w:p>
        </w:tc>
        <w:tc>
          <w:tcPr>
            <w:tcW w:w="361" w:type="dxa"/>
            <w:tcBorders/>
            <w:vAlign w:val="center"/>
          </w:tcPr>
          <w:p>
            <w:pPr>
              <w:pStyle w:val="TableContents"/>
              <w:bidi w:val="0"/>
              <w:spacing w:before="0" w:after="60"/>
              <w:ind w:left="0" w:right="0" w:hanging="0"/>
              <w:jc w:val="right"/>
              <w:rPr>
                <w:rFonts w:ascii="Times New Roman;Times;serif" w:hAnsi="Times New Roman;Times;serif"/>
                <w:b/>
                <w:caps/>
                <w:sz w:val="20"/>
              </w:rPr>
            </w:pPr>
            <w:r>
              <w:rPr>
                <w:rFonts w:ascii="Times New Roman;Times;serif" w:hAnsi="Times New Roman;Times;serif"/>
                <w:b/>
                <w:caps/>
                <w:sz w:val="20"/>
              </w:rPr>
              <w:t>19</w:t>
            </w:r>
          </w:p>
        </w:tc>
      </w:tr>
      <w:tr>
        <w:trPr/>
        <w:tc>
          <w:tcPr>
            <w:tcW w:w="9844"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Section 50. Loans To Officers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SECOND AMENDED AND RESTATED BYLAWS</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OF</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RIGETTI COMPUTING, INC.</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 DELAWARE CORPORATION)</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OFFICES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 Registered Office.</w:t>
      </w:r>
      <w:r>
        <w:rPr>
          <w:rFonts w:ascii="Times New Roman;Times;serif" w:hAnsi="Times New Roman;Times;serif"/>
          <w:sz w:val="20"/>
        </w:rPr>
        <w:t xml:space="preserve"> The registered office of Rigetti Computing, Inc. (the “corporation”) shall be located in such place as may be provided from time to time in the corporation’s certificate of incorporation (as amended and/or restated, the “Certificate of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 Other Offices.</w:t>
      </w:r>
      <w:r>
        <w:rPr>
          <w:rFonts w:ascii="Times New Roman;Times;serif" w:hAnsi="Times New Roman;Times;serif"/>
          <w:sz w:val="20"/>
        </w:rPr>
        <w:t xml:space="preserve"> The corporation may also have and maintain an office or principal place of business at such place as may be fixed by the corporation’s board of directors (the “Board of Directors”), and may also have offices at such other places, both within and without the State of Delaware, as the Board of Directors may from time to time determine or the business of the corporation may require.</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CORPORATE SEAL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 Corporate Seal.</w:t>
      </w:r>
      <w:r>
        <w:rPr>
          <w:rFonts w:ascii="Times New Roman;Times;serif" w:hAnsi="Times New Roman;Times;serif"/>
          <w:sz w:val="20"/>
        </w:rPr>
        <w:t xml:space="preserve"> The Board of Directors may adopt a corporate seal. If adopted, the corporate seal shall consist of a die bearing the name of the corporation and the inscription, “Corporate Seal-Delaware.” Said seal may be used by causing it or a facsimile thereof to be impressed or affixed or reproduced or otherwise.</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III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STOCKHOLDERS’ MEETINGS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 Place of Meetings.</w:t>
      </w:r>
      <w:r>
        <w:rPr>
          <w:rFonts w:ascii="Times New Roman;Times;serif" w:hAnsi="Times New Roman;Times;serif"/>
          <w:sz w:val="20"/>
        </w:rPr>
        <w:t xml:space="preserve"> Meetings of the stockholders of the corporation may be held at such place, either within or 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“DGCL”). For the avoidance of doubt, the Board of Directors may, in its sole discretion, determine that a meeting of stockholders of the corporation may be held both in a place and by means of remote communication. For any meeting of stockholders to be held by remote communication, the corporation shall (i) implement reasonable measures to verify that each person deemed present and permitted to vote at the meeting by remote communication is a stockholder or proxy holder, (ii)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5. Annual Meetings</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The annual meeting of the stockholders of the corporation, for the purpose of election of directors and for such other business as may properly come before it, shall be held on such date and at such time as may be designated from time to time by the Board of Directors and stated in the corporation’s notice of meeting of stockholders. The corporation may postpone, reschedule or cancel any annual meeting of stockholders previously scheduled by the Board of Directors. Nominations of persons for election to the Board of Directors and proposals of business to be considered by the stockholders may be made at an annual meeting of stockholders: (i) pursuant to the corporation’s notice of meeting of stockholders or supplement thereto; (ii) brought specifically by or at the direction of the Board of Directors or duly authorized committee thereof; or (iii) by any stockholder of the corporation who was a stockholder of record at the time of giving the stockholder’s notice provided for in Section 5(b) below, who is entitled to vote at the meeting and who complied with the notice procedures set forth in this Section 5. For the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At an annual meeting of the stockholders, only such business shall be conducted as is a proper matter for stockholder action under Delaware law and as shall have been properly brought before the meeting in accordance with Section 5(a) and the procedures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 </w:t>
      </w:r>
      <w:r>
        <w:rPr>
          <w:rFonts w:ascii="Times New Roman;Times;serif" w:hAnsi="Times New Roman;Times;serif"/>
          <w:sz w:val="20"/>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that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in the corporation’s proxy statement and to serving as a director if elected);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 The number of nominees a stockholder may nominate for election at the annual meeting on its own behalf (or in the case of one or more stockholders giving the notice on behalf of a beneficial owner, the number of nominees such stockholders may collectively nominate for election at the annual meeting on behalf of such beneficial owner) shall not exceed the number of directors to be elected at such annual meeting. The notice in this paragraph must also be accompanied by (X) a completed written questionnaire (in a form provided by the corporation upon request) with respect to the background, qualifications, stock ownership and independence of such proposed nominee, and such additional information with respect to such proposed nominee as would be required to be provided by the corporation pursuant to Schedule 14A if such proposed nominee were a participant in the solicitation of proxies by the corporation in connection with such annual or special meeting and (Y) a written representation and agreement (in form provided by the corporation) that such nominee (i) if elected as director of the corporation, intends to serve the entire term until the next meeting at which such nominee would face re-election and (ii) consents to being named as a nominee in the corporation’s proxy statement pursuant to Rule 14a-4(d) under the 1934 Act and any associated proxy card of the corporation and agrees to serve if elected as a director.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(ii) </w:t>
      </w:r>
      <w:r>
        <w:rPr>
          <w:rFonts w:ascii="Times New Roman;Times;serif" w:hAnsi="Times New Roman;Times;serif"/>
          <w:sz w:val="20"/>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(iii) </w:t>
      </w:r>
      <w:r>
        <w:rPr>
          <w:rFonts w:ascii="Times New Roman;Times;serif" w:hAnsi="Times New Roman;Times;serif"/>
          <w:sz w:val="20"/>
        </w:rPr>
        <w:t>To be timely, the written notice required by Section 5(b)(i) or 5(b)(ii) must be received by the Secretary at the principal executive offices of the corporation not later than the close of business on the ninetieth (90th) day nor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earlier than the one hundred twentieth (120th) day prior to the first anniversary of the preceding year’s annual meeting; </w:t>
      </w:r>
      <w:r>
        <w:rPr>
          <w:rFonts w:ascii="Times New Roman;Times;serif" w:hAnsi="Times New Roman;Times;serif"/>
          <w:i/>
          <w:sz w:val="20"/>
        </w:rPr>
        <w:t>provided, however,</w:t>
      </w:r>
      <w:r>
        <w:rPr>
          <w:rFonts w:ascii="Times New Roman;Times;serif" w:hAnsi="Times New Roman;Times;serif"/>
          <w:sz w:val="20"/>
        </w:rPr>
        <w:t xml:space="preserve"> that, subject to the last sentence of this Section 5(b)(iii), in the event that the date of the annual meeting is advanced more than thirty (30) days prior to or delayed by more than thirty (30) days after the anniversary of the preceding year’s annual meeting, notice by the stockholder to be timely must be so received (A) not earlier than the one hundred twentieth (120th) day prior to such annual meeting and (B) not later than the close of business on the later of the ninetieth (90th) day prior to such annual meeting or the tenth (10th) day following the day on which public announcement of the date of such meeting is first made by the corporation. In no event shall an adjournment or a postponement of an annual meeting for which notice has been given, or the public announcement thereof has been made, commence a new time period (or extend any time period) for the giving of a stockholder’s notice as described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(iv) </w:t>
      </w:r>
      <w:r>
        <w:rPr>
          <w:rFonts w:ascii="Times New Roman;Times;serif" w:hAnsi="Times New Roman;Times;serif"/>
          <w:sz w:val="20"/>
        </w:rPr>
        <w:t>The written notice required by Section 5(b)(i) or 5(b)(ii) shall also set forth, as of the date of the notice and as to the stockholder giving the notice and the beneficial owner, if any, on whose behalf the nomination or proposal is made (each, a “Proponent” and collectively, the “Proponents”): (A) the name and address of each Proponent that is an owner of record as they appear on the corporation’s books and the name and address of each Proponent that is a beneficial owner; (B) the class, series and number of shares of the corporation that are owned beneficially and of record by each Proponent, including any shares of any class or series of capital stock of the corporation as to which such Proponent or any of its affiliates or associates has a right to acquire beneficial ownership at any time in the future; (C) a description of any agreement, arrangement or understanding (whether oral or in writing) with respect to such nomination or proposal between or among any Proponent and any of its affiliates or associates, and any person including, in the case of a nomination, the nominee, including any agreements, arrangements or understandings relating to any compensation or payments to be paid to any such proposed nominee(s), pertaining to the nomination(s) or other business proposed to be brought before the meeting of stockholders (which description shall identify the name of each other person who is party to such an agreement, arrangement or understanding);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(x) to deliver, or make available, a proxy statement and form of proxy to holders of a sufficient number of holders of the corporation’s voting shares to elect such nominee or nominees (with respect to a notice under Section 5(b)(i)) or to carry such proposal (with respect to a notice under Section 5(b)(ii)), (y) otherwise to solicit proxies or votes from stockholders in support of such nominee or nominees or proposal and/or (z) to solicit proxies in support of any proposed nominee in accordance with Rule 14a-19 promulgated under the Exchange Act; (F) to the extent known by any Proponent, the name and address of any other stockholder providing financial support for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purposes of this Section 5, a “Derivative Transaction” means any agreement, arrangement, interest or understanding entered into by, or on behalf or for the benefit of, any Proponent or any of its affiliates or associates, whether record or beneficial: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 the value of which is derived in whole or in part from the value of any class or series of shares or other securities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(x) which otherwise provides any direct or indirect opportunity to gain or share in any gain derived from a change in the value of securities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 the effect or intent of which is to mitigate loss, manage risk or benefit of security value or price changes,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(z) which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A stockholder providing the written notice required by Section 5(b)(i) or (ii) shall update and supplement such notice in writing, if necessary, so that the information provided or required to be provided in such notice is true and correct in all material respects as of (i) the record date for the meeting and (ii) the date that is five (5) Business Days (as defined below) prior to the meeting and, in the event of any adjournment or postponement thereof, five (5)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sz w:val="20"/>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(e) </w:t>
      </w:r>
      <w:r>
        <w:rPr>
          <w:rFonts w:ascii="Times New Roman;Times;serif" w:hAnsi="Times New Roman;Times;serif"/>
          <w:sz w:val="20"/>
        </w:rPr>
        <w:t>A person shall not be eligible for election or re-election as a director, unless the person is nominated in accordance with either clause (ii) or (iii) of Section 5(a). Except as otherwise required by law, the chairperson of the meeting (and, in advance of any meeting of stockholders, the Board of Directors)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nominations or such business may have been solicited or received. Notwithstanding the foregoing provisions of this Section 5, unless otherwise required by law, if the stockholder (or a qualified representative of the stockholder) does not appear at the annual or special meeting of stockholders of the corporation to present a nomination or proposed business advanced by such stockholder, such nomination shall be disregarded and such proposed business shall not be transacted, notwithstanding that such proposal is set forth in the notice of meeting and notwithstanding that proxies in respect of such vote may have been received by the corporation. For purposes of this Section 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Notwithstanding anything to the contrary in this Section 5, unless otherwise required by law, if any Proponent or any of its affiliates or associates (i) provides notice pursuant to Rule 14a-19(b) promulgated under the Exchange Act with respect to any proposed nominee and (ii) subsequently fails to comply with the requirements of Rule 14a-19 promulgated under the Exchange Act (or fails to timely provide reasonable evidence sufficient to satisfy the corporation that such stockholder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supplement thereto) and that notwithstanding proxies or votes in respect of the election of such proposed nominees may have been received by the corporation (which proxies and votes shall be disregarded). Upon request by the corporation, if any Proponent or any of its affiliates or associates provides notice pursuant to Rule 14a-19(b) promulgated under the Exchange Act, such Proponent shall deliver to the corporation, no later than five (5) business days prior to the applicable meeting, reasonable evidence that it or its affiliate or associate has met the requirements of Rule 14a-19(a)(3) promulgated under the Exchange Act. Notwithstanding anything to the contrary set forth herein, and for the avoidance of doubt, the nomination of any person whose name is included as a nominee in the corporation’s proxy statement, notice of meeting or other proxy materials for any annual meeting (or any supplement thereto) as a result of any notice provided by any Proponent and any of its affiliates of associates pursuant to Rule 14a-19(b) promulgated under the Exchange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Proponent pursuant to clause (iii) of Section 5(a) (and, in the case of a special meeting of stockholders pursuant to and to the extent permitted under Section 6(c)).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(f) </w:t>
      </w:r>
      <w:r>
        <w:rPr>
          <w:rFonts w:ascii="Times New Roman;Times;serif" w:hAnsi="Times New Roman;Times;serif"/>
          <w:sz w:val="20"/>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Times;serif" w:hAnsi="Times New Roman;Times;serif"/>
          <w:i/>
          <w:sz w:val="20"/>
        </w:rPr>
        <w:t xml:space="preserve">provided, however, </w:t>
      </w:r>
      <w:r>
        <w:rPr>
          <w:rFonts w:ascii="Times New Roman;Times;serif" w:hAnsi="Times New Roman;Times;serif"/>
          <w:sz w:val="20"/>
        </w:rPr>
        <w:t>that any references in these Bylaws to the 1934 Act or the rules and regulations thereunder are not intended to and shall not limit the requirements applicable to proposals and/or nominations to be considered pursuant to Section 5(a)(iii).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(g) </w:t>
      </w:r>
      <w:r>
        <w:rPr>
          <w:rFonts w:ascii="Times New Roman;Times;serif" w:hAnsi="Times New Roman;Times;serif"/>
          <w:sz w:val="20"/>
        </w:rPr>
        <w:t>For purposes of this Section 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 </w:t>
      </w:r>
      <w:r>
        <w:rPr>
          <w:rFonts w:ascii="Times New Roman;Times;serif" w:hAnsi="Times New Roman;Times;serif"/>
          <w:sz w:val="20"/>
        </w:rPr>
        <w:t>“affiliates” and “associates” shall have the meanings set forth in Rule 405 under the Securities Act of 1933, as amended (the “1933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(ii) </w:t>
      </w:r>
      <w:r>
        <w:rPr>
          <w:rFonts w:ascii="Times New Roman;Times;serif" w:hAnsi="Times New Roman;Times;serif"/>
          <w:sz w:val="20"/>
        </w:rPr>
        <w:t>“Business Day” means any day other than Saturday, Sunday or a day on which banks are closed in New York City, New York;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(iii) </w:t>
      </w:r>
      <w:r>
        <w:rPr>
          <w:rFonts w:ascii="Times New Roman;Times;serif" w:hAnsi="Times New Roman;Times;serif"/>
          <w:sz w:val="20"/>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6. Special Meetings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The corporation may postpone, reschedule or cancel any special meeting of stockholders previously scheduled by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5(b)(i). In the event the corporation calls a special meeting of stockholders for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shall be received by the Secretary at the principal executive offices of the corporation not later than the close of business on the later of the ninetieth (90th) day prior to such meeting or the tenth (10th) day following the day on which the corporation first makes a public announcement of the date of the special meeting at which directors are to be elected.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sz w:val="20"/>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Times;serif" w:hAnsi="Times New Roman;Times;serif"/>
          <w:i/>
          <w:sz w:val="20"/>
        </w:rPr>
        <w:t xml:space="preserve">provided, however, </w:t>
      </w:r>
      <w:r>
        <w:rPr>
          <w:rFonts w:ascii="Times New Roman;Times;serif" w:hAnsi="Times New Roman;Times;serif"/>
          <w:sz w:val="20"/>
        </w:rPr>
        <w:t>that any references in these Bylaws to the 1934 Act or the rules and regulations thereunder are not intended to and shall not limit the requirements applicable to nominations for the election to the Board of Directors to be considered pursuant to Section 6(c).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7. Notice of Meetings.</w:t>
      </w:r>
      <w:r>
        <w:rPr>
          <w:rFonts w:ascii="Times New Roman;Times;serif" w:hAnsi="Times New Roman;Times;serif"/>
          <w:sz w:val="20"/>
        </w:rPr>
        <w:t xml:space="preserve"> Except as otherwise provided by law, notice, given in writing or by electronic transmission, of each meeting of stockholders shall be given not less than ten (10) nor more than sixty (60) days before the date of the meeting to each stockholder entitled to vote at such meeting, such notice to specify the place, if any, date and hour, the record date for determining the stockholders entitled notice of the meeting, the means of remote communications, if any, by which stockholders and proxy holders may be deemed to be present in person and vote at any such meeting and, in the case of special meetings, the purpose or purposes of the meeting. If mailed, notice is given when deposited in the United States mail, postage prepaid, directed to the stockholder at such stockholder’s address as it appears on the records of the corporation. If delivered by courier service, notice is given at the earlier of when the notice is received or left at such stockholder’s address as it appears on the records of the corporation. If sent via electronic mail, notice is given when directed to such stockholder’s electronic mail address as it appears on the records of the corporation unless the stockholder has notified the corporation in writing or by electronic transmission of an objection to receiving notice by electronic mail or such notice is prohibited by Section 232(e) of the DGCL. Notice by other forms of electronic transmission shall be deemed delivered in accordance with Section 232 of the DGCL. Notice of the time, place, if any, and purpose of any meeting of stockholders may be waived in writing, signed by the person entitled to notice thereof, or by electronic transmission by such person, either before or after such meeting, and will be waived by any stockholder by such stockholder’s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8. Quorum; Voting.</w:t>
      </w:r>
      <w:r>
        <w:rPr>
          <w:rFonts w:ascii="Times New Roman;Times;serif" w:hAnsi="Times New Roman;Times;serif"/>
          <w:sz w:val="20"/>
        </w:rPr>
        <w:t xml:space="preserve"> At all meetings of stockholders, except where otherwise provided by statute or by the Certificate of Incorporation, or by these Bylaws, the presence, in person, by remote communication, if applicable, or by proxy duly authorized, of the holders of one-third (33-1/3%)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at the meeting, but no other business shall be transacted at such meeting until a quorum shall be present. The stockholders present at a duly called or convened meeting, at which a quorum is present, may continue to transact business until adjournment, notwithstanding the withdrawal of enough stockholders to leave less than a quorum. Except where a different or minimum vote is required by statute or by applicable stock exchange rules, or by the Certificate of Incorporation or these Bylaws or any law or regulation applicable to the corporation or its securities, in which case such different or minimum vote shall be the applicable vote, in all matters other than the election of directors, the affirmative vote of the majority of the voting power of the shares present in person or represented by proxy at the meeting and entitled to vote on the subject matter shall be the act of the stockholders. Except as otherwise provided by statute, the Certificate of Incorporation or these Bylaws, directors shall be elected by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plurality of the votes of the shares present in person or represented by proxy at the meeting and entitled to vote generally on the election of directors. Where a separate vote by a class or classes or series is required, except where otherwise provided by the statute or by the Certificate of Incorporation or these Bylaws, one-third (33-1/3%) of the voting power of the outstanding shares of such class or classes or series entitled to vote at the meeting,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the voting power of the outstanding shares of such class or classes or series present in person or represented by proxy at the meeting shall be the act of such class or classes or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9. Adjournment And Notice Of Adjourned Meetings.</w:t>
      </w:r>
      <w:r>
        <w:rPr>
          <w:rFonts w:ascii="Times New Roman;Times;serif" w:hAnsi="Times New Roman;Times;serif"/>
          <w:sz w:val="20"/>
        </w:rPr>
        <w:t xml:space="preserve"> Any meeting of stockholders, whether annual or special, may be adjourned from time to time, whether or not a quorum is present, either by the person(s) who called the meeting, the chairperson of the meeting, or by the vote of a majority of the voting power of the shares present in person or represented by proxy at the meeting and entitled to vote thereon. When a meeting is adjourned to another time or place, if any, notice need not be given of the adjourned meeting if the time and place, if any, and means of remote communications, if any, by which stockholders and proxy holders may be deemed to be present in person and vote at such adjourned meeting are announced at the meeting at which the adjournment is taken or are provided in any other manner permitted by the DGCL. At the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10. Voting Rights.</w:t>
      </w:r>
      <w:r>
        <w:rPr>
          <w:rFonts w:ascii="Times New Roman;Times;serif" w:hAnsi="Times New Roman;Times;serif"/>
          <w:sz w:val="20"/>
        </w:rPr>
        <w:t xml:space="preserve"> For the purpose of determining those stockholders entitled to vote at any meeting of the stockholders, except as otherwise provided by law, only persons in whose names shares stand on the stock records of the corporation on the record date, as provided in Section 12, shall be entitled to vote at any meeting of stockholders. Every person entitled to vote shall have the right to do so either in person or by an agent or agents authorized by a proxy granted in accordance with Delaware law. An agent so appointed need not be a stockholder. No proxy shall be voted after three (3)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11. Joint Owners of Stock.</w:t>
      </w:r>
      <w:r>
        <w:rPr>
          <w:rFonts w:ascii="Times New Roman;Times;serif" w:hAnsi="Times New Roman;Times;serif"/>
          <w:sz w:val="20"/>
        </w:rPr>
        <w:t xml:space="preserve">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and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pStyle w:val="TextBody"/>
        <w:bidi w:val="0"/>
        <w:spacing w:before="0" w:after="240"/>
        <w:ind w:left="0" w:right="0" w:hanging="0"/>
        <w:jc w:val="left"/>
        <w:rPr>
          <w:rFonts w:ascii="Times New Roman;Times;serif" w:hAnsi="Times New Roman;Times;serif"/>
          <w:sz w:val="14"/>
        </w:rPr>
      </w:pPr>
      <w:r>
        <w:rPr>
          <w:rFonts w:ascii="Times New Roman;Times;serif" w:hAnsi="Times New Roman;Times;serif"/>
          <w:b/>
          <w:sz w:val="20"/>
        </w:rPr>
        <w:t>Section 12. List of Stockholders.</w:t>
      </w:r>
      <w:r>
        <w:rPr>
          <w:rFonts w:ascii="Times New Roman;Times;serif" w:hAnsi="Times New Roman;Times;serif"/>
          <w:sz w:val="14"/>
        </w:rPr>
        <w:t xml:space="preserve"> </w:t>
      </w:r>
      <w:r>
        <w:rPr>
          <w:rFonts w:ascii="Times New Roman;Times;serif" w:hAnsi="Times New Roman;Times;serif"/>
          <w:sz w:val="20"/>
        </w:rPr>
        <w:t>The corporation shall prepare, no later than the tenth (10</w:t>
      </w:r>
      <w:r>
        <w:rPr>
          <w:rFonts w:ascii="Times New Roman;Times;serif" w:hAnsi="Times New Roman;Times;serif"/>
          <w:sz w:val="15"/>
        </w:rPr>
        <w:t>th</w:t>
      </w:r>
      <w:r>
        <w:rPr>
          <w:rFonts w:ascii="Times New Roman;Times;serif" w:hAnsi="Times New Roman;Times;serif"/>
          <w:sz w:val="20"/>
        </w:rPr>
        <w:t>) day before every meeting of 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for a period ten (10) days ending on the day before the meeting date, (a) on a reasonably accessible electronic network, provided that the information required to gain access to such list is provided with the notice of the meeting, or (b) during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12 or to vote in person or by proxy at any meeting of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13. Action Without Meeting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provided in the Certificate of Incorporation, no action shall be taken by the stockholders except at an annual or special meeting of stockholders called in accordance with these Bylaws, and no action shall be taken by the stockholders by written consent or by electronic transmission.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14. Organization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At every meeting of stockholders, the Chairperson of the Board of Directors, or, if a Chairperson has not been appointed or is absent or refuses to act, the Chief Executive Officer, or, if no Chief Executive Officer is then serving, is absent or refuses to act, the President, or, if the President is absent or refuses to act, a chairperson of the meeting chosen by a majority in interest of the stockholders entitled to vote, present in person or by proxy, shall act as chairperson. The Secretary, or, in his or her absence, an Assistant Secretary directed to do so by the President, shall act as secretary of the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with consultation by the Lead Independent Director (as defined below),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sz w:val="20"/>
        </w:rPr>
        <w:t>The corporation shall, in advance of any meeting of stockholders, appoint one (1) or more inspectors to act at the meeting and make a written report thereof. The corporation may designate one (1) or more persons as alternate inspectors to replace any inspector who fails to act. If no inspector or alternate is able to act at a meeting of stockholders, the chairperson of the meeting shall appoint one (1)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 (3) count all votes and ballots; (4) determine and retain for a reasonable period a record of the disposition of any challenges made to any determination by the inspectors; and (5)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record. If the inspectors consider other reliable information for the limited purpose permitted herein, the inspectors at the time 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IV</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15. Number And Term Of Office.</w:t>
      </w:r>
      <w:r>
        <w:rPr>
          <w:rFonts w:ascii="Times New Roman;Times;serif" w:hAnsi="Times New Roman;Times;serif"/>
          <w:sz w:val="20"/>
        </w:rPr>
        <w:t xml:space="preserve"> The authorized number of directors of the corporation shall be fixed in accordance with the Certificate of Incorporation. Directors need not be stockholders unless so required by the Certificate of Incorporation.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16. Powers.</w:t>
      </w:r>
      <w:r>
        <w:rPr>
          <w:rFonts w:ascii="Times New Roman;Times;serif" w:hAnsi="Times New Roman;Times;serif"/>
          <w:sz w:val="20"/>
        </w:rPr>
        <w:t xml:space="preserve"> The business and affairs of the corporation shall be managed by or under the direction of the Board of Directors, except as may be otherwise provided by statute or by the Certificate of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17. Classes of Directors.</w:t>
      </w:r>
      <w:r>
        <w:rPr>
          <w:rFonts w:ascii="Times New Roman;Times;serif" w:hAnsi="Times New Roman;Times;serif"/>
          <w:sz w:val="20"/>
        </w:rPr>
        <w:t xml:space="preserve"> The directors shall be divided into classes as and to the extent provided in the Certificate of Incorporation, except as otherwise required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18. Board of Directors.</w:t>
      </w:r>
      <w:r>
        <w:rPr>
          <w:rFonts w:ascii="Times New Roman;Times;serif" w:hAnsi="Times New Roman;Times;serif"/>
          <w:sz w:val="20"/>
        </w:rPr>
        <w:t xml:space="preserve"> 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Section 19. Vacancies. </w:t>
      </w:r>
      <w:r>
        <w:rPr>
          <w:rFonts w:ascii="Times New Roman;Times;serif" w:hAnsi="Times New Roman;Times;serif"/>
          <w:sz w:val="20"/>
        </w:rPr>
        <w:t>Unless otherwise provided in the Certificate of Incorporation, and subject to any limitation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20. Resignation.</w:t>
      </w:r>
      <w:r>
        <w:rPr>
          <w:rFonts w:ascii="Times New Roman;Times;serif" w:hAnsi="Times New Roman;Times;serif"/>
          <w:sz w:val="20"/>
        </w:rPr>
        <w:t xml:space="preserve"> Any director may resign at any time by delivering his or her notice in writing or by electronic transmission to the Secretary, such resignation to specify whether it will be effective at a particular time. If no such specification is made, the resignation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21. Removal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Subject to the rights of holders of any series of Preferred Stock to elect additional directors under specified circumstances neither the Board of Directors nor any individual director may be removed without cause.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Subject to any limitation imposed by applicable law, any individual director or directors may be removed with cause by the affirmative vote of the holders of at least sixty-six and two-thirds percent (66 2/3%) of the voting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power of all then-outstanding shares of capital stock of the Company entitled to vote generally at an election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22. Meetings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(a) Regular Meetings.</w:t>
      </w:r>
      <w:r>
        <w:rPr>
          <w:rFonts w:ascii="Times New Roman;Times;serif" w:hAnsi="Times New Roman;Times;serif"/>
          <w:sz w:val="20"/>
        </w:rPr>
        <w:t xml:space="preserve"> Unless otherwise restricted by the Certificate of Incorporation, 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Special Meetings. </w:t>
      </w:r>
      <w:r>
        <w:rPr>
          <w:rFonts w:ascii="Times New Roman;Times;serif" w:hAnsi="Times New Roman;Times;serif"/>
          <w:sz w:val="20"/>
        </w:rPr>
        <w:t>Unless otherwise restricted by the Certificate of Incorporation, special meetings of the Board of Directors may be held at any time and place within or without the State of Delaware whenever called by the Chairperson of the Board, the Chief Executive Officer or a majority of the authorized number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 Meetings by Electronic Communications Equipment. </w:t>
      </w:r>
      <w:r>
        <w:rPr>
          <w:rFonts w:ascii="Times New Roman;Times;serif" w:hAnsi="Times New Roman;Times;serif"/>
          <w:sz w:val="20"/>
        </w:rPr>
        <w:t>Any member of the Board of Directors, or of any 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 Notice of Special Meetings. </w:t>
      </w:r>
      <w:r>
        <w:rPr>
          <w:rFonts w:ascii="Times New Roman;Times;serif" w:hAnsi="Times New Roman;Times;serif"/>
          <w:sz w:val="20"/>
        </w:rPr>
        <w:t>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at least twelve (12) hours if notice is delivered by electronic transmission or six (6) hours if notice is delivered in person or by telephone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(e) Waiver of Notice. </w:t>
      </w:r>
      <w:r>
        <w:rPr>
          <w:rFonts w:ascii="Times New Roman;Times;serif" w:hAnsi="Times New Roman;Times;serif"/>
          <w:sz w:val="20"/>
        </w:rPr>
        <w:t>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during or after the meeting, each of the directors who did not receive notice have waived notice in accordance herewith. All such waivers shall be recorded with the corporate records or made a part of the minutes of the meeting. Notice of any meeting will be waived by any director by attendance thereat, except when the director attends the meeting for the express purpose of objecting, at the beginning of the meeting, to the transaction of any business because the meeting is not lawfully called or convened.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23. Quorum and Voting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 xml:space="preserve">Unless the Certificate of Incorporation requires otherwise, a quorum of the Board of Directors shall consist of a majority of the exact number of directors fixed from time to time by the Board of Directors in accordance with the Certificate of Incorporation; </w:t>
      </w:r>
      <w:r>
        <w:rPr>
          <w:rFonts w:ascii="Times New Roman;Times;serif" w:hAnsi="Times New Roman;Times;serif"/>
          <w:i/>
          <w:sz w:val="20"/>
        </w:rPr>
        <w:t>provided, however,</w:t>
      </w:r>
      <w:r>
        <w:rPr>
          <w:rFonts w:ascii="Times New Roman;Times;serif" w:hAnsi="Times New Roman;Times;serif"/>
          <w:sz w:val="20"/>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24. Action Without Meeting.</w:t>
      </w:r>
      <w:r>
        <w:rPr>
          <w:rFonts w:ascii="Times New Roman;Times;serif" w:hAnsi="Times New Roman;Times;serif"/>
          <w:sz w:val="20"/>
        </w:rPr>
        <w:t xml:space="preserve"> Unless otherwise restricted by the Certificate of Incorporation or these Bylaws, any action required or permitted to be taken at any meeting of the Board of Directors or of any committee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thereof may be taken without a meeting, if all members of the Board of Directors or committee, as the case may be, consent thereto in writing or by electronic transmission. After an action is taken, the consent or consents relating thereto shall be filed with the minutes of proceedings of the Board of Directors or committee. Such filing shall be in paper form if the minutes are maintained in paper form and shall be in electronic form if the minutes are maintained in electronic form.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25. Fees and Compensation.</w:t>
      </w:r>
      <w:r>
        <w:rPr>
          <w:rFonts w:ascii="Times New Roman;Times;serif" w:hAnsi="Times New Roman;Times;serif"/>
          <w:sz w:val="20"/>
        </w:rPr>
        <w:t xml:space="preserve">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26. Committees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(a) Executive Committee.</w:t>
      </w:r>
      <w:r>
        <w:rPr>
          <w:rFonts w:ascii="Times New Roman;Times;serif" w:hAnsi="Times New Roman;Times;serif"/>
          <w:sz w:val="20"/>
        </w:rPr>
        <w:t xml:space="preserve">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(b) Other Committees.</w:t>
      </w:r>
      <w:r>
        <w:rPr>
          <w:rFonts w:ascii="Times New Roman;Times;serif" w:hAnsi="Times New Roman;Times;serif"/>
          <w:sz w:val="20"/>
        </w:rPr>
        <w:t xml:space="preserve"> The Board of Directors may,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(c) Term.</w:t>
      </w:r>
      <w:r>
        <w:rPr>
          <w:rFonts w:ascii="Times New Roman;Times;serif" w:hAnsi="Times New Roman;Times;serif"/>
          <w:sz w:val="20"/>
        </w:rPr>
        <w:t xml:space="preserve"> The Board of Directors, subject to any requirements of any outstanding series of Preferred Stock and the provisions of subsections (a) or (b) of this Section 26, may at any time increase or decrease the number of members of a committee or terminate the existence of a committee. The membership of a committee member shall terminate on the date of his or her death or resignation or removal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(d) Meetings.</w:t>
      </w:r>
      <w:r>
        <w:rPr>
          <w:rFonts w:ascii="Times New Roman;Times;serif" w:hAnsi="Times New Roman;Times;serif"/>
          <w:sz w:val="20"/>
        </w:rPr>
        <w:t xml:space="preserve"> Unless the Board of Directors shall otherwise provide, regular meetings of the Executive Committee or any other committee appointed pursuant to this Section 26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resolutions authorizing the creation of the committee, a majority of the directors then serving on the committee shall constitute a quorum for the transaction of business, and the act of a majority of those present at any meeting at which a quorum is present shall be the act of such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27. Duties of Chairperson of the Board of Directors</w:t>
      </w:r>
      <w:r>
        <w:rPr>
          <w:rFonts w:ascii="Times New Roman;Times;serif" w:hAnsi="Times New Roman;Times;serif"/>
          <w:sz w:val="20"/>
        </w:rPr>
        <w:t>. The Chairperson of the Board of Directors, if appointed and when present, shall 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28. Lead Independent Director.</w:t>
      </w:r>
      <w:r>
        <w:rPr>
          <w:rFonts w:ascii="Times New Roman;Times;serif" w:hAnsi="Times New Roman;Times;serif"/>
          <w:sz w:val="20"/>
        </w:rPr>
        <w:t xml:space="preserve"> The Chairperson of the Board of Directors, or if the Chairperson is not an independent director, one of the independent directors, may be designated by the Board of Directors as lead independent director to serve until replaced by the Board of Directors (“Lead Independent Director”). The Lead Independent Director will: (a) serve as chairperson of meetings of the Board of Directors in the absence of the Chairperson of the Board of Directors; (b) establish the agenda for meetings of the independent directors; (c) coordinate with the committee chairs regarding meeting agendas and informational requirements; (d) preside over meetings of the independent directors; (e) preside over any portions of meetings of the Board of Directors at which the evaluation or compensation of the Chief Executive Officer is presented or discussed; (f) preside over any portions of meetings of the Board of Directors at which the performance of the Board of Directors is presented or discussed; and (g) coordinate the activities of the other independent directors and perform such other duties as may be established or delegated by the Chairperson of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29. Organization.</w:t>
      </w:r>
      <w:r>
        <w:rPr>
          <w:rFonts w:ascii="Times New Roman;Times;serif" w:hAnsi="Times New Roman;Times;serif"/>
          <w:sz w:val="20"/>
        </w:rPr>
        <w:t xml:space="preserve"> At every meeting of the directors, the Chairperson of the Board of Directors, or, if a Chairperson has not been 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or director or other person directed to do so by the Chairperson of the Board, the Lead Independent Director or the President, shall act as secretary of the meeting.</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V</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30. Officers Designated.</w:t>
      </w:r>
      <w:r>
        <w:rPr>
          <w:rFonts w:ascii="Times New Roman;Times;serif" w:hAnsi="Times New Roman;Times;serif"/>
          <w:sz w:val="20"/>
        </w:rPr>
        <w:t xml:space="preserve"> The officers of the corporation shall include, if and when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31. Tenure And Duties Of Officers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(a) General.</w:t>
      </w:r>
      <w:r>
        <w:rPr>
          <w:rFonts w:ascii="Times New Roman;Times;serif" w:hAnsi="Times New Roman;Times;serif"/>
          <w:sz w:val="20"/>
        </w:rPr>
        <w:t xml:space="preserve">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(b) Duties of Chief Executive Officer.</w:t>
      </w:r>
      <w:r>
        <w:rPr>
          <w:rFonts w:ascii="Times New Roman;Times;serif" w:hAnsi="Times New Roman;Times;serif"/>
          <w:sz w:val="20"/>
        </w:rPr>
        <w:t xml:space="preserve"> The Chief Executive Officer shall preside at all meetings of the stockholders (subject to Section 14) and at all meetings of the Board of Directors, unless the Chairperson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(c) Duties of President.</w:t>
      </w:r>
      <w:r>
        <w:rPr>
          <w:rFonts w:ascii="Times New Roman;Times;serif" w:hAnsi="Times New Roman;Times;serif"/>
          <w:sz w:val="20"/>
        </w:rPr>
        <w:t xml:space="preserve"> The President shall preside at all meetings of the stockholders (subject to Section 14) and at all meeting of the Board of Directors</w:t>
      </w:r>
      <w:r>
        <w:rPr>
          <w:rFonts w:ascii="Times New Roman;Times;serif" w:hAnsi="Times New Roman;Times;serif"/>
          <w:b/>
          <w:sz w:val="20"/>
        </w:rPr>
        <w:t xml:space="preserve">, </w:t>
      </w:r>
      <w:r>
        <w:rPr>
          <w:rFonts w:ascii="Times New Roman;Times;serif" w:hAnsi="Times New Roman;Times;serif"/>
          <w:sz w:val="20"/>
        </w:rPr>
        <w:t>unless the Chairperson of the Board of Directors, the Lead Independent Director,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(d) Duties of Vice Presidents.</w:t>
      </w:r>
      <w:r>
        <w:rPr>
          <w:rFonts w:ascii="Times New Roman;Times;serif" w:hAnsi="Times New Roman;Times;serif"/>
          <w:sz w:val="20"/>
        </w:rPr>
        <w:t xml:space="preserve"> 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(e) Duties of Secretary.</w:t>
      </w:r>
      <w:r>
        <w:rPr>
          <w:rFonts w:ascii="Times New Roman;Times;serif" w:hAnsi="Times New Roman;Times;serif"/>
          <w:sz w:val="20"/>
        </w:rPr>
        <w:t xml:space="preserve">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(f) Duties of Chief Financial Officer.</w:t>
      </w:r>
      <w:r>
        <w:rPr>
          <w:rFonts w:ascii="Times New Roman;Times;serif" w:hAnsi="Times New Roman;Times;serif"/>
          <w:sz w:val="20"/>
        </w:rPr>
        <w:t xml:space="preserve"> 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(g) Duties of Treasurer.</w:t>
      </w:r>
      <w:r>
        <w:rPr>
          <w:rFonts w:ascii="Times New Roman;Times;serif" w:hAnsi="Times New Roman;Times;serif"/>
          <w:sz w:val="20"/>
        </w:rPr>
        <w:t xml:space="preserve"> Unless another officer has been appointed Chief Financial Officer of the corporation, 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32. Delegation Of Authority.</w:t>
      </w:r>
      <w:r>
        <w:rPr>
          <w:rFonts w:ascii="Times New Roman;Times;serif" w:hAnsi="Times New Roman;Times;serif"/>
          <w:sz w:val="20"/>
        </w:rPr>
        <w:t xml:space="preserve"> The Board of Directors may from time to time delegate the powers or duties of any officer to any other officer or agent, notwithstanding any provision 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33. Resignations.</w:t>
      </w:r>
      <w:r>
        <w:rPr>
          <w:rFonts w:ascii="Times New Roman;Times;serif" w:hAnsi="Times New Roman;Times;serif"/>
          <w:sz w:val="20"/>
        </w:rPr>
        <w:t xml:space="preserve"> Any officer may resign at any time by giving notice in writing or by electronic transmission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34. Removal.</w:t>
      </w:r>
      <w:r>
        <w:rPr>
          <w:rFonts w:ascii="Times New Roman;Times;serif" w:hAnsi="Times New Roman;Times;serif"/>
          <w:sz w:val="20"/>
        </w:rPr>
        <w:t xml:space="preserve"> Any officer may be removed from office at any time, either with or without cause, by resolution adopted by the Board of Directors or any committee or by action of the Chief Executive Officer or other superior officer upon whom such power of removal may have been conferred by the Board of Directors.</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VI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EXECUTION OF CORPORATE INSTRUMENTS AND VOTING OF SECURITIES OWNED BY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35. Execution Of Corporate Instruments.</w:t>
      </w:r>
      <w:r>
        <w:rPr>
          <w:rFonts w:ascii="Times New Roman;Times;serif" w:hAnsi="Times New Roman;Times;serif"/>
          <w:sz w:val="20"/>
        </w:rPr>
        <w:t xml:space="preserve">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checks and drafts drawn on banks or other depositaries on funds to the credit of the corporation or in special accounts of the corporation shall be signed by such person or persons as the Board of Directors shall authorize so to do.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(i) authorized or ratified by the Board of Directors or (ii) within the agency power of an officer or any designee of any such officer (each, an “Authorized Employee”), no officer, agent or employee other than an Authorized Employee shall have any power or authority to bind the corporation by any contract or engagement or to pledge its credit or to render it liable for any purpose or for any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36. Voting Of Securities Owned By The Corporation.</w:t>
      </w:r>
      <w:r>
        <w:rPr>
          <w:rFonts w:ascii="Times New Roman;Times;serif" w:hAnsi="Times New Roman;Times;serif"/>
          <w:sz w:val="20"/>
        </w:rPr>
        <w:t xml:space="preserve"> All stock and other securities of other corporations or entities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VII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SHARES OF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37. Form And Execution Of Certificates.</w:t>
      </w:r>
      <w:r>
        <w:rPr>
          <w:rFonts w:ascii="Times New Roman;Times;serif" w:hAnsi="Times New Roman;Times;serif"/>
          <w:sz w:val="20"/>
        </w:rPr>
        <w:t xml:space="preserve"> The shares of the corporation shall be represented by certificates, or shall be uncertificated as determined by the Board of Directors. Certificates for the shares of stock, if any, of the corporation shall be in such form as is consistent with the Certificate of Incorporation and applicable law. Every holder of stock represented by certificate in the corporation shall be entitled to have a certificate signed by or in the name of the corporation by any two authorized officers of the corporation which shall include, without limitation, the Chairperson of the Board of Directors, the President, any Vice President, the Treasurer, any Assistant Treasurer, the Secretary and any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such person were such officer, transfer agent, or registrar at the date of issue.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38. Lost Certificates.</w:t>
      </w:r>
      <w:r>
        <w:rPr>
          <w:rFonts w:ascii="Times New Roman;Times;serif" w:hAnsi="Times New Roman;Times;serif"/>
          <w:sz w:val="20"/>
        </w:rPr>
        <w:t xml:space="preserve">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39. Transfers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40. Fixing Record Dates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sz w:val="20"/>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i/>
          <w:sz w:val="20"/>
        </w:rPr>
        <w:t>provided, however,</w:t>
      </w:r>
      <w:r>
        <w:rPr>
          <w:rFonts w:ascii="Times New Roman;Times;serif" w:hAnsi="Times New Roman;Times;serif"/>
          <w:sz w:val="20"/>
        </w:rPr>
        <w:t xml:space="preserve"> that the Board of Directors may fix a new record date for the adjourned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sz w:val="20"/>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41. Registered Stockholders.</w:t>
      </w:r>
      <w:r>
        <w:rPr>
          <w:rFonts w:ascii="Times New Roman;Times;serif" w:hAnsi="Times New Roman;Times;serif"/>
          <w:sz w:val="20"/>
        </w:rPr>
        <w:t xml:space="preserve">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42. Reserved</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VIII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OTHER SECURITIES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43. Execution Of Other Securities.</w:t>
      </w:r>
      <w:r>
        <w:rPr>
          <w:rFonts w:ascii="Times New Roman;Times;serif" w:hAnsi="Times New Roman;Times;serif"/>
          <w:sz w:val="20"/>
        </w:rPr>
        <w:t xml:space="preserve"> All bonds, debentures and other corporate securities of the corporation, other than stock certificates (covered in Section 37), may be signed by the Chairperson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Times;serif" w:hAnsi="Times New Roman;Times;serif"/>
          <w:i/>
          <w:sz w:val="20"/>
        </w:rPr>
        <w:t>provided, however,</w:t>
      </w:r>
      <w:r>
        <w:rPr>
          <w:rFonts w:ascii="Times New Roman;Times;serif" w:hAnsi="Times New Roman;Times;serif"/>
          <w:sz w:val="20"/>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IX</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44. Declaration Of Dividends.</w:t>
      </w:r>
      <w:r>
        <w:rPr>
          <w:rFonts w:ascii="Times New Roman;Times;serif" w:hAnsi="Times New Roman;Times;serif"/>
          <w:sz w:val="20"/>
        </w:rPr>
        <w:t xml:space="preserve"> Dividends upon the capital stock of the corporation, subject to the provisions of the Certificate of Incorporation and applicable law, if any, may be declared by the Board of Directors pursuant to law at any regular or special meeting. Dividends may be paid in cash, in property, or in shares of the corporation’s capital stock, subject to the provisions of the Certificate of Incorporation and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45. Dividend Reserve.</w:t>
      </w:r>
      <w:r>
        <w:rPr>
          <w:rFonts w:ascii="Times New Roman;Times;serif" w:hAnsi="Times New Roman;Times;serif"/>
          <w:sz w:val="20"/>
        </w:rPr>
        <w:t xml:space="preserve"> Before payment of any dividend, there may be set aside out of any funds of the corporation available for dividends 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X</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FISCAL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46. Fiscal Year.</w:t>
      </w:r>
      <w:r>
        <w:rPr>
          <w:rFonts w:ascii="Times New Roman;Times;serif" w:hAnsi="Times New Roman;Times;serif"/>
          <w:sz w:val="20"/>
        </w:rPr>
        <w:t xml:space="preserve"> The fiscal year of the corporation shall be fixed by resolution of the Board of Directors.</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XI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47. Indemnification of Directors, Executive Officers, Other Officers, Employees and Other Agents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 Directors and Executive Officers. </w:t>
      </w:r>
      <w:r>
        <w:rPr>
          <w:rFonts w:ascii="Times New Roman;Times;serif" w:hAnsi="Times New Roman;Times;serif"/>
          <w:sz w:val="20"/>
        </w:rPr>
        <w:t xml:space="preserve">The corporation shall indemnify its directors and executive officers (for the purposes of this Article XI, “executive officers” shall have the meaning defined in Rule 3b-7 promulgated under the 1934 Act) to the extent not prohibited by the DGCL or any other applicable law; </w:t>
      </w:r>
      <w:r>
        <w:rPr>
          <w:rFonts w:ascii="Times New Roman;Times;serif" w:hAnsi="Times New Roman;Times;serif"/>
          <w:i/>
          <w:sz w:val="20"/>
        </w:rPr>
        <w:t>provided, however,</w:t>
      </w:r>
      <w:r>
        <w:rPr>
          <w:rFonts w:ascii="Times New Roman;Times;serif" w:hAnsi="Times New Roman;Times;serif"/>
          <w:sz w:val="20"/>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(b) Other Officers, Employees and Other Agents.</w:t>
      </w:r>
      <w:r>
        <w:rPr>
          <w:rFonts w:ascii="Times New Roman;Times;serif" w:hAnsi="Times New Roman;Times;serif"/>
          <w:sz w:val="20"/>
        </w:rPr>
        <w:t xml:space="preserve"> The corporation shall have power to indemnify its other officers, employees and other 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(c) Expenses.</w:t>
      </w:r>
      <w:r>
        <w:rPr>
          <w:rFonts w:ascii="Times New Roman;Times;serif" w:hAnsi="Times New Roman;Times;serif"/>
          <w:sz w:val="20"/>
        </w:rPr>
        <w:t xml:space="preserve"> The corporation shall advance to any person who was or is a party or is threatened to be made a party to any threatened, pending or completed action, suit or proceeding, whether civil, criminal, administrative or investigative, by reason of the fact that such person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that an advancement of expenses incurred by any indemnitee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unless otherwise determined pursuant to subsection (e),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 Enforcement. </w:t>
      </w:r>
      <w:r>
        <w:rPr>
          <w:rFonts w:ascii="Times New Roman;Times;serif" w:hAnsi="Times New Roman;Times;serif"/>
          <w:sz w:val="20"/>
        </w:rPr>
        <w:t>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If a claim for indemnification under this Section 47 (following the final disposition of such proceeding) is not paid in full within ninety (90) days after the corporation has received a claim therefor, or if a claim for any advancement of expenses under this Section 47 is not paid in full within ninety (90) days after the corporation has received a statement or statements requesting such amounts to be advanced, the director or executive officer shall thereupon (but not before) be entitled to file suit to recover the unpaid amount of such claim.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committee of the Board of Directors, independent legal counsel or its stockholders) to have made a determination prior to the commencement of such action that indemnification of the claimant is proper in the circumstances because such person has met the applicable standard of conduct set forth in the DGCL or any other applicable law, nor an actual determination by the corporation (including its Board of Directors, committee of the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(e) Non-Exclusivity of Rights. </w:t>
      </w:r>
      <w:r>
        <w:rPr>
          <w:rFonts w:ascii="Times New Roman;Times;serif" w:hAnsi="Times New Roman;Times;serif"/>
          <w:sz w:val="20"/>
        </w:rPr>
        <w:t>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(f) Survival of Rights. </w:t>
      </w:r>
      <w:r>
        <w:rPr>
          <w:rFonts w:ascii="Times New Roman;Times;serif" w:hAnsi="Times New Roman;Times;serif"/>
          <w:sz w:val="20"/>
        </w:rPr>
        <w:t>The rights conferred on any person by this Bylaw shall continue as to a person who has ceased to be a director or executive officer and shall inure to the benefit of the heirs, executors and administrators of such a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(g) Insurance. </w:t>
      </w:r>
      <w:r>
        <w:rPr>
          <w:rFonts w:ascii="Times New Roman;Times;serif" w:hAnsi="Times New Roman;Times;serif"/>
          <w:sz w:val="20"/>
        </w:rPr>
        <w:t>To the fullest extent permitted by the DGCL or any other applicable law, the corporation, upon approval by the Board of Directors, may purchase insurance on behalf of any person required or permitted to be indemnified pursuant to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(h) Amendments. </w:t>
      </w:r>
      <w:r>
        <w:rPr>
          <w:rFonts w:ascii="Times New Roman;Times;serif" w:hAnsi="Times New Roman;Times;serif"/>
          <w:sz w:val="20"/>
        </w:rPr>
        <w:t>Any repeal or modification of this section shall only be prospective and shall not affect the rights under this Bylaw in effect at the time of the alleged occurrence of any action or omission to act that is the cause of any proceeding against any agent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 Saving Clause. </w:t>
      </w:r>
      <w:r>
        <w:rPr>
          <w:rFonts w:ascii="Times New Roman;Times;serif" w:hAnsi="Times New Roman;Times;serif"/>
          <w:sz w:val="20"/>
        </w:rPr>
        <w:t>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(j) Certain Definitions. </w:t>
      </w:r>
      <w:r>
        <w:rPr>
          <w:rFonts w:ascii="Times New Roman;Times;serif" w:hAnsi="Times New Roman;Times;serif"/>
          <w:sz w:val="20"/>
        </w:rPr>
        <w:t>For the purposes of this Bylaw, the following definitions shall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 </w:t>
      </w:r>
      <w:r>
        <w:rPr>
          <w:rFonts w:ascii="Times New Roman;Times;serif" w:hAnsi="Times New Roman;Times;serif"/>
          <w:sz w:val="20"/>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(ii) </w:t>
      </w:r>
      <w:r>
        <w:rPr>
          <w:rFonts w:ascii="Times New Roman;Times;serif" w:hAnsi="Times New Roman;Times;serif"/>
          <w:sz w:val="20"/>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(iii) </w:t>
      </w:r>
      <w:r>
        <w:rPr>
          <w:rFonts w:ascii="Times New Roman;Times;serif" w:hAnsi="Times New Roman;Times;serif"/>
          <w:sz w:val="20"/>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such person would have with respect to such constituent corporation if its separate existence had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(iv) </w:t>
      </w:r>
      <w:r>
        <w:rPr>
          <w:rFonts w:ascii="Times New Roman;Times;serif" w:hAnsi="Times New Roman;Times;serif"/>
          <w:sz w:val="20"/>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(v) </w:t>
      </w:r>
      <w:r>
        <w:rPr>
          <w:rFonts w:ascii="Times New Roman;Times;serif" w:hAnsi="Times New Roman;Times;serif"/>
          <w:sz w:val="20"/>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XII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NOTICES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Section 48. Notices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 Notice To Stockholders. </w:t>
      </w:r>
      <w:r>
        <w:rPr>
          <w:rFonts w:ascii="Times New Roman;Times;serif" w:hAnsi="Times New Roman;Times;serif"/>
          <w:sz w:val="20"/>
        </w:rPr>
        <w:t>Written notice to stockholders of stockholder meetings shall be given as provided in Section 7 herein. Without limiting the manner by which notice may otherwise be given effectively to stockholders under any agreement or contract with such stockholder, and except as otherwise required by law, written notice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stockholders for purposes other than stockholder meetings may be sent by US mail or nationally recognized overnight courier, or by facsimile, telegraph or telex or by electronic mail or other electronic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(b) Notice To Directors. </w:t>
      </w:r>
      <w:r>
        <w:rPr>
          <w:rFonts w:ascii="Times New Roman;Times;serif" w:hAnsi="Times New Roman;Times;serif"/>
          <w:sz w:val="20"/>
        </w:rPr>
        <w:t>Any notice required to be given to any director may be given by the method stated in subsection (a), as 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 Affidavit Of Mailing. </w:t>
      </w:r>
      <w:r>
        <w:rPr>
          <w:rFonts w:ascii="Times New Roman;Times;serif" w:hAnsi="Times New Roman;Times;serif"/>
          <w:sz w:val="20"/>
        </w:rPr>
        <w:t>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 Methods of Notice. </w:t>
      </w:r>
      <w:r>
        <w:rPr>
          <w:rFonts w:ascii="Times New Roman;Times;serif" w:hAnsi="Times New Roman;Times;serif"/>
          <w:sz w:val="20"/>
        </w:rPr>
        <w:t>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(e) Notice To Person With Whom Communication Is Unlawful. </w:t>
      </w:r>
      <w:r>
        <w:rPr>
          <w:rFonts w:ascii="Times New Roman;Times;serif" w:hAnsi="Times New Roman;Times;serif"/>
          <w:sz w:val="20"/>
        </w:rPr>
        <w:t>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(f) Notice to Stockholders Sharing an Address. </w:t>
      </w:r>
      <w:r>
        <w:rPr>
          <w:rFonts w:ascii="Times New Roman;Times;serif" w:hAnsi="Times New Roman;Times;serif"/>
          <w:sz w:val="20"/>
        </w:rPr>
        <w:t>Except as otherwise prohibited under DGCL, any notice given under the provisions of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XIII</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AMENDMENTS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Section 49. Amendments. </w:t>
      </w:r>
      <w:r>
        <w:rPr>
          <w:rFonts w:ascii="Times New Roman;Times;serif" w:hAnsi="Times New Roman;Times;serif"/>
          <w:sz w:val="20"/>
        </w:rPr>
        <w:t xml:space="preserve">Subject to the limitations set forth in Section 47(h) or the provisions of the Certificate of Incorporation, the Board of Directors is expressly empowered to adopt, amend or repeal the Bylaws of the corporation. The stockholders also shall have power to adopt, amend or repeal the Bylaws of the corporation; </w:t>
      </w:r>
      <w:r>
        <w:rPr>
          <w:rFonts w:ascii="Times New Roman;Times;serif" w:hAnsi="Times New Roman;Times;serif"/>
          <w:i/>
          <w:sz w:val="20"/>
        </w:rPr>
        <w:t xml:space="preserve">provided, however, </w:t>
      </w:r>
      <w:r>
        <w:rPr>
          <w:rFonts w:ascii="Times New Roman;Times;serif" w:hAnsi="Times New Roman;Times;serif"/>
          <w:sz w:val="20"/>
        </w:rPr>
        <w:t>that, in addition to any vote of the holders of any class or series of stock of the corporation required by law or by the Certificate of Incorporation, such action by stockholders shall require the affirmative vote of the holders of at least sixty-six and two-thirds percent (66 2/3%) of the voting power of all of the then-outstanding shares of the capital stock of the corporation entitled to vote generally in the election of directors, voting together as a single class.</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XIV</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LOANS TO OFFICERS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Section 50. Loans To Officers.</w:t>
      </w:r>
      <w:r>
        <w:rPr>
          <w:rFonts w:ascii="Times New Roman;Times;serif" w:hAnsi="Times New Roman;Times;serif"/>
          <w:sz w:val="20"/>
        </w:rPr>
        <w:t xml:space="preserve"> Except as otherwise prohibited by applicable law,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32" w:name="rgti-20251231xex4d4.htm"/>
      <w:bookmarkStart w:id="1333" w:name="ksrgti20251231xex4d4"/>
      <w:bookmarkEnd w:id="1332"/>
      <w:bookmarkEnd w:id="1333"/>
      <w:r>
        <w:rPr>
          <w:rFonts w:ascii="Times New Roman;Times;serif" w:hAnsi="Times New Roman;Times;serif"/>
          <w:b/>
          <w:sz w:val="20"/>
        </w:rPr>
        <w:t>EXHIBIT 4.4</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Rigetti Computing, Inc. (“we,” “our,” “us,” the “Company” or “Rigetti”) has two classes of securities registered under Section 12 of the Securities Exchange Act of 1934, as amended (the “Exchange Act”): common stock, par value $0.0001 per share (the “common stock”), and public warrants, with each whole public warrant exercisable for one share of common stock at an exercise price of $11.50 per share (the “public warrants”). Our outstanding securities also include warrants originally issued in a private placement to the initial shareholder of Supernova Partners Acquisition Company II, Ltd. (“Supernova”) in connection with the initial public offering of Supernova, with each whole private warrant exercisable for one share of Common Stock at an exercise price of $11.50 per share (the “private placement warrants” and, together with the public warrants, the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summary of the material terms of our common stock and warrants is not intended to be a complete summary of the rights and preferences of such securities, and is qualified by reference to our Certificate of Incorporation (the “Certificate of Incorporation”), our Bylaws (the “Bylaws”) and the Warrant-related documents described herein, each of which is filed as an exhibit to our Annual Report on Form 10-K, and are incorporated by reference herein. We urge you to read each of the Certificate of Incorporation, the Bylaws, the Warrant-related documents and the applicable provisions of the Delaware General Corporation Law (the “DGCL”) in their entirety for a complete description of the rights and preferences of our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Authorized Capitalization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certificate of incorporation authorizes the issuance of 1,000,000,000 shares of common stock, $0.0001 par value per share, and 10,000,000 shares of preferred stock, $0.0001 par value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 Voting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holder of common stock will be entitled to one (1) vote for each share of common stock held of record by such holder on all matters voted upon by our stockholders, provided, however, that, except as otherwise required in the Certificate of Incorporation or by applicable law, the holders of common stock will not be entitled to vote on any amendment to the Certificate of Incorporation that alters or changes the powers, preferences, rights or other terms of one or more outstanding series of preferred stock if the holders of such affected series are entitled, either separately or together with the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of one or more other such series, to vote thereon pursuant to the Certificate of Incorporation (including any certificate of designation relating to any series of preferred stock) or pursuant to the DGCL. When a quorum is present, the affirmative vote of a majority of the voting power of the shares present in person, by remote communication, if applicable, or represented by proxy at the meeting and entitled to vote generally on the subject matter is required to take action, unless otherwise specified by law, the Bylaws or the Certificate of Incorporation, and except for the election of directors, which is determined by a plurality vote. There are no cumulative voting rights.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the rights of the holders of preferred stock and any other provisions of the Certificate of Incorporation, as it may be amended from time to time, holders of common stock will be entitled to receive such dividends and other distributions in cash, stock or property of the Company when, as and if declared thereon by the board of directors of the Company (the “Board”), in its discretion, from time to time out of assets or funds of the Company legally available therefor.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Rights upon Liquidation, Dissolution and Winding-Up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the rights of holders of preferred stock, in the event of any liquidation, dissolution or winding up of our affairs, whether voluntary or involuntary, after payment or provision for payment of our debts and any other payments required by law and amounts payable upon shares of preferred stock ranking senior to the shares of common stock upon such dissolution, liquidation or winding up, if any, the Company’s remaining net assets will be distributed to the holders of common stock and the holders of any other class or series of capital stock ranking equally with the common stock upon such dissolution, liquidation or winding up, equally on a per share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no redemption or sinking fund provisions applicable to the common stock. The rights, preferences and privileges of holders of common stock will be subject to those of the holders of preferred stock that the Company may issue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Election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is divided into three classes, Class I, Class II and Class III, with members of each class serving staggered three-year terms with only one class of directors being elected in each year. Under the Bylaws, the election of directors is determined by plurality vote.</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our common stock, restricting dividends on the capital stock, diluting the voting power of the holders of common stock, impairing the liquidation rights of the capital stock, or delaying or preventing a change in control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whole public warrant entitles the registered holder to purchase one share of common stock at a price of $11.50 per whole share, subject to adjustment as discussed below, at any time, except as discussed in the immediately succeeding paragraph. Pursuant to the warrant agreement, a warrant holder may exercise its warrants only for a whole number of shares of common stock. This means only a whole warrant may be exercised at a given time by a warrant holder and only whole warrants trade. The warrants will expire March 2, 2027, at 5:00 p.m., New York City time, or earlier upon redemption or liquidation.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not be obligated to deliver any shares of common stock pursuant to the exercise of a warrant and will have no obligation to settle such warrant exercise unless a registration statement under the Securities Act of 1933, as amended (the “Securities Act”), with respect to the shares of common stock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share of common stock upon exercise of a warrant unless the share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1, 2022, the registration statement for the registration, under the Securities Act, of the shares of common stock issuable upon exercise of the warrants was declared effective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the Securities and Exchange Commission (“SEC”). We have agreed to use our commercially reasonable efforts to maintain the effectiveness of such registration statement and a current prospectus relating to those shares of common stock until the warrants expire or are redeemed, as specified in the warrant agreement; provided that if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Redemption of warrants when the price per share of common stock equals or exceeds $18.00. </w:t>
      </w:r>
      <w:r>
        <w:rPr>
          <w:rFonts w:ascii="Times New Roman;Times;serif" w:hAnsi="Times New Roman;Times;serif"/>
          <w:sz w:val="20"/>
        </w:rPr>
        <w:t>Once the warrants become exercisable, we may redeem the outstanding warrants (except as described herein with respect to the private placement warrants):</w:t>
      </w:r>
    </w:p>
    <w:tbl>
      <w:tblPr>
        <w:tblW w:w="2133" w:type="dxa"/>
        <w:jc w:val="left"/>
        <w:tblInd w:w="0" w:type="dxa"/>
        <w:tblLayout w:type="fixed"/>
        <w:tblCellMar>
          <w:top w:w="0" w:type="dxa"/>
          <w:left w:w="0" w:type="dxa"/>
          <w:bottom w:w="0" w:type="dxa"/>
          <w:right w:w="0" w:type="dxa"/>
        </w:tblCellMar>
      </w:tblPr>
      <w:tblGrid>
        <w:gridCol w:w="23"/>
        <w:gridCol w:w="95"/>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2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whole and not in part;</w:t>
            </w:r>
          </w:p>
        </w:tc>
      </w:tr>
    </w:tbl>
    <w:tbl>
      <w:tblPr>
        <w:tblW w:w="2598" w:type="dxa"/>
        <w:jc w:val="left"/>
        <w:tblInd w:w="0" w:type="dxa"/>
        <w:tblLayout w:type="fixed"/>
        <w:tblCellMar>
          <w:top w:w="0" w:type="dxa"/>
          <w:left w:w="0" w:type="dxa"/>
          <w:bottom w:w="0" w:type="dxa"/>
          <w:right w:w="0" w:type="dxa"/>
        </w:tblCellMar>
      </w:tblPr>
      <w:tblGrid>
        <w:gridCol w:w="23"/>
        <w:gridCol w:w="95"/>
        <w:gridCol w:w="24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24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a price of $0.01 per warrant;</w:t>
            </w:r>
          </w:p>
        </w:tc>
      </w:tr>
    </w:tbl>
    <w:tbl>
      <w:tblPr>
        <w:tblW w:w="7503" w:type="dxa"/>
        <w:jc w:val="left"/>
        <w:tblInd w:w="0" w:type="dxa"/>
        <w:tblLayout w:type="fixed"/>
        <w:tblCellMar>
          <w:top w:w="0" w:type="dxa"/>
          <w:left w:w="0" w:type="dxa"/>
          <w:bottom w:w="0" w:type="dxa"/>
          <w:right w:w="0" w:type="dxa"/>
        </w:tblCellMar>
      </w:tblPr>
      <w:tblGrid>
        <w:gridCol w:w="23"/>
        <w:gridCol w:w="95"/>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73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upon a minimum of 30 days’ prior written notice of redemption to each warrant holder;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and only if, the closing price of the shares of common stock equals or exceeds $18.00 per share (as adjusted for adjustments to the number of shares issuable upon exercise or the exercise price of a warrant as described under the heading “—</w:t>
            </w:r>
            <w:r>
              <w:rPr>
                <w:rFonts w:ascii="Times New Roman;Times;serif" w:hAnsi="Times New Roman;Times;serif"/>
                <w:i/>
                <w:sz w:val="20"/>
              </w:rPr>
              <w:t>Anti-dilution Adjustments</w:t>
            </w:r>
            <w:r>
              <w:rPr>
                <w:rFonts w:ascii="Times New Roman;Times;serif" w:hAnsi="Times New Roman;Times;serif"/>
                <w:sz w:val="20"/>
              </w:rPr>
              <w:t>”) on the trading day prior to the date on which we send the notice of redemption to the warrant holders.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scheduled redemption date. Any such exercise would not be done on a “cashless” basis and would require the exercising warrant holder to pay the exercise price for each warrant being exercised. However, the price of the shares of common stock may fall below the $18.00 redemption trigger price (as adjusted for adjustments to the number of shares issuable upon exercise or the exercise price of a warrant as described under the heading “—</w:t>
      </w:r>
      <w:r>
        <w:rPr>
          <w:rFonts w:ascii="Times New Roman;Times;serif" w:hAnsi="Times New Roman;Times;serif"/>
          <w:i/>
          <w:sz w:val="20"/>
        </w:rPr>
        <w:t>Anti-dilution Adjustments</w:t>
      </w:r>
      <w:r>
        <w:rPr>
          <w:rFonts w:ascii="Times New Roman;Times;serif" w:hAnsi="Times New Roman;Times;serif"/>
          <w:sz w:val="20"/>
        </w:rPr>
        <w:t>”) as well as the $11.50 (for whole shares) warrant exercise price after the redemption notice is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Redemption of warrants when the price per share of common stock equals or exceeds $10.00</w:t>
      </w:r>
      <w:r>
        <w:rPr>
          <w:rFonts w:ascii="Times New Roman;Times;serif" w:hAnsi="Times New Roman;Times;serif"/>
          <w:sz w:val="20"/>
        </w:rPr>
        <w:t>. Once the warrants become exercisable, we may redeem the outstanding warrants (except as described herein with respect to the private placement warrants):</w:t>
      </w:r>
    </w:p>
    <w:tbl>
      <w:tblPr>
        <w:tblW w:w="2133" w:type="dxa"/>
        <w:jc w:val="left"/>
        <w:tblInd w:w="0" w:type="dxa"/>
        <w:tblLayout w:type="fixed"/>
        <w:tblCellMar>
          <w:top w:w="0" w:type="dxa"/>
          <w:left w:w="0" w:type="dxa"/>
          <w:bottom w:w="0" w:type="dxa"/>
          <w:right w:w="0" w:type="dxa"/>
        </w:tblCellMar>
      </w:tblPr>
      <w:tblGrid>
        <w:gridCol w:w="23"/>
        <w:gridCol w:w="95"/>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2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whole and not in part;</w:t>
            </w:r>
          </w:p>
        </w:tc>
      </w:tr>
    </w:tbl>
    <w:tbl>
      <w:tblPr>
        <w:tblW w:w="1803" w:type="dxa"/>
        <w:jc w:val="left"/>
        <w:tblInd w:w="0" w:type="dxa"/>
        <w:tblLayout w:type="fixed"/>
        <w:tblCellMar>
          <w:top w:w="0" w:type="dxa"/>
          <w:left w:w="0" w:type="dxa"/>
          <w:bottom w:w="0" w:type="dxa"/>
          <w:right w:w="0" w:type="dxa"/>
        </w:tblCellMar>
      </w:tblPr>
      <w:tblGrid>
        <w:gridCol w:w="23"/>
        <w:gridCol w:w="95"/>
        <w:gridCol w:w="16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6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$0.10 per warrant;</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upon a minimum of 30 days’ prior written notice of redemption </w:t>
            </w:r>
            <w:r>
              <w:rPr>
                <w:rFonts w:ascii="Times New Roman;Times;serif" w:hAnsi="Times New Roman;Times;serif"/>
                <w:i/>
                <w:sz w:val="20"/>
              </w:rPr>
              <w:t xml:space="preserve">provided </w:t>
            </w:r>
            <w:r>
              <w:rPr>
                <w:rFonts w:ascii="Times New Roman;Times;serif" w:hAnsi="Times New Roman;Times;serif"/>
                <w:sz w:val="20"/>
              </w:rPr>
              <w:t>that holders will be able to exercise their warrants on a cashless basis prior to redemption and receive that number of shares determined by reference to the table below, based on the redemption date and the “fair market value” of our shares of common stock except as otherwise described below;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and only if, the closing price of shares of common stock equals or exceeds $10.00 per public share (as adjusted for adjustments to the number of shares issuable upon exercise or the exercise price of a warrant as described under the heading “—</w:t>
            </w:r>
            <w:r>
              <w:rPr>
                <w:rFonts w:ascii="Times New Roman;Times;serif" w:hAnsi="Times New Roman;Times;serif"/>
                <w:i/>
                <w:sz w:val="20"/>
              </w:rPr>
              <w:t>Anti-dilution Adjustments</w:t>
            </w:r>
            <w:r>
              <w:rPr>
                <w:rFonts w:ascii="Times New Roman;Times;serif" w:hAnsi="Times New Roman;Times;serif"/>
                <w:sz w:val="20"/>
              </w:rPr>
              <w:t>”) on the trading day prior to the date on which we send the notice of redemption to the warrant holders.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Beginning on the date the notice of redemption is given until the warrants are redeemed or exercised, holders may elect to exercise their warrants on a cashless basis. 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 weighted average price of shares of common stock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Times;serif" w:hAnsi="Times New Roman;Times;serif"/>
          <w:i/>
          <w:sz w:val="20"/>
        </w:rPr>
        <w:t>Anti-dilution Adjustments</w:t>
      </w:r>
      <w:r>
        <w:rPr>
          <w:rFonts w:ascii="Times New Roman;Times;serif" w:hAnsi="Times New Roman;Times;serif"/>
          <w:sz w:val="20"/>
        </w:rPr>
        <w:t>”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a warrant is adjusted, in the case of an adjustment pursuant to the second paragraph under the heading “—</w:t>
      </w:r>
      <w:r>
        <w:rPr>
          <w:rFonts w:ascii="Times New Roman;Times;serif" w:hAnsi="Times New Roman;Times;serif"/>
          <w:i/>
          <w:sz w:val="20"/>
        </w:rPr>
        <w:t>Anti-dilution Adjustments</w:t>
      </w:r>
      <w:r>
        <w:rPr>
          <w:rFonts w:ascii="Times New Roman;Times;serif" w:hAnsi="Times New Roman;Times;serif"/>
          <w:sz w:val="20"/>
        </w:rPr>
        <w:t>” below, the adjusted share prices in the column headings will equal the unadjusted share price less the decrease in the exercise price of a warrant pursuant to such exercise price adjustment.</w:t>
      </w:r>
    </w:p>
    <w:tbl>
      <w:tblPr>
        <w:tblW w:w="10205" w:type="dxa"/>
        <w:jc w:val="center"/>
        <w:tblInd w:w="0" w:type="dxa"/>
        <w:tblLayout w:type="fixed"/>
        <w:tblCellMar>
          <w:top w:w="0" w:type="dxa"/>
          <w:left w:w="0" w:type="dxa"/>
          <w:bottom w:w="0" w:type="dxa"/>
          <w:right w:w="0" w:type="dxa"/>
        </w:tblCellMar>
      </w:tblPr>
      <w:tblGrid>
        <w:gridCol w:w="1801"/>
        <w:gridCol w:w="346"/>
        <w:gridCol w:w="608"/>
        <w:gridCol w:w="346"/>
        <w:gridCol w:w="571"/>
        <w:gridCol w:w="346"/>
        <w:gridCol w:w="571"/>
        <w:gridCol w:w="346"/>
        <w:gridCol w:w="571"/>
        <w:gridCol w:w="346"/>
        <w:gridCol w:w="571"/>
        <w:gridCol w:w="346"/>
        <w:gridCol w:w="571"/>
        <w:gridCol w:w="346"/>
        <w:gridCol w:w="571"/>
        <w:gridCol w:w="346"/>
        <w:gridCol w:w="571"/>
        <w:gridCol w:w="346"/>
        <w:gridCol w:w="685"/>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143635" cy="175260"/>
                      <wp:effectExtent l="0" t="0" r="0" b="0"/>
                      <wp:wrapNone/>
                      <wp:docPr id="282" name="Frame28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86080" cy="175260"/>
                      <wp:effectExtent l="0" t="0" r="0" b="0"/>
                      <wp:wrapNone/>
                      <wp:docPr id="284" name="Frame284"/>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2585" cy="175260"/>
                      <wp:effectExtent l="0" t="0" r="0" b="0"/>
                      <wp:wrapNone/>
                      <wp:docPr id="286" name="Frame2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62585" cy="175260"/>
                      <wp:effectExtent l="0" t="0" r="0" b="0"/>
                      <wp:wrapNone/>
                      <wp:docPr id="288" name="Frame2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62585" cy="175260"/>
                      <wp:effectExtent l="0" t="0" r="0" b="0"/>
                      <wp:wrapNone/>
                      <wp:docPr id="290" name="Frame2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62585" cy="175260"/>
                      <wp:effectExtent l="0" t="0" r="0" b="0"/>
                      <wp:wrapNone/>
                      <wp:docPr id="292" name="Frame2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62585" cy="175260"/>
                      <wp:effectExtent l="0" t="0" r="0" b="0"/>
                      <wp:wrapNone/>
                      <wp:docPr id="294" name="Frame2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62585" cy="175260"/>
                      <wp:effectExtent l="0" t="0" r="0" b="0"/>
                      <wp:wrapNone/>
                      <wp:docPr id="296" name="Frame2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62585" cy="175260"/>
                      <wp:effectExtent l="0" t="0" r="0" b="0"/>
                      <wp:wrapNone/>
                      <wp:docPr id="298" name="Frame2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34975" cy="175260"/>
                      <wp:effectExtent l="0" t="0" r="0" b="0"/>
                      <wp:wrapNone/>
                      <wp:docPr id="300" name="Frame300"/>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Redemption Date</w:t>
            </w:r>
          </w:p>
        </w:tc>
        <w:tc>
          <w:tcPr>
            <w:tcW w:w="346" w:type="dxa"/>
            <w:tcBorders/>
            <w:vAlign w:val="center"/>
          </w:tcPr>
          <w:p>
            <w:pPr>
              <w:pStyle w:val="TableContents"/>
              <w:bidi w:val="0"/>
              <w:spacing w:before="0" w:after="0"/>
              <w:ind w:left="0" w:right="0" w:hanging="0"/>
              <w:jc w:val="left"/>
              <w:rPr/>
            </w:pPr>
            <w:r>
              <w:rPr/>
              <w:t>​</w:t>
            </w:r>
          </w:p>
        </w:tc>
        <w:tc>
          <w:tcPr>
            <w:tcW w:w="8058"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Market Value of Common Stock</w:t>
            </w:r>
          </w:p>
        </w:tc>
      </w:tr>
      <w:tr>
        <w:trPr/>
        <w:tc>
          <w:tcPr>
            <w:tcW w:w="180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 to expiration of warrants)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r>
              <w:rPr>
                <w:rFonts w:ascii="Times New Roman;Times;serif" w:hAnsi="Times New Roman;Times;serif"/>
                <w:b/>
                <w:sz w:val="16"/>
              </w:rPr>
              <w:t>10.00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14.00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15.00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16.00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17.00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r>
              <w:rPr>
                <w:rFonts w:ascii="Times New Roman;Times;serif" w:hAnsi="Times New Roman;Times;serif"/>
                <w:b/>
                <w:sz w:val="16"/>
              </w:rPr>
              <w:t>18.00</w:t>
            </w:r>
          </w:p>
        </w:tc>
      </w:tr>
      <w:tr>
        <w:trPr/>
        <w:tc>
          <w:tcPr>
            <w:tcW w:w="180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0.358</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57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0.358</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54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0.357</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0.357</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0.356</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0.356</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0.355</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39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0.354</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0.353</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0.352</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0.351</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27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0.350</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0.348</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0.347</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0.345</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0.342</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0.339</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0.336</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6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0.331</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months</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0.326</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0.361</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0 months</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0.323</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shares of common stock for the 10 trading days ending on the third trading day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 For an example where the exact fair market value and redemption date are not as set forth in the table above, if the volume weighted average price of shares of common stock for the 10 trading days ending on the third trading day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on a cashless basis in connection with this redemption feature for more than 0.361 shares of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redemption feature differs from the typical warrant redemption features used in many other blank check companies, which typically only provide for a redemption of warrants for cash (other than the private placement warrants) when the trading price for the shares of common stock exceeds $18.00 per share for a specified period of time. This redemption feature is structured to allow for all of the outstanding warrants to be redeemed when the shares of common stock are trading at or above $10.00 per public share, which may be at a time when the trading price of shares of common stock is below the exercise price of the warrants. We have established this redemption feature to provide us with the flexibility to redeem the warrants without the warrants having to reach the $18.00 per share threshold set forth above under “—</w:t>
      </w:r>
      <w:r>
        <w:rPr>
          <w:rFonts w:ascii="Times New Roman;Times;serif" w:hAnsi="Times New Roman;Times;serif"/>
          <w:i/>
          <w:sz w:val="20"/>
        </w:rPr>
        <w:t>Redemption of warrants when the price per share of common stock equals or exceeds $18.00</w:t>
      </w:r>
      <w:r>
        <w:rPr>
          <w:rFonts w:ascii="Times New Roman;Times;serif" w:hAnsi="Times New Roman;Times;serif"/>
          <w:sz w:val="20"/>
        </w:rPr>
        <w:t>.” Holders choosing to exercise their warrants in connection with a redemption pursuant to this feature will, in effect, receive a number of shares for their warrants based on an option pricing model with a fixed volatility input as of the of this prospectus. This redemption right provides us with an additional mechanism by which to</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of common stock than they would have received if they had chosen to wait to exercise their warrants for shares of common stock if and when such shares of common stock were trading at a price higher than the exercise price of $11.50.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fractional shares of common stock will be issued upon exercise. If, upon exercise, a holder would be entitled to receive a fractional interest in a share, we will round down to the nearest whole number of the number of shares of common stock to be issued to the holder. If, at the time of redemption, the warrants are exercisable for a security other than the shares of common stock pursuant to the warrant agreement, the warrants may be exercised for such security. At such time as the warrants become exercisable for a security other than the shares of common stock, we (or surviving company) will use our commercially reasonable efforts to register under the Securities Act the security issuable upon the exercise of the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Redemption procedures. </w:t>
      </w:r>
      <w:r>
        <w:rPr>
          <w:rFonts w:ascii="Times New Roman;Times;serif" w:hAnsi="Times New Roman;Times;serif"/>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common stock issued and outstanding immediately after giving effect to such exercise.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Anti-dilution Adjustments. </w:t>
      </w:r>
      <w:r>
        <w:rPr>
          <w:rFonts w:ascii="Times New Roman;Times;serif" w:hAnsi="Times New Roman;Times;serif"/>
          <w:sz w:val="20"/>
        </w:rPr>
        <w:t>If the number of outstanding shares of common stock is increased by a capitalization or share dividend payable in shares of common stock, or by a sub-division of ordinary shares or other similar event, then, on the effective date of such</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capitalization or share dividend, sub-division or similar event, the number of shares of common stock issuable on exercise of each warrant will be increased in proportion to such increase in the outstanding ordinary shares. A rights offering made to all or substantially all holders of ordinary shares entitling holders to purchase shares of common stock at a price less than the “historical fair market value” (as defined below) will be deemed a share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one minus the quotient of (x) the price per share of common stock paid in such rights offering and (y) the historical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“historical fair market value” means the volume weighted average price of shares of common stock as reported during the 10 trading day period ending on the trading day prior to the first date on which the shares of common stock trade on the applicable exchange or in the applicable market, regular way, without the right to receive such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if we, at any time while the warrants are outstanding and unexpired, pay a dividend or make a distribution in cash, securities or other assets to all or substantially all of the holders of the shares of common stock on account of such shares of common stock (or other securities into which the warrants are convertible), other than (a) as described above and, (b) any cash dividends or cash distributions which, when combined on a per share basis with all other cash dividends and cash distributions paid on the shares of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common stock in respect of such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will be decreased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proportion to such decrease in outstanding shares of common stock. 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shares of common stock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Exchange Act) and any members of any such group of which any such affiliate or associate is a part, own beneficially (within the meaning of Rule 13d-3 under the Exchange Act) more than 50% of the issued and outstanding shares of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equityholders of Rigetti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 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warrants have been issued in registered form under a warrant agreement between American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should review a copy of the warrant agreement, which is filed as an exhibit to the registration statement of which this prospectus is a part, for a complete description of the terms and conditions applicable to the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warrant holders do not have the rights or privileges of holders of ordinary shares and any voting rights until they exercise their warrants and receive shares of common stock. After the issuance of shares of common stock upon exercise of the warrants, each holder will be entitled to one vote for each share held of record on all matters to be voted on by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shares of common stock to be issued to the warrant holder. 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Except as described below, the private placement warrants have terms and provisions that are identical to those of the public warrants. The private placement warrants (including the shares of common stock issuable upon exercise of the private placement warrants) will not be transferable, assignable or salable until 30 days after the Closing Date (except pursuant to limited exceptions, to our officers and directors and other persons or entities affiliated with the initial purchasers of the private placement warrants) and they will not be redeemable by us so long as they are held by Supernova Partners II LLC (“Supernova Sponsor”) or its permitted transferees. Supernova Sponsor, or its permitted transferees, has the option to exercise the private placement warrants on a cashless basis. If the private placement warrants are held by holders other than Supernova Sponsor or its permitted transferees, the private placement warrants will be redeemable by us in all redemption scenarios and exercisable by the holders on the same basis as the warrants included in the units being sold in Supernova’s initial public offering. Any amendment to the terms of the private placement warrants or any provision of the warrant agreement with respect to the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private placement warrants will require a vote of holders of at least 50% of the number of the then outstanding private placement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holders of the private placement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excess of the “Sponsor fair market value” (defined below) over the exercise price of the warrants by (y) the Sponsor fair market value. For these purposes, the “Sponsor fair market value” shall mean the average reported closing price of the shares of common stock for the 10 trading days ending on the third trading day prior to the date on which the notice of warrant exercise is sent to the warrant agent.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not paid any cash dividends on our common stock to date. The payment of cash dividends in the future will be dependent upon our revenues and earnings, if any, capital requirements, general financial condition, contractual restrictions and other factors that our Board may deem relevant and will be within the discretion of our Board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Certain Anti-Takeover Provisions of Delaware Law and our Second Amended and Restated Certificate of Incorporation and Bylaws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Section 203 of the Delaware General Corporation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Section 203 of the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before such date, the board of directors of the corporation approved either the business combination or the transaction that resulted in the stockholder becoming an interested stockholder;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persons who are directors and also officers and (2) employee stock plans in which employee participants do not have the right to determine confidentially whether shares held subject to the plan will be tendered in a tender or exchange offer; or</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general, Section 203 defines a “business combination” to include the following:</w:t>
      </w:r>
    </w:p>
    <w:tbl>
      <w:tblPr>
        <w:tblW w:w="7113" w:type="dxa"/>
        <w:jc w:val="left"/>
        <w:tblInd w:w="0" w:type="dxa"/>
        <w:tblLayout w:type="fixed"/>
        <w:tblCellMar>
          <w:top w:w="0" w:type="dxa"/>
          <w:left w:w="0" w:type="dxa"/>
          <w:bottom w:w="0" w:type="dxa"/>
          <w:right w:w="0" w:type="dxa"/>
        </w:tblCellMar>
      </w:tblPr>
      <w:tblGrid>
        <w:gridCol w:w="23"/>
        <w:gridCol w:w="95"/>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69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merger or consolidation involving the corporation and the interested stockholder;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sale, transfer, pledge or other disposition of 10% or more of the assets of the corporation involving the interested stockholder;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subject to certain exceptions, any transaction that results in the issuance or transfer by the corporation of any stock of the corporation to the interested stockholder;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transaction involving the corporation that has the effect of increasing the proportionate share of the stock or any class or series of the corporation beneficially owned by the interested stockholder; or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receipt by the interested stockholder of the benefit of any loans, advances, guarantees, pledges or other financial benefits by or through the corporation.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Delaware corporation may “opt out” of these provisions with an express provision in its original certificate of incorporation or an express provision in an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Certificate of Incorporation and Bylaws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Among other things, our Certificate of Incorporation and Bylaws: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303" w:type="dxa"/>
        <w:jc w:val="left"/>
        <w:tblInd w:w="0" w:type="dxa"/>
        <w:tblLayout w:type="fixed"/>
        <w:tblCellMar>
          <w:top w:w="0" w:type="dxa"/>
          <w:left w:w="0" w:type="dxa"/>
          <w:bottom w:w="0" w:type="dxa"/>
          <w:right w:w="0" w:type="dxa"/>
        </w:tblCellMar>
      </w:tblPr>
      <w:tblGrid>
        <w:gridCol w:w="23"/>
        <w:gridCol w:w="95"/>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6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providing for a classified board of directors with staggered, three-year terms;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ability of the Board to issue up to 10,000,000 shares of preferred stock, including “blank check” preferred stock, with any rights, preferences and privileges as they may designate, including the right to approve an acquisition or other change of control;</w:t>
            </w:r>
          </w:p>
        </w:tc>
      </w:tr>
    </w:tbl>
    <w:tbl>
      <w:tblPr>
        <w:tblW w:w="7983" w:type="dxa"/>
        <w:jc w:val="left"/>
        <w:tblInd w:w="0" w:type="dxa"/>
        <w:tblLayout w:type="fixed"/>
        <w:tblCellMar>
          <w:top w:w="0" w:type="dxa"/>
          <w:left w:w="0" w:type="dxa"/>
          <w:bottom w:w="0" w:type="dxa"/>
          <w:right w:w="0" w:type="dxa"/>
        </w:tblCellMar>
      </w:tblPr>
      <w:tblGrid>
        <w:gridCol w:w="23"/>
        <w:gridCol w:w="95"/>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78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provide that the authorized number of directors may be changed only by resolution of the Board;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provide that all vacancies, including newly created directorships, may, except as otherwise required by law, be filled by the affirmative vote of a majority of directors then in office, even if less than a quorum;</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require that any action to be taken by our stockholders must be effected at a duly called annual or special meeting of stockholders and not be taken by written consent or electronic transmission;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provide that special meetings of our stockholders may be called by the chairperson of the Board, the chief executive officer or by the Board pursuant to a resolution adopted by a majority of the total number of authorized directors;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combination of these provisions will make it more difficult for the existing stockholders to replace our board of directors as well as for another party to obtain control of us by replacing our board of directors. Because our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our board of directors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issue preferred stock with voting or other rights or preferences that could impede the success of any attempt to change our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Exclusive Forum of Certain 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Certificate of Incorporation requires, unless we consent in writing to the selection of an alternative forum, that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types of actions or proceedings under Delaware statutory or common law: (i) derivative actions brought on behalf of the Company; (ii) actions against current or former directors, officers or other employees or stockholders of the Company for breach of fiduciary duty to the Company or the Company’s stockholders; (iii) actions against the Company or any current or former director, officer or other employee or stockholder of the Company, arising out of or pursuant to any provision of the DGCL or the Certificate of Incorporation or the Bylaws,: (iv) actions to interpret, apply, enforce or determine the validity of the Certificate of Incorporation or the Bylaws; (v) actions as to which the DGCL confers jurisdiction on the Court of Chancery of the State of Delaware; and (vi) actions against the Company or any current or former director, officer or other employee or stockholder of the Company, governed by the internal-affairs doctrine of the law of the State of Delaware, in all cases to the fullest extent permitted by law and subject to the court having personal jurisdiction over the indispensable parties named as defendants. However, this provision will not apply to claims or actions brought to enforce a duty or liability created by the Securities Act or Exchange Act, or any other claim for which the federal courts have exclusive jurisdiction. The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or causes of action arising under the Securities Act, including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causes of action asserted against any defendant named in such complaint. Additionally, the Certificate of Incorporation provides that any person or entity holding, owning or otherwise acquiring any interest in any of our securities shall be deemed to have notice of and consented to these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we believe this provision benefits us by providing increased consistency in the application of Delaware law in the types of lawsuits to which it applies, the provision may have the effect of discouraging lawsuits against our directors and officers. Additionally, we cannot be certain that a court will decide that this provision is either applicable or enforceable, and if a court were to find the choice of forum provision contained in the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Amendment to Certificate of Incorporation and Bylaws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Certificate of Incorporation provides, in addition to the votes required by law, that the following provisions therein may be amended, altered, repealed or rescinded only by the affirmative of the holders of at least sixty-six and two-thirds percent (66 2/3%) of the voting power of all of the then- outstanding shares of capital stock of common stock and preferred stock entitled to vote generally in the election of directors, voting together as a single class, including provisions regarding the classified board structure, the size of the Board, the election and removal of directors to the Board, the filling of vacancies, the limited liability of directors and officers of Rigetti and exclusive forums for certain 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Bylaws may be amended or repealed (A) by the affirmative vote of a majority of the entire Board then in office, without the assent or vote of any stockholder (subject to any bylaw requiring the affirmative vote of a larger percentage of the members of the Board) or (B) without the approval of the Board, by the affirmative vote of the holders of any class or series of stock of Rigetti required by law or by the Certificate of Incorporation, such action by stockholders requiring the affirmative vote of the holders of at least [sixty-six and two-thirds] percent ([66 2/3]%) of the voting power of all of the then-outstanding shares of the capital stock of Rigetti entitled to vote generally in the election of directors, voting together as a single class.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Agent and Warrant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transfer agent for common stock and warrant agent for the warrants is American Stock Transfer &amp; Trust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Listing of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common stock and public warrants are listed on the Nasdaq Capital Market under the symbols “RGTI” and “RGTIW,” respectively.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334" w:name="rgti-20251231xex10d16.htm"/>
      <w:bookmarkStart w:id="1335" w:name="ksrgti20251231xex10d16"/>
      <w:bookmarkEnd w:id="1334"/>
      <w:bookmarkEnd w:id="1335"/>
      <w:r>
        <w:rPr>
          <w:rFonts w:ascii="Times New Roman;Times;serif" w:hAnsi="Times New Roman;Times;serif"/>
          <w:b/>
          <w:sz w:val="22"/>
        </w:rPr>
        <w:t>Exhibit 10.16</w:t>
      </w:r>
      <w:r>
        <w:br w:type="page"/>
      </w:r>
    </w:p>
    <w:p>
      <w:pPr>
        <w:pStyle w:val="TextBody"/>
        <w:bidi w:val="0"/>
        <w:spacing w:before="0" w:after="0"/>
        <w:ind w:left="2074" w:right="2080" w:hanging="0"/>
        <w:jc w:val="center"/>
        <w:rPr>
          <w:rFonts w:ascii="Times New Roman;Times;serif" w:hAnsi="Times New Roman;Times;serif"/>
          <w:b/>
          <w:sz w:val="28"/>
        </w:rPr>
      </w:pPr>
      <w:r>
        <w:rPr>
          <w:rFonts w:ascii="Times New Roman;Times;serif" w:hAnsi="Times New Roman;Times;serif"/>
          <w:b/>
          <w:smallCaps/>
          <w:spacing w:val="-2"/>
          <w:sz w:val="28"/>
        </w:rPr>
        <w:t>Rigetti</w:t>
      </w:r>
      <w:r>
        <w:rPr>
          <w:rFonts w:ascii="Times New Roman;Times;serif" w:hAnsi="Times New Roman;Times;serif"/>
          <w:b/>
          <w:smallCaps/>
          <w:spacing w:val="11"/>
          <w:sz w:val="28"/>
        </w:rPr>
        <w:t xml:space="preserve"> </w:t>
      </w:r>
      <w:r>
        <w:rPr>
          <w:rFonts w:ascii="Times New Roman;Times;serif" w:hAnsi="Times New Roman;Times;serif"/>
          <w:b/>
          <w:smallCaps/>
          <w:spacing w:val="-2"/>
          <w:sz w:val="28"/>
        </w:rPr>
        <w:t>Computing,</w:t>
      </w:r>
      <w:r>
        <w:rPr>
          <w:rFonts w:ascii="Times New Roman;Times;serif" w:hAnsi="Times New Roman;Times;serif"/>
          <w:b/>
          <w:smallCaps/>
          <w:spacing w:val="-7"/>
          <w:sz w:val="28"/>
        </w:rPr>
        <w:t xml:space="preserve"> </w:t>
      </w:r>
      <w:r>
        <w:rPr>
          <w:rFonts w:ascii="Times New Roman;Times;serif" w:hAnsi="Times New Roman;Times;serif"/>
          <w:b/>
          <w:smallCaps/>
          <w:spacing w:val="-4"/>
          <w:sz w:val="28"/>
        </w:rPr>
        <w:t>Inc.</w:t>
      </w:r>
    </w:p>
    <w:p>
      <w:pPr>
        <w:pStyle w:val="TextBody"/>
        <w:bidi w:val="0"/>
        <w:spacing w:before="0" w:after="0"/>
        <w:ind w:left="2074" w:right="2080" w:hanging="0"/>
        <w:jc w:val="center"/>
        <w:rPr/>
      </w:pPr>
      <w:r>
        <w:rPr/>
        <w:t>​</w:t>
      </w:r>
    </w:p>
    <w:p>
      <w:pPr>
        <w:pStyle w:val="TextBody"/>
        <w:bidi w:val="0"/>
        <w:spacing w:before="0" w:after="0"/>
        <w:ind w:left="2074" w:right="2079" w:hanging="0"/>
        <w:jc w:val="center"/>
        <w:rPr>
          <w:rFonts w:ascii="Times New Roman;Times;serif" w:hAnsi="Times New Roman;Times;serif"/>
          <w:b/>
          <w:sz w:val="22"/>
        </w:rPr>
      </w:pPr>
      <w:r>
        <w:rPr>
          <w:rFonts w:ascii="Times New Roman;Times;serif" w:hAnsi="Times New Roman;Times;serif"/>
          <w:b/>
          <w:smallCaps/>
          <w:sz w:val="22"/>
        </w:rPr>
        <w:t>Non-Employee</w:t>
      </w:r>
      <w:r>
        <w:rPr>
          <w:rFonts w:ascii="Times New Roman;Times;serif" w:hAnsi="Times New Roman;Times;serif"/>
          <w:b/>
          <w:smallCaps/>
          <w:spacing w:val="-12"/>
          <w:sz w:val="22"/>
        </w:rPr>
        <w:t xml:space="preserve"> </w:t>
      </w:r>
      <w:r>
        <w:rPr>
          <w:rFonts w:ascii="Times New Roman;Times;serif" w:hAnsi="Times New Roman;Times;serif"/>
          <w:b/>
          <w:smallCaps/>
          <w:sz w:val="22"/>
        </w:rPr>
        <w:t>Director</w:t>
      </w:r>
      <w:r>
        <w:rPr>
          <w:rFonts w:ascii="Times New Roman;Times;serif" w:hAnsi="Times New Roman;Times;serif"/>
          <w:b/>
          <w:smallCaps/>
          <w:spacing w:val="-11"/>
          <w:sz w:val="22"/>
        </w:rPr>
        <w:t xml:space="preserve"> </w:t>
      </w:r>
      <w:r>
        <w:rPr>
          <w:rFonts w:ascii="Times New Roman;Times;serif" w:hAnsi="Times New Roman;Times;serif"/>
          <w:b/>
          <w:smallCaps/>
          <w:sz w:val="22"/>
        </w:rPr>
        <w:t>Compensation</w:t>
      </w:r>
      <w:r>
        <w:rPr>
          <w:rFonts w:ascii="Times New Roman;Times;serif" w:hAnsi="Times New Roman;Times;serif"/>
          <w:b/>
          <w:smallCaps/>
          <w:spacing w:val="-11"/>
          <w:sz w:val="22"/>
        </w:rPr>
        <w:t xml:space="preserve"> </w:t>
      </w:r>
      <w:r>
        <w:rPr>
          <w:rFonts w:ascii="Times New Roman;Times;serif" w:hAnsi="Times New Roman;Times;serif"/>
          <w:b/>
          <w:smallCaps/>
          <w:sz w:val="22"/>
        </w:rPr>
        <w:t>Policy Effective as of November 25, 2025</w:t>
      </w:r>
    </w:p>
    <w:p>
      <w:pPr>
        <w:pStyle w:val="TextBody"/>
        <w:bidi w:val="0"/>
        <w:spacing w:before="0" w:after="0"/>
        <w:ind w:left="2074" w:right="2079" w:hanging="0"/>
        <w:jc w:val="center"/>
        <w:rPr/>
      </w:pPr>
      <w:r>
        <w:rPr/>
        <w:t>​</w:t>
      </w:r>
    </w:p>
    <w:p>
      <w:pPr>
        <w:pStyle w:val="TextBody"/>
        <w:bidi w:val="0"/>
        <w:spacing w:lineRule="atLeast" w:line="223" w:before="0" w:after="0"/>
        <w:ind w:left="360" w:right="0" w:hanging="0"/>
        <w:jc w:val="both"/>
        <w:rPr>
          <w:rFonts w:ascii="Times New Roman;Times;serif" w:hAnsi="Times New Roman;Times;serif"/>
          <w:sz w:val="22"/>
        </w:rPr>
      </w:pPr>
      <w:r>
        <w:rPr>
          <w:rFonts w:ascii="Times New Roman;Times;serif" w:hAnsi="Times New Roman;Times;serif"/>
          <w:sz w:val="22"/>
        </w:rPr>
        <w:t>Each</w:t>
      </w:r>
      <w:r>
        <w:rPr>
          <w:rFonts w:ascii="Times New Roman;Times;serif" w:hAnsi="Times New Roman;Times;serif"/>
          <w:spacing w:val="28"/>
          <w:sz w:val="22"/>
        </w:rPr>
        <w:t xml:space="preserve"> </w:t>
      </w:r>
      <w:r>
        <w:rPr>
          <w:rFonts w:ascii="Times New Roman;Times;serif" w:hAnsi="Times New Roman;Times;serif"/>
          <w:sz w:val="22"/>
        </w:rPr>
        <w:t>member</w:t>
      </w:r>
      <w:r>
        <w:rPr>
          <w:rFonts w:ascii="Times New Roman;Times;serif" w:hAnsi="Times New Roman;Times;serif"/>
          <w:spacing w:val="32"/>
          <w:sz w:val="22"/>
        </w:rPr>
        <w:t xml:space="preserve"> </w:t>
      </w:r>
      <w:r>
        <w:rPr>
          <w:rFonts w:ascii="Times New Roman;Times;serif" w:hAnsi="Times New Roman;Times;serif"/>
          <w:sz w:val="22"/>
        </w:rPr>
        <w:t>of</w:t>
      </w:r>
      <w:r>
        <w:rPr>
          <w:rFonts w:ascii="Times New Roman;Times;serif" w:hAnsi="Times New Roman;Times;serif"/>
          <w:spacing w:val="32"/>
          <w:sz w:val="22"/>
        </w:rPr>
        <w:t xml:space="preserve"> </w:t>
      </w:r>
      <w:r>
        <w:rPr>
          <w:rFonts w:ascii="Times New Roman;Times;serif" w:hAnsi="Times New Roman;Times;serif"/>
          <w:sz w:val="22"/>
        </w:rPr>
        <w:t>the</w:t>
      </w:r>
      <w:r>
        <w:rPr>
          <w:rFonts w:ascii="Times New Roman;Times;serif" w:hAnsi="Times New Roman;Times;serif"/>
          <w:spacing w:val="32"/>
          <w:sz w:val="22"/>
        </w:rPr>
        <w:t xml:space="preserve"> </w:t>
      </w:r>
      <w:r>
        <w:rPr>
          <w:rFonts w:ascii="Times New Roman;Times;serif" w:hAnsi="Times New Roman;Times;serif"/>
          <w:sz w:val="22"/>
        </w:rPr>
        <w:t>Board</w:t>
      </w:r>
      <w:r>
        <w:rPr>
          <w:rFonts w:ascii="Times New Roman;Times;serif" w:hAnsi="Times New Roman;Times;serif"/>
          <w:spacing w:val="31"/>
          <w:sz w:val="22"/>
        </w:rPr>
        <w:t xml:space="preserve"> </w:t>
      </w:r>
      <w:r>
        <w:rPr>
          <w:rFonts w:ascii="Times New Roman;Times;serif" w:hAnsi="Times New Roman;Times;serif"/>
          <w:sz w:val="22"/>
        </w:rPr>
        <w:t>of</w:t>
      </w:r>
      <w:r>
        <w:rPr>
          <w:rFonts w:ascii="Times New Roman;Times;serif" w:hAnsi="Times New Roman;Times;serif"/>
          <w:spacing w:val="32"/>
          <w:sz w:val="22"/>
        </w:rPr>
        <w:t xml:space="preserve"> </w:t>
      </w:r>
      <w:r>
        <w:rPr>
          <w:rFonts w:ascii="Times New Roman;Times;serif" w:hAnsi="Times New Roman;Times;serif"/>
          <w:sz w:val="22"/>
        </w:rPr>
        <w:t>Directors</w:t>
      </w:r>
      <w:r>
        <w:rPr>
          <w:rFonts w:ascii="Times New Roman;Times;serif" w:hAnsi="Times New Roman;Times;serif"/>
          <w:spacing w:val="31"/>
          <w:sz w:val="22"/>
        </w:rPr>
        <w:t xml:space="preserve"> </w:t>
      </w:r>
      <w:r>
        <w:rPr>
          <w:rFonts w:ascii="Times New Roman;Times;serif" w:hAnsi="Times New Roman;Times;serif"/>
          <w:sz w:val="22"/>
        </w:rPr>
        <w:t>(the</w:t>
      </w:r>
      <w:r>
        <w:rPr>
          <w:rFonts w:ascii="Times New Roman;Times;serif" w:hAnsi="Times New Roman;Times;serif"/>
          <w:spacing w:val="32"/>
          <w:sz w:val="22"/>
        </w:rPr>
        <w:t xml:space="preserve"> </w:t>
      </w:r>
      <w:r>
        <w:rPr>
          <w:rFonts w:ascii="Times New Roman;Times;serif" w:hAnsi="Times New Roman;Times;serif"/>
          <w:sz w:val="22"/>
        </w:rPr>
        <w:t>“</w:t>
      </w:r>
      <w:r>
        <w:rPr>
          <w:rFonts w:ascii="Times New Roman;Times;serif" w:hAnsi="Times New Roman;Times;serif"/>
          <w:b/>
          <w:i/>
          <w:sz w:val="22"/>
        </w:rPr>
        <w:t>Board</w:t>
      </w:r>
      <w:r>
        <w:rPr>
          <w:rFonts w:ascii="Times New Roman;Times;serif" w:hAnsi="Times New Roman;Times;serif"/>
          <w:sz w:val="22"/>
        </w:rPr>
        <w:t>”)</w:t>
      </w:r>
      <w:r>
        <w:rPr>
          <w:rFonts w:ascii="Times New Roman;Times;serif" w:hAnsi="Times New Roman;Times;serif"/>
          <w:spacing w:val="32"/>
          <w:sz w:val="22"/>
        </w:rPr>
        <w:t xml:space="preserve"> </w:t>
      </w:r>
      <w:r>
        <w:rPr>
          <w:rFonts w:ascii="Times New Roman;Times;serif" w:hAnsi="Times New Roman;Times;serif"/>
          <w:sz w:val="22"/>
        </w:rPr>
        <w:t>who</w:t>
      </w:r>
      <w:r>
        <w:rPr>
          <w:rFonts w:ascii="Times New Roman;Times;serif" w:hAnsi="Times New Roman;Times;serif"/>
          <w:spacing w:val="30"/>
          <w:sz w:val="22"/>
        </w:rPr>
        <w:t xml:space="preserve"> </w:t>
      </w:r>
      <w:r>
        <w:rPr>
          <w:rFonts w:ascii="Times New Roman;Times;serif" w:hAnsi="Times New Roman;Times;serif"/>
          <w:sz w:val="22"/>
        </w:rPr>
        <w:t>is</w:t>
      </w:r>
      <w:r>
        <w:rPr>
          <w:rFonts w:ascii="Times New Roman;Times;serif" w:hAnsi="Times New Roman;Times;serif"/>
          <w:spacing w:val="31"/>
          <w:sz w:val="22"/>
        </w:rPr>
        <w:t xml:space="preserve"> </w:t>
      </w:r>
      <w:r>
        <w:rPr>
          <w:rFonts w:ascii="Times New Roman;Times;serif" w:hAnsi="Times New Roman;Times;serif"/>
          <w:sz w:val="22"/>
        </w:rPr>
        <w:t>not</w:t>
      </w:r>
      <w:r>
        <w:rPr>
          <w:rFonts w:ascii="Times New Roman;Times;serif" w:hAnsi="Times New Roman;Times;serif"/>
          <w:spacing w:val="32"/>
          <w:sz w:val="22"/>
        </w:rPr>
        <w:t xml:space="preserve"> </w:t>
      </w:r>
      <w:r>
        <w:rPr>
          <w:rFonts w:ascii="Times New Roman;Times;serif" w:hAnsi="Times New Roman;Times;serif"/>
          <w:sz w:val="22"/>
        </w:rPr>
        <w:t>also</w:t>
      </w:r>
      <w:r>
        <w:rPr>
          <w:rFonts w:ascii="Times New Roman;Times;serif" w:hAnsi="Times New Roman;Times;serif"/>
          <w:spacing w:val="31"/>
          <w:sz w:val="22"/>
        </w:rPr>
        <w:t xml:space="preserve"> </w:t>
      </w:r>
      <w:r>
        <w:rPr>
          <w:rFonts w:ascii="Times New Roman;Times;serif" w:hAnsi="Times New Roman;Times;serif"/>
          <w:sz w:val="22"/>
        </w:rPr>
        <w:t>serving</w:t>
      </w:r>
      <w:r>
        <w:rPr>
          <w:rFonts w:ascii="Times New Roman;Times;serif" w:hAnsi="Times New Roman;Times;serif"/>
          <w:spacing w:val="29"/>
          <w:sz w:val="22"/>
        </w:rPr>
        <w:t xml:space="preserve"> </w:t>
      </w:r>
      <w:r>
        <w:rPr>
          <w:rFonts w:ascii="Times New Roman;Times;serif" w:hAnsi="Times New Roman;Times;serif"/>
          <w:sz w:val="22"/>
        </w:rPr>
        <w:t>as</w:t>
      </w:r>
      <w:r>
        <w:rPr>
          <w:rFonts w:ascii="Times New Roman;Times;serif" w:hAnsi="Times New Roman;Times;serif"/>
          <w:spacing w:val="32"/>
          <w:sz w:val="22"/>
        </w:rPr>
        <w:t xml:space="preserve"> </w:t>
      </w:r>
      <w:r>
        <w:rPr>
          <w:rFonts w:ascii="Times New Roman;Times;serif" w:hAnsi="Times New Roman;Times;serif"/>
          <w:sz w:val="22"/>
        </w:rPr>
        <w:t>an</w:t>
      </w:r>
      <w:r>
        <w:rPr>
          <w:rFonts w:ascii="Times New Roman;Times;serif" w:hAnsi="Times New Roman;Times;serif"/>
          <w:spacing w:val="36"/>
          <w:sz w:val="22"/>
        </w:rPr>
        <w:t xml:space="preserve"> </w:t>
      </w:r>
      <w:r>
        <w:rPr>
          <w:rFonts w:ascii="Times New Roman;Times;serif" w:hAnsi="Times New Roman;Times;serif"/>
          <w:sz w:val="22"/>
        </w:rPr>
        <w:t>employee</w:t>
      </w:r>
      <w:r>
        <w:rPr>
          <w:rFonts w:ascii="Times New Roman;Times;serif" w:hAnsi="Times New Roman;Times;serif"/>
          <w:spacing w:val="31"/>
          <w:sz w:val="22"/>
        </w:rPr>
        <w:t xml:space="preserve"> </w:t>
      </w:r>
      <w:r>
        <w:rPr>
          <w:rFonts w:ascii="Times New Roman;Times;serif" w:hAnsi="Times New Roman;Times;serif"/>
          <w:sz w:val="22"/>
        </w:rPr>
        <w:t>of</w:t>
      </w:r>
      <w:r>
        <w:rPr>
          <w:rFonts w:ascii="Times New Roman;Times;serif" w:hAnsi="Times New Roman;Times;serif"/>
          <w:spacing w:val="32"/>
          <w:sz w:val="22"/>
        </w:rPr>
        <w:t xml:space="preserve"> </w:t>
      </w:r>
      <w:r>
        <w:rPr>
          <w:rFonts w:ascii="Times New Roman;Times;serif" w:hAnsi="Times New Roman;Times;serif"/>
          <w:spacing w:val="-5"/>
          <w:sz w:val="22"/>
        </w:rPr>
        <w:t>or</w:t>
      </w:r>
    </w:p>
    <w:p>
      <w:pPr>
        <w:pStyle w:val="TextBody"/>
        <w:bidi w:val="0"/>
        <w:spacing w:lineRule="auto" w:line="292" w:before="8" w:after="0"/>
        <w:ind w:left="360" w:right="356" w:hanging="0"/>
        <w:jc w:val="both"/>
        <w:rPr>
          <w:rFonts w:ascii="Times New Roman;Times;serif" w:hAnsi="Times New Roman;Times;serif"/>
          <w:sz w:val="22"/>
        </w:rPr>
      </w:pPr>
      <w:r>
        <w:rPr>
          <w:rFonts w:ascii="Times New Roman;Times;serif" w:hAnsi="Times New Roman;Times;serif"/>
          <w:sz w:val="22"/>
        </w:rPr>
        <w:t>consultant to Rigetti Computing, Inc. (the “</w:t>
      </w:r>
      <w:r>
        <w:rPr>
          <w:rFonts w:ascii="Times New Roman;Times;serif" w:hAnsi="Times New Roman;Times;serif"/>
          <w:b/>
          <w:i/>
          <w:sz w:val="22"/>
        </w:rPr>
        <w:t>Company</w:t>
      </w:r>
      <w:r>
        <w:rPr>
          <w:rFonts w:ascii="Times New Roman;Times;serif" w:hAnsi="Times New Roman;Times;serif"/>
          <w:sz w:val="22"/>
        </w:rPr>
        <w:t>”) or any of its subsidiaries (each such member, an “</w:t>
      </w:r>
      <w:r>
        <w:rPr>
          <w:rFonts w:ascii="Times New Roman;Times;serif" w:hAnsi="Times New Roman;Times;serif"/>
          <w:b/>
          <w:i/>
          <w:sz w:val="22"/>
        </w:rPr>
        <w:t>Eligible</w:t>
      </w:r>
      <w:r>
        <w:rPr>
          <w:rFonts w:ascii="Times New Roman;Times;serif" w:hAnsi="Times New Roman;Times;serif"/>
          <w:spacing w:val="-14"/>
          <w:sz w:val="22"/>
        </w:rPr>
        <w:t xml:space="preserve"> </w:t>
      </w:r>
      <w:r>
        <w:rPr>
          <w:rFonts w:ascii="Times New Roman;Times;serif" w:hAnsi="Times New Roman;Times;serif"/>
          <w:b/>
          <w:i/>
          <w:sz w:val="22"/>
        </w:rPr>
        <w:t>Director</w:t>
      </w:r>
      <w:r>
        <w:rPr>
          <w:rFonts w:ascii="Times New Roman;Times;serif" w:hAnsi="Times New Roman;Times;serif"/>
          <w:sz w:val="22"/>
        </w:rPr>
        <w:t>”)</w:t>
      </w:r>
      <w:r>
        <w:rPr>
          <w:rFonts w:ascii="Times New Roman;Times;serif" w:hAnsi="Times New Roman;Times;serif"/>
          <w:spacing w:val="-14"/>
          <w:sz w:val="22"/>
        </w:rPr>
        <w:t xml:space="preserve"> </w:t>
      </w:r>
      <w:r>
        <w:rPr>
          <w:rFonts w:ascii="Times New Roman;Times;serif" w:hAnsi="Times New Roman;Times;serif"/>
          <w:sz w:val="22"/>
        </w:rPr>
        <w:t>will</w:t>
      </w:r>
      <w:r>
        <w:rPr>
          <w:rFonts w:ascii="Times New Roman;Times;serif" w:hAnsi="Times New Roman;Times;serif"/>
          <w:spacing w:val="-14"/>
          <w:sz w:val="22"/>
        </w:rPr>
        <w:t xml:space="preserve"> </w:t>
      </w:r>
      <w:r>
        <w:rPr>
          <w:rFonts w:ascii="Times New Roman;Times;serif" w:hAnsi="Times New Roman;Times;serif"/>
          <w:sz w:val="22"/>
        </w:rPr>
        <w:t>receive</w:t>
      </w:r>
      <w:r>
        <w:rPr>
          <w:rFonts w:ascii="Times New Roman;Times;serif" w:hAnsi="Times New Roman;Times;serif"/>
          <w:spacing w:val="-13"/>
          <w:sz w:val="22"/>
        </w:rPr>
        <w:t xml:space="preserve"> </w:t>
      </w:r>
      <w:r>
        <w:rPr>
          <w:rFonts w:ascii="Times New Roman;Times;serif" w:hAnsi="Times New Roman;Times;serif"/>
          <w:sz w:val="22"/>
        </w:rPr>
        <w:t>the</w:t>
      </w:r>
      <w:r>
        <w:rPr>
          <w:rFonts w:ascii="Times New Roman;Times;serif" w:hAnsi="Times New Roman;Times;serif"/>
          <w:spacing w:val="-14"/>
          <w:sz w:val="22"/>
        </w:rPr>
        <w:t xml:space="preserve"> </w:t>
      </w:r>
      <w:r>
        <w:rPr>
          <w:rFonts w:ascii="Times New Roman;Times;serif" w:hAnsi="Times New Roman;Times;serif"/>
          <w:sz w:val="22"/>
        </w:rPr>
        <w:t>compensation</w:t>
      </w:r>
      <w:r>
        <w:rPr>
          <w:rFonts w:ascii="Times New Roman;Times;serif" w:hAnsi="Times New Roman;Times;serif"/>
          <w:spacing w:val="-14"/>
          <w:sz w:val="22"/>
        </w:rPr>
        <w:t xml:space="preserve"> </w:t>
      </w:r>
      <w:r>
        <w:rPr>
          <w:rFonts w:ascii="Times New Roman;Times;serif" w:hAnsi="Times New Roman;Times;serif"/>
          <w:sz w:val="22"/>
        </w:rPr>
        <w:t>described</w:t>
      </w:r>
      <w:r>
        <w:rPr>
          <w:rFonts w:ascii="Times New Roman;Times;serif" w:hAnsi="Times New Roman;Times;serif"/>
          <w:spacing w:val="-14"/>
          <w:sz w:val="22"/>
        </w:rPr>
        <w:t xml:space="preserve"> </w:t>
      </w:r>
      <w:r>
        <w:rPr>
          <w:rFonts w:ascii="Times New Roman;Times;serif" w:hAnsi="Times New Roman;Times;serif"/>
          <w:sz w:val="22"/>
        </w:rPr>
        <w:t>in</w:t>
      </w:r>
      <w:r>
        <w:rPr>
          <w:rFonts w:ascii="Times New Roman;Times;serif" w:hAnsi="Times New Roman;Times;serif"/>
          <w:spacing w:val="-13"/>
          <w:sz w:val="22"/>
        </w:rPr>
        <w:t xml:space="preserve"> </w:t>
      </w:r>
      <w:r>
        <w:rPr>
          <w:rFonts w:ascii="Times New Roman;Times;serif" w:hAnsi="Times New Roman;Times;serif"/>
          <w:sz w:val="22"/>
        </w:rPr>
        <w:t>this</w:t>
      </w:r>
      <w:r>
        <w:rPr>
          <w:rFonts w:ascii="Times New Roman;Times;serif" w:hAnsi="Times New Roman;Times;serif"/>
          <w:spacing w:val="-14"/>
          <w:sz w:val="22"/>
        </w:rPr>
        <w:t xml:space="preserve"> </w:t>
      </w:r>
      <w:r>
        <w:rPr>
          <w:rFonts w:ascii="Times New Roman;Times;serif" w:hAnsi="Times New Roman;Times;serif"/>
          <w:sz w:val="22"/>
        </w:rPr>
        <w:t>Non-Employee</w:t>
      </w:r>
      <w:r>
        <w:rPr>
          <w:rFonts w:ascii="Times New Roman;Times;serif" w:hAnsi="Times New Roman;Times;serif"/>
          <w:spacing w:val="-14"/>
          <w:sz w:val="22"/>
        </w:rPr>
        <w:t xml:space="preserve"> </w:t>
      </w:r>
      <w:r>
        <w:rPr>
          <w:rFonts w:ascii="Times New Roman;Times;serif" w:hAnsi="Times New Roman;Times;serif"/>
          <w:sz w:val="22"/>
        </w:rPr>
        <w:t>Director</w:t>
      </w:r>
      <w:r>
        <w:rPr>
          <w:rFonts w:ascii="Times New Roman;Times;serif" w:hAnsi="Times New Roman;Times;serif"/>
          <w:spacing w:val="-14"/>
          <w:sz w:val="22"/>
        </w:rPr>
        <w:t xml:space="preserve"> </w:t>
      </w:r>
      <w:r>
        <w:rPr>
          <w:rFonts w:ascii="Times New Roman;Times;serif" w:hAnsi="Times New Roman;Times;serif"/>
          <w:sz w:val="22"/>
        </w:rPr>
        <w:t>Compensation Policy (“</w:t>
      </w:r>
      <w:r>
        <w:rPr>
          <w:rFonts w:ascii="Times New Roman;Times;serif" w:hAnsi="Times New Roman;Times;serif"/>
          <w:b/>
          <w:i/>
          <w:sz w:val="22"/>
        </w:rPr>
        <w:t>Policy</w:t>
      </w:r>
      <w:r>
        <w:rPr>
          <w:rFonts w:ascii="Times New Roman;Times;serif" w:hAnsi="Times New Roman;Times;serif"/>
          <w:sz w:val="22"/>
        </w:rPr>
        <w:t>”) for his or her service on the Board. An Eligible Director may decline all or any portion of his or her compensation by giving notice to the Company prior to the date cash may be paid or equity awards are to be granted, as the case may be, in accordance with this Policy. This Policy is effective as of November 25,</w:t>
      </w:r>
      <w:r>
        <w:rPr>
          <w:rFonts w:ascii="Times New Roman;Times;serif" w:hAnsi="Times New Roman;Times;serif"/>
          <w:spacing w:val="-5"/>
          <w:sz w:val="22"/>
        </w:rPr>
        <w:t xml:space="preserve"> </w:t>
      </w:r>
      <w:r>
        <w:rPr>
          <w:rFonts w:ascii="Times New Roman;Times;serif" w:hAnsi="Times New Roman;Times;serif"/>
          <w:sz w:val="22"/>
        </w:rPr>
        <w:t>2025</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7"/>
          <w:sz w:val="22"/>
        </w:rPr>
        <w:t xml:space="preserve"> </w:t>
      </w:r>
      <w:r>
        <w:rPr>
          <w:rFonts w:ascii="Times New Roman;Times;serif" w:hAnsi="Times New Roman;Times;serif"/>
          <w:sz w:val="22"/>
        </w:rPr>
        <w:t>“</w:t>
      </w:r>
      <w:r>
        <w:rPr>
          <w:rFonts w:ascii="Times New Roman;Times;serif" w:hAnsi="Times New Roman;Times;serif"/>
          <w:b/>
          <w:i/>
          <w:sz w:val="22"/>
        </w:rPr>
        <w:t>Effective</w:t>
      </w:r>
      <w:r>
        <w:rPr>
          <w:rFonts w:ascii="Times New Roman;Times;serif" w:hAnsi="Times New Roman;Times;serif"/>
          <w:spacing w:val="-4"/>
          <w:sz w:val="22"/>
        </w:rPr>
        <w:t xml:space="preserve"> </w:t>
      </w:r>
      <w:r>
        <w:rPr>
          <w:rFonts w:ascii="Times New Roman;Times;serif" w:hAnsi="Times New Roman;Times;serif"/>
          <w:b/>
          <w:i/>
          <w:sz w:val="22"/>
        </w:rPr>
        <w:t>Date</w:t>
      </w:r>
      <w:r>
        <w:rPr>
          <w:rFonts w:ascii="Times New Roman;Times;serif" w:hAnsi="Times New Roman;Times;serif"/>
          <w:sz w:val="22"/>
        </w:rPr>
        <w:t>”)</w:t>
      </w:r>
      <w:r>
        <w:rPr>
          <w:rFonts w:ascii="Times New Roman;Times;serif" w:hAnsi="Times New Roman;Times;serif"/>
          <w:spacing w:val="-6"/>
          <w:sz w:val="22"/>
        </w:rPr>
        <w:t xml:space="preserve"> </w:t>
      </w:r>
      <w:r>
        <w:rPr>
          <w:rFonts w:ascii="Times New Roman;Times;serif" w:hAnsi="Times New Roman;Times;serif"/>
          <w:sz w:val="22"/>
        </w:rPr>
        <w:t>and</w:t>
      </w:r>
      <w:r>
        <w:rPr>
          <w:rFonts w:ascii="Times New Roman;Times;serif" w:hAnsi="Times New Roman;Times;serif"/>
          <w:spacing w:val="-4"/>
          <w:sz w:val="22"/>
        </w:rPr>
        <w:t xml:space="preserve"> </w:t>
      </w:r>
      <w:r>
        <w:rPr>
          <w:rFonts w:ascii="Times New Roman;Times;serif" w:hAnsi="Times New Roman;Times;serif"/>
          <w:sz w:val="22"/>
        </w:rPr>
        <w:t>may</w:t>
      </w:r>
      <w:r>
        <w:rPr>
          <w:rFonts w:ascii="Times New Roman;Times;serif" w:hAnsi="Times New Roman;Times;serif"/>
          <w:spacing w:val="-7"/>
          <w:sz w:val="22"/>
        </w:rPr>
        <w:t xml:space="preserve"> </w:t>
      </w:r>
      <w:r>
        <w:rPr>
          <w:rFonts w:ascii="Times New Roman;Times;serif" w:hAnsi="Times New Roman;Times;serif"/>
          <w:sz w:val="22"/>
        </w:rPr>
        <w:t>be</w:t>
      </w:r>
      <w:r>
        <w:rPr>
          <w:rFonts w:ascii="Times New Roman;Times;serif" w:hAnsi="Times New Roman;Times;serif"/>
          <w:spacing w:val="-4"/>
          <w:sz w:val="22"/>
        </w:rPr>
        <w:t xml:space="preserve"> </w:t>
      </w:r>
      <w:r>
        <w:rPr>
          <w:rFonts w:ascii="Times New Roman;Times;serif" w:hAnsi="Times New Roman;Times;serif"/>
          <w:sz w:val="22"/>
        </w:rPr>
        <w:t>amended</w:t>
      </w:r>
      <w:r>
        <w:rPr>
          <w:rFonts w:ascii="Times New Roman;Times;serif" w:hAnsi="Times New Roman;Times;serif"/>
          <w:spacing w:val="-5"/>
          <w:sz w:val="22"/>
        </w:rPr>
        <w:t xml:space="preserve"> </w:t>
      </w:r>
      <w:r>
        <w:rPr>
          <w:rFonts w:ascii="Times New Roman;Times;serif" w:hAnsi="Times New Roman;Times;serif"/>
          <w:sz w:val="22"/>
        </w:rPr>
        <w:t>at</w:t>
      </w:r>
      <w:r>
        <w:rPr>
          <w:rFonts w:ascii="Times New Roman;Times;serif" w:hAnsi="Times New Roman;Times;serif"/>
          <w:spacing w:val="-4"/>
          <w:sz w:val="22"/>
        </w:rPr>
        <w:t xml:space="preserve"> </w:t>
      </w:r>
      <w:r>
        <w:rPr>
          <w:rFonts w:ascii="Times New Roman;Times;serif" w:hAnsi="Times New Roman;Times;serif"/>
          <w:sz w:val="22"/>
        </w:rPr>
        <w:t>any</w:t>
      </w:r>
      <w:r>
        <w:rPr>
          <w:rFonts w:ascii="Times New Roman;Times;serif" w:hAnsi="Times New Roman;Times;serif"/>
          <w:spacing w:val="-7"/>
          <w:sz w:val="22"/>
        </w:rPr>
        <w:t xml:space="preserve"> </w:t>
      </w:r>
      <w:r>
        <w:rPr>
          <w:rFonts w:ascii="Times New Roman;Times;serif" w:hAnsi="Times New Roman;Times;serif"/>
          <w:sz w:val="22"/>
        </w:rPr>
        <w:t>time</w:t>
      </w:r>
      <w:r>
        <w:rPr>
          <w:rFonts w:ascii="Times New Roman;Times;serif" w:hAnsi="Times New Roman;Times;serif"/>
          <w:spacing w:val="-4"/>
          <w:sz w:val="22"/>
        </w:rPr>
        <w:t xml:space="preserve"> </w:t>
      </w:r>
      <w:r>
        <w:rPr>
          <w:rFonts w:ascii="Times New Roman;Times;serif" w:hAnsi="Times New Roman;Times;serif"/>
          <w:sz w:val="22"/>
        </w:rPr>
        <w:t>in</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sole</w:t>
      </w:r>
      <w:r>
        <w:rPr>
          <w:rFonts w:ascii="Times New Roman;Times;serif" w:hAnsi="Times New Roman;Times;serif"/>
          <w:spacing w:val="-7"/>
          <w:sz w:val="22"/>
        </w:rPr>
        <w:t xml:space="preserve"> </w:t>
      </w:r>
      <w:r>
        <w:rPr>
          <w:rFonts w:ascii="Times New Roman;Times;serif" w:hAnsi="Times New Roman;Times;serif"/>
          <w:sz w:val="22"/>
        </w:rPr>
        <w:t>discretion</w:t>
      </w:r>
      <w:r>
        <w:rPr>
          <w:rFonts w:ascii="Times New Roman;Times;serif" w:hAnsi="Times New Roman;Times;serif"/>
          <w:spacing w:val="-5"/>
          <w:sz w:val="22"/>
        </w:rPr>
        <w:t xml:space="preserve"> </w:t>
      </w:r>
      <w:r>
        <w:rPr>
          <w:rFonts w:ascii="Times New Roman;Times;serif" w:hAnsi="Times New Roman;Times;serif"/>
          <w:sz w:val="22"/>
        </w:rPr>
        <w:t>of</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Board</w:t>
      </w:r>
      <w:r>
        <w:rPr>
          <w:rFonts w:ascii="Times New Roman;Times;serif" w:hAnsi="Times New Roman;Times;serif"/>
          <w:spacing w:val="-5"/>
          <w:sz w:val="22"/>
        </w:rPr>
        <w:t xml:space="preserve"> </w:t>
      </w:r>
      <w:r>
        <w:rPr>
          <w:rFonts w:ascii="Times New Roman;Times;serif" w:hAnsi="Times New Roman;Times;serif"/>
          <w:sz w:val="22"/>
        </w:rPr>
        <w:t>or Compensation Committee of the Board (“</w:t>
      </w:r>
      <w:r>
        <w:rPr>
          <w:rFonts w:ascii="Times New Roman;Times;serif" w:hAnsi="Times New Roman;Times;serif"/>
          <w:b/>
          <w:i/>
          <w:sz w:val="22"/>
        </w:rPr>
        <w:t>Compensation Committee</w:t>
      </w:r>
      <w:r>
        <w:rPr>
          <w:rFonts w:ascii="Times New Roman;Times;serif" w:hAnsi="Times New Roman;Times;serif"/>
          <w:sz w:val="22"/>
        </w:rPr>
        <w:t>”). Capitalized terms not otherwise defined herein shall have the meanings set forth in the Company’s 2022 Equity Incentive Plan, or any successor thereto (the “</w:t>
      </w:r>
      <w:r>
        <w:rPr>
          <w:rFonts w:ascii="Times New Roman;Times;serif" w:hAnsi="Times New Roman;Times;serif"/>
          <w:b/>
          <w:i/>
          <w:sz w:val="22"/>
        </w:rPr>
        <w:t>Plan</w:t>
      </w:r>
      <w:r>
        <w:rPr>
          <w:rFonts w:ascii="Times New Roman;Times;serif" w:hAnsi="Times New Roman;Times;serif"/>
          <w:sz w:val="22"/>
        </w:rPr>
        <w:t>”).</w:t>
      </w:r>
    </w:p>
    <w:p>
      <w:pPr>
        <w:pStyle w:val="TextBody"/>
        <w:bidi w:val="0"/>
        <w:spacing w:before="237" w:after="0"/>
        <w:ind w:left="360" w:right="0" w:hanging="0"/>
        <w:jc w:val="both"/>
        <w:rPr>
          <w:rFonts w:ascii="Times New Roman;Times;serif" w:hAnsi="Times New Roman;Times;serif"/>
          <w:b/>
          <w:sz w:val="22"/>
        </w:rPr>
      </w:pPr>
      <w:r>
        <w:rPr>
          <w:rFonts w:ascii="Times New Roman;Times;serif" w:hAnsi="Times New Roman;Times;serif"/>
          <w:b/>
          <w:sz w:val="22"/>
        </w:rPr>
        <w:t>Annual</w:t>
      </w:r>
      <w:r>
        <w:rPr>
          <w:rFonts w:ascii="Times New Roman;Times;serif" w:hAnsi="Times New Roman;Times;serif"/>
          <w:b/>
          <w:spacing w:val="-2"/>
          <w:sz w:val="22"/>
        </w:rPr>
        <w:t xml:space="preserve"> </w:t>
      </w:r>
      <w:r>
        <w:rPr>
          <w:rFonts w:ascii="Times New Roman;Times;serif" w:hAnsi="Times New Roman;Times;serif"/>
          <w:b/>
          <w:sz w:val="22"/>
        </w:rPr>
        <w:t>Cash</w:t>
      </w:r>
      <w:r>
        <w:rPr>
          <w:rFonts w:ascii="Times New Roman;Times;serif" w:hAnsi="Times New Roman;Times;serif"/>
          <w:b/>
          <w:spacing w:val="-1"/>
          <w:sz w:val="22"/>
        </w:rPr>
        <w:t xml:space="preserve"> </w:t>
      </w:r>
      <w:r>
        <w:rPr>
          <w:rFonts w:ascii="Times New Roman;Times;serif" w:hAnsi="Times New Roman;Times;serif"/>
          <w:b/>
          <w:spacing w:val="-2"/>
          <w:sz w:val="22"/>
        </w:rPr>
        <w:t>Compensation</w:t>
      </w:r>
    </w:p>
    <w:p>
      <w:pPr>
        <w:pStyle w:val="TextBody"/>
        <w:bidi w:val="0"/>
        <w:spacing w:lineRule="auto" w:line="292" w:before="244" w:after="0"/>
        <w:ind w:left="360" w:right="354" w:hanging="0"/>
        <w:jc w:val="both"/>
        <w:rPr>
          <w:rFonts w:ascii="Times New Roman;Times;serif" w:hAnsi="Times New Roman;Times;serif"/>
          <w:sz w:val="22"/>
        </w:rPr>
      </w:pPr>
      <w:r>
        <w:rPr>
          <w:rFonts w:ascii="Times New Roman;Times;serif" w:hAnsi="Times New Roman;Times;serif"/>
          <w:sz w:val="22"/>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the Eligible Director will be paid regular full quarterly payments thereafter. All annual cash fees are vested upon payment. If an Eligible Director terminates service</w:t>
      </w:r>
      <w:r>
        <w:rPr>
          <w:rFonts w:ascii="Times New Roman;Times;serif" w:hAnsi="Times New Roman;Times;serif"/>
          <w:spacing w:val="-9"/>
          <w:sz w:val="22"/>
        </w:rPr>
        <w:t xml:space="preserve"> </w:t>
      </w:r>
      <w:r>
        <w:rPr>
          <w:rFonts w:ascii="Times New Roman;Times;serif" w:hAnsi="Times New Roman;Times;serif"/>
          <w:sz w:val="22"/>
        </w:rPr>
        <w:t>on</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7"/>
          <w:sz w:val="22"/>
        </w:rPr>
        <w:t xml:space="preserve"> </w:t>
      </w:r>
      <w:r>
        <w:rPr>
          <w:rFonts w:ascii="Times New Roman;Times;serif" w:hAnsi="Times New Roman;Times;serif"/>
          <w:sz w:val="22"/>
        </w:rPr>
        <w:t>Board</w:t>
      </w:r>
      <w:r>
        <w:rPr>
          <w:rFonts w:ascii="Times New Roman;Times;serif" w:hAnsi="Times New Roman;Times;serif"/>
          <w:spacing w:val="-10"/>
          <w:sz w:val="22"/>
        </w:rPr>
        <w:t xml:space="preserve"> </w:t>
      </w:r>
      <w:r>
        <w:rPr>
          <w:rFonts w:ascii="Times New Roman;Times;serif" w:hAnsi="Times New Roman;Times;serif"/>
          <w:sz w:val="22"/>
        </w:rPr>
        <w:t>or</w:t>
      </w:r>
      <w:r>
        <w:rPr>
          <w:rFonts w:ascii="Times New Roman;Times;serif" w:hAnsi="Times New Roman;Times;serif"/>
          <w:spacing w:val="-9"/>
          <w:sz w:val="22"/>
        </w:rPr>
        <w:t xml:space="preserve"> </w:t>
      </w:r>
      <w:r>
        <w:rPr>
          <w:rFonts w:ascii="Times New Roman;Times;serif" w:hAnsi="Times New Roman;Times;serif"/>
          <w:sz w:val="22"/>
        </w:rPr>
        <w:t>a</w:t>
      </w:r>
      <w:r>
        <w:rPr>
          <w:rFonts w:ascii="Times New Roman;Times;serif" w:hAnsi="Times New Roman;Times;serif"/>
          <w:spacing w:val="-9"/>
          <w:sz w:val="22"/>
        </w:rPr>
        <w:t xml:space="preserve"> </w:t>
      </w:r>
      <w:r>
        <w:rPr>
          <w:rFonts w:ascii="Times New Roman;Times;serif" w:hAnsi="Times New Roman;Times;serif"/>
          <w:sz w:val="22"/>
        </w:rPr>
        <w:t>committee</w:t>
      </w:r>
      <w:r>
        <w:rPr>
          <w:rFonts w:ascii="Times New Roman;Times;serif" w:hAnsi="Times New Roman;Times;serif"/>
          <w:spacing w:val="-7"/>
          <w:sz w:val="22"/>
        </w:rPr>
        <w:t xml:space="preserve"> </w:t>
      </w:r>
      <w:r>
        <w:rPr>
          <w:rFonts w:ascii="Times New Roman;Times;serif" w:hAnsi="Times New Roman;Times;serif"/>
          <w:sz w:val="22"/>
        </w:rPr>
        <w:t>during</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9"/>
          <w:sz w:val="22"/>
        </w:rPr>
        <w:t xml:space="preserve"> </w:t>
      </w:r>
      <w:r>
        <w:rPr>
          <w:rFonts w:ascii="Times New Roman;Times;serif" w:hAnsi="Times New Roman;Times;serif"/>
          <w:sz w:val="22"/>
        </w:rPr>
        <w:t>course</w:t>
      </w:r>
      <w:r>
        <w:rPr>
          <w:rFonts w:ascii="Times New Roman;Times;serif" w:hAnsi="Times New Roman;Times;serif"/>
          <w:spacing w:val="-9"/>
          <w:sz w:val="22"/>
        </w:rPr>
        <w:t xml:space="preserve"> </w:t>
      </w:r>
      <w:r>
        <w:rPr>
          <w:rFonts w:ascii="Times New Roman;Times;serif" w:hAnsi="Times New Roman;Times;serif"/>
          <w:sz w:val="22"/>
        </w:rPr>
        <w:t>of</w:t>
      </w:r>
      <w:r>
        <w:rPr>
          <w:rFonts w:ascii="Times New Roman;Times;serif" w:hAnsi="Times New Roman;Times;serif"/>
          <w:spacing w:val="-6"/>
          <w:sz w:val="22"/>
        </w:rPr>
        <w:t xml:space="preserve"> </w:t>
      </w:r>
      <w:r>
        <w:rPr>
          <w:rFonts w:ascii="Times New Roman;Times;serif" w:hAnsi="Times New Roman;Times;serif"/>
          <w:sz w:val="22"/>
        </w:rPr>
        <w:t>a</w:t>
      </w:r>
      <w:r>
        <w:rPr>
          <w:rFonts w:ascii="Times New Roman;Times;serif" w:hAnsi="Times New Roman;Times;serif"/>
          <w:spacing w:val="-9"/>
          <w:sz w:val="22"/>
        </w:rPr>
        <w:t xml:space="preserve"> </w:t>
      </w:r>
      <w:r>
        <w:rPr>
          <w:rFonts w:ascii="Times New Roman;Times;serif" w:hAnsi="Times New Roman;Times;serif"/>
          <w:sz w:val="22"/>
        </w:rPr>
        <w:t>fiscal</w:t>
      </w:r>
      <w:r>
        <w:rPr>
          <w:rFonts w:ascii="Times New Roman;Times;serif" w:hAnsi="Times New Roman;Times;serif"/>
          <w:spacing w:val="-8"/>
          <w:sz w:val="22"/>
        </w:rPr>
        <w:t xml:space="preserve"> </w:t>
      </w:r>
      <w:r>
        <w:rPr>
          <w:rFonts w:ascii="Times New Roman;Times;serif" w:hAnsi="Times New Roman;Times;serif"/>
          <w:sz w:val="22"/>
        </w:rPr>
        <w:t>quarter,</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7"/>
          <w:sz w:val="22"/>
        </w:rPr>
        <w:t xml:space="preserve"> </w:t>
      </w:r>
      <w:r>
        <w:rPr>
          <w:rFonts w:ascii="Times New Roman;Times;serif" w:hAnsi="Times New Roman;Times;serif"/>
          <w:sz w:val="22"/>
        </w:rPr>
        <w:t>annual</w:t>
      </w:r>
      <w:r>
        <w:rPr>
          <w:rFonts w:ascii="Times New Roman;Times;serif" w:hAnsi="Times New Roman;Times;serif"/>
          <w:spacing w:val="-8"/>
          <w:sz w:val="22"/>
        </w:rPr>
        <w:t xml:space="preserve"> </w:t>
      </w:r>
      <w:r>
        <w:rPr>
          <w:rFonts w:ascii="Times New Roman;Times;serif" w:hAnsi="Times New Roman;Times;serif"/>
          <w:sz w:val="22"/>
        </w:rPr>
        <w:t>retainer</w:t>
      </w:r>
      <w:r>
        <w:rPr>
          <w:rFonts w:ascii="Times New Roman;Times;serif" w:hAnsi="Times New Roman;Times;serif"/>
          <w:spacing w:val="-6"/>
          <w:sz w:val="22"/>
        </w:rPr>
        <w:t xml:space="preserve"> </w:t>
      </w:r>
      <w:r>
        <w:rPr>
          <w:rFonts w:ascii="Times New Roman;Times;serif" w:hAnsi="Times New Roman;Times;serif"/>
          <w:sz w:val="22"/>
        </w:rPr>
        <w:t>amount</w:t>
      </w:r>
      <w:r>
        <w:rPr>
          <w:rFonts w:ascii="Times New Roman;Times;serif" w:hAnsi="Times New Roman;Times;serif"/>
          <w:spacing w:val="-8"/>
          <w:sz w:val="22"/>
        </w:rPr>
        <w:t xml:space="preserve"> </w:t>
      </w:r>
      <w:r>
        <w:rPr>
          <w:rFonts w:ascii="Times New Roman;Times;serif" w:hAnsi="Times New Roman;Times;serif"/>
          <w:sz w:val="22"/>
        </w:rPr>
        <w:t>for</w:t>
      </w:r>
      <w:r>
        <w:rPr>
          <w:rFonts w:ascii="Times New Roman;Times;serif" w:hAnsi="Times New Roman;Times;serif"/>
          <w:spacing w:val="-9"/>
          <w:sz w:val="22"/>
        </w:rPr>
        <w:t xml:space="preserve"> </w:t>
      </w:r>
      <w:r>
        <w:rPr>
          <w:rFonts w:ascii="Times New Roman;Times;serif" w:hAnsi="Times New Roman;Times;serif"/>
          <w:sz w:val="22"/>
        </w:rPr>
        <w:t>the fiscal</w:t>
      </w:r>
      <w:r>
        <w:rPr>
          <w:rFonts w:ascii="Times New Roman;Times;serif" w:hAnsi="Times New Roman;Times;serif"/>
          <w:spacing w:val="-16"/>
          <w:sz w:val="22"/>
        </w:rPr>
        <w:t xml:space="preserve"> </w:t>
      </w:r>
      <w:r>
        <w:rPr>
          <w:rFonts w:ascii="Times New Roman;Times;serif" w:hAnsi="Times New Roman;Times;serif"/>
          <w:sz w:val="22"/>
        </w:rPr>
        <w:t>quarter</w:t>
      </w:r>
      <w:r>
        <w:rPr>
          <w:rFonts w:ascii="Times New Roman;Times;serif" w:hAnsi="Times New Roman;Times;serif"/>
          <w:spacing w:val="-14"/>
          <w:sz w:val="22"/>
        </w:rPr>
        <w:t xml:space="preserve"> </w:t>
      </w:r>
      <w:r>
        <w:rPr>
          <w:rFonts w:ascii="Times New Roman;Times;serif" w:hAnsi="Times New Roman;Times;serif"/>
          <w:sz w:val="22"/>
        </w:rPr>
        <w:t>in</w:t>
      </w:r>
      <w:r>
        <w:rPr>
          <w:rFonts w:ascii="Times New Roman;Times;serif" w:hAnsi="Times New Roman;Times;serif"/>
          <w:spacing w:val="-12"/>
          <w:sz w:val="22"/>
        </w:rPr>
        <w:t xml:space="preserve"> </w:t>
      </w:r>
      <w:r>
        <w:rPr>
          <w:rFonts w:ascii="Times New Roman;Times;serif" w:hAnsi="Times New Roman;Times;serif"/>
          <w:sz w:val="22"/>
        </w:rPr>
        <w:t>which</w:t>
      </w:r>
      <w:r>
        <w:rPr>
          <w:rFonts w:ascii="Times New Roman;Times;serif" w:hAnsi="Times New Roman;Times;serif"/>
          <w:spacing w:val="-14"/>
          <w:sz w:val="22"/>
        </w:rPr>
        <w:t xml:space="preserve"> </w:t>
      </w:r>
      <w:r>
        <w:rPr>
          <w:rFonts w:ascii="Times New Roman;Times;serif" w:hAnsi="Times New Roman;Times;serif"/>
          <w:sz w:val="22"/>
        </w:rPr>
        <w:t>such</w:t>
      </w:r>
      <w:r>
        <w:rPr>
          <w:rFonts w:ascii="Times New Roman;Times;serif" w:hAnsi="Times New Roman;Times;serif"/>
          <w:spacing w:val="-13"/>
          <w:sz w:val="22"/>
        </w:rPr>
        <w:t xml:space="preserve"> </w:t>
      </w:r>
      <w:r>
        <w:rPr>
          <w:rFonts w:ascii="Times New Roman;Times;serif" w:hAnsi="Times New Roman;Times;serif"/>
          <w:sz w:val="22"/>
        </w:rPr>
        <w:t>termination</w:t>
      </w:r>
      <w:r>
        <w:rPr>
          <w:rFonts w:ascii="Times New Roman;Times;serif" w:hAnsi="Times New Roman;Times;serif"/>
          <w:spacing w:val="-14"/>
          <w:sz w:val="22"/>
        </w:rPr>
        <w:t xml:space="preserve"> </w:t>
      </w:r>
      <w:r>
        <w:rPr>
          <w:rFonts w:ascii="Times New Roman;Times;serif" w:hAnsi="Times New Roman;Times;serif"/>
          <w:sz w:val="22"/>
        </w:rPr>
        <w:t>occurs</w:t>
      </w:r>
      <w:r>
        <w:rPr>
          <w:rFonts w:ascii="Times New Roman;Times;serif" w:hAnsi="Times New Roman;Times;serif"/>
          <w:spacing w:val="-11"/>
          <w:sz w:val="22"/>
        </w:rPr>
        <w:t xml:space="preserve"> </w:t>
      </w:r>
      <w:r>
        <w:rPr>
          <w:rFonts w:ascii="Times New Roman;Times;serif" w:hAnsi="Times New Roman;Times;serif"/>
          <w:sz w:val="22"/>
        </w:rPr>
        <w:t>will</w:t>
      </w:r>
      <w:r>
        <w:rPr>
          <w:rFonts w:ascii="Times New Roman;Times;serif" w:hAnsi="Times New Roman;Times;serif"/>
          <w:spacing w:val="-14"/>
          <w:sz w:val="22"/>
        </w:rPr>
        <w:t xml:space="preserve"> </w:t>
      </w:r>
      <w:r>
        <w:rPr>
          <w:rFonts w:ascii="Times New Roman;Times;serif" w:hAnsi="Times New Roman;Times;serif"/>
          <w:sz w:val="22"/>
        </w:rPr>
        <w:t>be</w:t>
      </w:r>
      <w:r>
        <w:rPr>
          <w:rFonts w:ascii="Times New Roman;Times;serif" w:hAnsi="Times New Roman;Times;serif"/>
          <w:spacing w:val="-10"/>
          <w:sz w:val="22"/>
        </w:rPr>
        <w:t xml:space="preserve"> </w:t>
      </w:r>
      <w:r>
        <w:rPr>
          <w:rFonts w:ascii="Times New Roman;Times;serif" w:hAnsi="Times New Roman;Times;serif"/>
          <w:sz w:val="22"/>
        </w:rPr>
        <w:t>pro-rated</w:t>
      </w:r>
      <w:r>
        <w:rPr>
          <w:rFonts w:ascii="Times New Roman;Times;serif" w:hAnsi="Times New Roman;Times;serif"/>
          <w:spacing w:val="-11"/>
          <w:sz w:val="22"/>
        </w:rPr>
        <w:t xml:space="preserve"> </w:t>
      </w:r>
      <w:r>
        <w:rPr>
          <w:rFonts w:ascii="Times New Roman;Times;serif" w:hAnsi="Times New Roman;Times;serif"/>
          <w:sz w:val="22"/>
        </w:rPr>
        <w:t>based</w:t>
      </w:r>
      <w:r>
        <w:rPr>
          <w:rFonts w:ascii="Times New Roman;Times;serif" w:hAnsi="Times New Roman;Times;serif"/>
          <w:spacing w:val="-13"/>
          <w:sz w:val="22"/>
        </w:rPr>
        <w:t xml:space="preserve"> </w:t>
      </w:r>
      <w:r>
        <w:rPr>
          <w:rFonts w:ascii="Times New Roman;Times;serif" w:hAnsi="Times New Roman;Times;serif"/>
          <w:sz w:val="22"/>
        </w:rPr>
        <w:t>on</w:t>
      </w:r>
      <w:r>
        <w:rPr>
          <w:rFonts w:ascii="Times New Roman;Times;serif" w:hAnsi="Times New Roman;Times;serif"/>
          <w:spacing w:val="-14"/>
          <w:sz w:val="22"/>
        </w:rPr>
        <w:t xml:space="preserve"> </w:t>
      </w:r>
      <w:r>
        <w:rPr>
          <w:rFonts w:ascii="Times New Roman;Times;serif" w:hAnsi="Times New Roman;Times;serif"/>
          <w:sz w:val="22"/>
        </w:rPr>
        <w:t>days</w:t>
      </w:r>
      <w:r>
        <w:rPr>
          <w:rFonts w:ascii="Times New Roman;Times;serif" w:hAnsi="Times New Roman;Times;serif"/>
          <w:spacing w:val="-11"/>
          <w:sz w:val="22"/>
        </w:rPr>
        <w:t xml:space="preserve"> </w:t>
      </w:r>
      <w:r>
        <w:rPr>
          <w:rFonts w:ascii="Times New Roman;Times;serif" w:hAnsi="Times New Roman;Times;serif"/>
          <w:sz w:val="22"/>
        </w:rPr>
        <w:t>served</w:t>
      </w:r>
      <w:r>
        <w:rPr>
          <w:rFonts w:ascii="Times New Roman;Times;serif" w:hAnsi="Times New Roman;Times;serif"/>
          <w:spacing w:val="-13"/>
          <w:sz w:val="22"/>
        </w:rPr>
        <w:t xml:space="preserve"> </w:t>
      </w:r>
      <w:r>
        <w:rPr>
          <w:rFonts w:ascii="Times New Roman;Times;serif" w:hAnsi="Times New Roman;Times;serif"/>
          <w:sz w:val="22"/>
        </w:rPr>
        <w:t>in</w:t>
      </w:r>
      <w:r>
        <w:rPr>
          <w:rFonts w:ascii="Times New Roman;Times;serif" w:hAnsi="Times New Roman;Times;serif"/>
          <w:spacing w:val="-12"/>
          <w:sz w:val="22"/>
        </w:rPr>
        <w:t xml:space="preserve"> </w:t>
      </w:r>
      <w:r>
        <w:rPr>
          <w:rFonts w:ascii="Times New Roman;Times;serif" w:hAnsi="Times New Roman;Times;serif"/>
          <w:sz w:val="22"/>
        </w:rPr>
        <w:t>such</w:t>
      </w:r>
      <w:r>
        <w:rPr>
          <w:rFonts w:ascii="Times New Roman;Times;serif" w:hAnsi="Times New Roman;Times;serif"/>
          <w:spacing w:val="-13"/>
          <w:sz w:val="22"/>
        </w:rPr>
        <w:t xml:space="preserve"> </w:t>
      </w:r>
      <w:r>
        <w:rPr>
          <w:rFonts w:ascii="Times New Roman;Times;serif" w:hAnsi="Times New Roman;Times;serif"/>
          <w:sz w:val="22"/>
        </w:rPr>
        <w:t>fiscal</w:t>
      </w:r>
      <w:r>
        <w:rPr>
          <w:rFonts w:ascii="Times New Roman;Times;serif" w:hAnsi="Times New Roman;Times;serif"/>
          <w:spacing w:val="-13"/>
          <w:sz w:val="22"/>
        </w:rPr>
        <w:t xml:space="preserve"> </w:t>
      </w:r>
      <w:r>
        <w:rPr>
          <w:rFonts w:ascii="Times New Roman;Times;serif" w:hAnsi="Times New Roman;Times;serif"/>
          <w:spacing w:val="-2"/>
          <w:sz w:val="22"/>
        </w:rPr>
        <w:t>quarter.</w:t>
      </w:r>
    </w:p>
    <w:p>
      <w:pPr>
        <w:pStyle w:val="TextBody"/>
        <w:bidi w:val="0"/>
        <w:spacing w:lineRule="auto" w:line="292" w:before="229" w:after="0"/>
        <w:ind w:left="360" w:right="355" w:hanging="0"/>
        <w:jc w:val="both"/>
        <w:rPr>
          <w:rFonts w:ascii="Times New Roman;Times;serif" w:hAnsi="Times New Roman;Times;serif"/>
          <w:sz w:val="22"/>
        </w:rPr>
      </w:pPr>
      <w:r>
        <w:rPr>
          <w:rFonts w:ascii="Times New Roman;Times;serif" w:hAnsi="Times New Roman;Times;serif"/>
          <w:sz w:val="22"/>
        </w:rPr>
        <w:t>Effective as of the Company’s fiscal quarter commencing April 1, 2025, each Eligible Director will be entitled to receive the following annual cash retainers for service on the Board:</w:t>
      </w:r>
    </w:p>
    <w:p>
      <w:pPr>
        <w:pStyle w:val="TextBody"/>
        <w:bidi w:val="0"/>
        <w:spacing w:before="42" w:after="0"/>
        <w:ind w:left="0" w:right="0" w:hanging="0"/>
        <w:jc w:val="left"/>
        <w:rPr/>
      </w:pPr>
      <w:r>
        <w:rPr/>
        <w:t>​</w:t>
      </w:r>
    </w:p>
    <w:tbl>
      <w:tblPr>
        <w:tblW w:w="3408" w:type="dxa"/>
        <w:jc w:val="left"/>
        <w:tblInd w:w="0" w:type="dxa"/>
        <w:tblLayout w:type="fixed"/>
        <w:tblCellMar>
          <w:top w:w="0" w:type="dxa"/>
          <w:left w:w="0" w:type="dxa"/>
          <w:bottom w:w="0" w:type="dxa"/>
          <w:right w:w="0" w:type="dxa"/>
        </w:tblCellMar>
      </w:tblPr>
      <w:tblGrid>
        <w:gridCol w:w="301"/>
        <w:gridCol w:w="3107"/>
      </w:tblGrid>
      <w:tr>
        <w:trPr/>
        <w:tc>
          <w:tcPr>
            <w:tcW w:w="301" w:type="dxa"/>
            <w:tcBorders/>
            <w:vAlign w:val="center"/>
          </w:tcPr>
          <w:p>
            <w:pPr>
              <w:pStyle w:val="TableContents"/>
              <w:bidi w:val="0"/>
              <w:spacing w:lineRule="atLeast" w:line="225" w:before="0" w:after="0"/>
              <w:ind w:left="0" w:right="0" w:hanging="0"/>
              <w:jc w:val="left"/>
              <w:rPr>
                <w:rFonts w:ascii="Times New Roman;Times;serif" w:hAnsi="Times New Roman;Times;serif"/>
                <w:spacing w:val="-5"/>
                <w:sz w:val="22"/>
              </w:rPr>
            </w:pPr>
            <w:r>
              <w:rPr>
                <w:rFonts w:ascii="Times New Roman;Times;serif" w:hAnsi="Times New Roman;Times;serif"/>
                <w:spacing w:val="-5"/>
                <w:sz w:val="22"/>
              </w:rPr>
              <w:t>1.</w:t>
            </w:r>
          </w:p>
        </w:tc>
        <w:tc>
          <w:tcPr>
            <w:tcW w:w="3107" w:type="dxa"/>
            <w:tcBorders/>
            <w:vAlign w:val="center"/>
          </w:tcPr>
          <w:p>
            <w:pPr>
              <w:pStyle w:val="TableContents"/>
              <w:bidi w:val="0"/>
              <w:spacing w:lineRule="atLeast" w:line="225" w:before="0" w:after="0"/>
              <w:ind w:left="176" w:right="0" w:hanging="0"/>
              <w:jc w:val="left"/>
              <w:rPr>
                <w:rFonts w:ascii="Times New Roman;Times;serif" w:hAnsi="Times New Roman;Times;serif"/>
                <w:sz w:val="22"/>
              </w:rPr>
            </w:pPr>
            <w:r>
              <w:rPr>
                <w:rFonts w:ascii="Times New Roman;Times;serif" w:hAnsi="Times New Roman;Times;serif"/>
                <w:sz w:val="22"/>
                <w:u w:val="single"/>
              </w:rPr>
              <w:t>Annual</w:t>
            </w:r>
            <w:r>
              <w:rPr>
                <w:rFonts w:ascii="Times New Roman;Times;serif" w:hAnsi="Times New Roman;Times;serif"/>
                <w:spacing w:val="-3"/>
                <w:sz w:val="22"/>
                <w:u w:val="single"/>
              </w:rPr>
              <w:t xml:space="preserve"> </w:t>
            </w:r>
            <w:r>
              <w:rPr>
                <w:rFonts w:ascii="Times New Roman;Times;serif" w:hAnsi="Times New Roman;Times;serif"/>
                <w:sz w:val="22"/>
                <w:u w:val="single"/>
              </w:rPr>
              <w:t>Board</w:t>
            </w:r>
            <w:r>
              <w:rPr>
                <w:rFonts w:ascii="Times New Roman;Times;serif" w:hAnsi="Times New Roman;Times;serif"/>
                <w:spacing w:val="-3"/>
                <w:sz w:val="22"/>
                <w:u w:val="single"/>
              </w:rPr>
              <w:t xml:space="preserve"> </w:t>
            </w:r>
            <w:r>
              <w:rPr>
                <w:rFonts w:ascii="Times New Roman;Times;serif" w:hAnsi="Times New Roman;Times;serif"/>
                <w:sz w:val="22"/>
                <w:u w:val="single"/>
              </w:rPr>
              <w:t>Service</w:t>
            </w:r>
            <w:r>
              <w:rPr>
                <w:rFonts w:ascii="Times New Roman;Times;serif" w:hAnsi="Times New Roman;Times;serif"/>
                <w:spacing w:val="-3"/>
                <w:sz w:val="22"/>
                <w:u w:val="single"/>
              </w:rPr>
              <w:t xml:space="preserve"> </w:t>
            </w:r>
            <w:r>
              <w:rPr>
                <w:rFonts w:ascii="Times New Roman;Times;serif" w:hAnsi="Times New Roman;Times;serif"/>
                <w:spacing w:val="-2"/>
                <w:sz w:val="22"/>
                <w:u w:val="single"/>
              </w:rPr>
              <w:t>Retainer</w:t>
            </w:r>
            <w:r>
              <w:rPr>
                <w:rFonts w:ascii="Times New Roman;Times;serif" w:hAnsi="Times New Roman;Times;serif"/>
                <w:spacing w:val="-2"/>
                <w:sz w:val="22"/>
              </w:rPr>
              <w:t>:</w:t>
            </w:r>
          </w:p>
        </w:tc>
      </w:tr>
    </w:tbl>
    <w:tbl>
      <w:tblPr>
        <w:tblW w:w="2781" w:type="dxa"/>
        <w:jc w:val="left"/>
        <w:tblInd w:w="0" w:type="dxa"/>
        <w:tblLayout w:type="fixed"/>
        <w:tblCellMar>
          <w:top w:w="0" w:type="dxa"/>
          <w:left w:w="0" w:type="dxa"/>
          <w:bottom w:w="0" w:type="dxa"/>
          <w:right w:w="0" w:type="dxa"/>
        </w:tblCellMar>
      </w:tblPr>
      <w:tblGrid>
        <w:gridCol w:w="23"/>
        <w:gridCol w:w="185"/>
        <w:gridCol w:w="257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257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w:t>
            </w:r>
            <w:r>
              <w:rPr>
                <w:caps w:val="false"/>
                <w:smallCaps w:val="false"/>
                <w:spacing w:val="-7"/>
              </w:rPr>
              <w:t xml:space="preserve"> </w:t>
            </w:r>
            <w:r>
              <w:rPr>
                <w:rFonts w:ascii="Times New Roman;Times;serif" w:hAnsi="Times New Roman;Times;serif"/>
                <w:b w:val="false"/>
                <w:i w:val="false"/>
                <w:caps w:val="false"/>
                <w:smallCaps w:val="false"/>
                <w:sz w:val="20"/>
              </w:rPr>
              <w:t>Eligible</w:t>
            </w:r>
            <w:r>
              <w:rPr>
                <w:caps w:val="false"/>
                <w:smallCaps w:val="false"/>
                <w:spacing w:val="-6"/>
              </w:rPr>
              <w:t xml:space="preserve"> </w:t>
            </w:r>
            <w:r>
              <w:rPr>
                <w:rFonts w:ascii="Times New Roman;Times;serif" w:hAnsi="Times New Roman;Times;serif"/>
                <w:b w:val="false"/>
                <w:i w:val="false"/>
                <w:caps w:val="false"/>
                <w:smallCaps w:val="false"/>
                <w:sz w:val="20"/>
              </w:rPr>
              <w:t>Directors:</w:t>
            </w:r>
            <w:r>
              <w:rPr>
                <w:caps w:val="false"/>
                <w:smallCaps w:val="false"/>
                <w:spacing w:val="-6"/>
              </w:rPr>
              <w:t xml:space="preserve"> </w:t>
            </w:r>
            <w:r>
              <w:rPr>
                <w:rFonts w:ascii="Times New Roman;Times;serif" w:hAnsi="Times New Roman;Times;serif"/>
                <w:b w:val="false"/>
                <w:i w:val="false"/>
                <w:caps w:val="false"/>
                <w:smallCaps w:val="false"/>
                <w:spacing w:val="-2"/>
                <w:sz w:val="20"/>
              </w:rPr>
              <w:t>$40,000</w:t>
            </w:r>
          </w:p>
        </w:tc>
      </w:tr>
    </w:tbl>
    <w:tbl>
      <w:tblPr>
        <w:tblW w:w="6006" w:type="dxa"/>
        <w:jc w:val="left"/>
        <w:tblInd w:w="0" w:type="dxa"/>
        <w:tblLayout w:type="fixed"/>
        <w:tblCellMar>
          <w:top w:w="0" w:type="dxa"/>
          <w:left w:w="0" w:type="dxa"/>
          <w:bottom w:w="0" w:type="dxa"/>
          <w:right w:w="0" w:type="dxa"/>
        </w:tblCellMar>
      </w:tblPr>
      <w:tblGrid>
        <w:gridCol w:w="23"/>
        <w:gridCol w:w="200"/>
        <w:gridCol w:w="578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578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Non-Executive</w:t>
            </w:r>
            <w:r>
              <w:rPr>
                <w:caps w:val="false"/>
                <w:smallCaps w:val="false"/>
                <w:spacing w:val="-7"/>
              </w:rPr>
              <w:t xml:space="preserve"> </w:t>
            </w:r>
            <w:r>
              <w:rPr>
                <w:rFonts w:ascii="Times New Roman;Times;serif" w:hAnsi="Times New Roman;Times;serif"/>
                <w:b w:val="false"/>
                <w:i w:val="false"/>
                <w:caps w:val="false"/>
                <w:smallCaps w:val="false"/>
                <w:sz w:val="20"/>
              </w:rPr>
              <w:t>Chair</w:t>
            </w:r>
            <w:r>
              <w:rPr>
                <w:caps w:val="false"/>
                <w:smallCaps w:val="false"/>
                <w:spacing w:val="-4"/>
              </w:rPr>
              <w:t xml:space="preserve"> </w:t>
            </w:r>
            <w:r>
              <w:rPr>
                <w:rFonts w:ascii="Times New Roman;Times;serif" w:hAnsi="Times New Roman;Times;serif"/>
                <w:b w:val="false"/>
                <w:i w:val="false"/>
                <w:caps w:val="false"/>
                <w:smallCaps w:val="false"/>
                <w:sz w:val="20"/>
              </w:rPr>
              <w:t>(in</w:t>
            </w:r>
            <w:r>
              <w:rPr>
                <w:caps w:val="false"/>
                <w:smallCaps w:val="false"/>
                <w:spacing w:val="-6"/>
              </w:rPr>
              <w:t xml:space="preserve"> </w:t>
            </w:r>
            <w:r>
              <w:rPr>
                <w:rFonts w:ascii="Times New Roman;Times;serif" w:hAnsi="Times New Roman;Times;serif"/>
                <w:b w:val="false"/>
                <w:i w:val="false"/>
                <w:caps w:val="false"/>
                <w:smallCaps w:val="false"/>
                <w:sz w:val="20"/>
              </w:rPr>
              <w:t>addition</w:t>
            </w:r>
            <w:r>
              <w:rPr>
                <w:caps w:val="false"/>
                <w:smallCaps w:val="false"/>
                <w:spacing w:val="-4"/>
              </w:rPr>
              <w:t xml:space="preserve"> </w:t>
            </w:r>
            <w:r>
              <w:rPr>
                <w:rFonts w:ascii="Times New Roman;Times;serif" w:hAnsi="Times New Roman;Times;serif"/>
                <w:b w:val="false"/>
                <w:i w:val="false"/>
                <w:caps w:val="false"/>
                <w:smallCaps w:val="false"/>
                <w:sz w:val="20"/>
              </w:rPr>
              <w:t>to</w:t>
            </w:r>
            <w:r>
              <w:rPr>
                <w:caps w:val="false"/>
                <w:smallCaps w:val="false"/>
                <w:spacing w:val="-7"/>
              </w:rPr>
              <w:t xml:space="preserve"> </w:t>
            </w:r>
            <w:r>
              <w:rPr>
                <w:rFonts w:ascii="Times New Roman;Times;serif" w:hAnsi="Times New Roman;Times;serif"/>
                <w:b w:val="false"/>
                <w:i w:val="false"/>
                <w:caps w:val="false"/>
                <w:smallCaps w:val="false"/>
                <w:sz w:val="20"/>
              </w:rPr>
              <w:t>annual</w:t>
            </w:r>
            <w:r>
              <w:rPr>
                <w:caps w:val="false"/>
                <w:smallCaps w:val="false"/>
                <w:spacing w:val="-3"/>
              </w:rPr>
              <w:t xml:space="preserve"> </w:t>
            </w:r>
            <w:r>
              <w:rPr>
                <w:rFonts w:ascii="Times New Roman;Times;serif" w:hAnsi="Times New Roman;Times;serif"/>
                <w:b w:val="false"/>
                <w:i w:val="false"/>
                <w:caps w:val="false"/>
                <w:smallCaps w:val="false"/>
                <w:sz w:val="20"/>
              </w:rPr>
              <w:t>service</w:t>
            </w:r>
            <w:r>
              <w:rPr>
                <w:caps w:val="false"/>
                <w:smallCaps w:val="false"/>
                <w:spacing w:val="-4"/>
              </w:rPr>
              <w:t xml:space="preserve"> </w:t>
            </w:r>
            <w:r>
              <w:rPr>
                <w:rFonts w:ascii="Times New Roman;Times;serif" w:hAnsi="Times New Roman;Times;serif"/>
                <w:b w:val="false"/>
                <w:i w:val="false"/>
                <w:caps w:val="false"/>
                <w:smallCaps w:val="false"/>
                <w:sz w:val="20"/>
              </w:rPr>
              <w:t>retainer):</w:t>
            </w:r>
            <w:r>
              <w:rPr>
                <w:caps w:val="false"/>
                <w:smallCaps w:val="false"/>
                <w:spacing w:val="-3"/>
              </w:rPr>
              <w:t xml:space="preserve"> </w:t>
            </w:r>
            <w:r>
              <w:rPr>
                <w:rFonts w:ascii="Times New Roman;Times;serif" w:hAnsi="Times New Roman;Times;serif"/>
                <w:b w:val="false"/>
                <w:i w:val="false"/>
                <w:caps w:val="false"/>
                <w:smallCaps w:val="false"/>
                <w:spacing w:val="-2"/>
                <w:sz w:val="20"/>
              </w:rPr>
              <w:t>$37,500</w:t>
            </w:r>
          </w:p>
        </w:tc>
      </w:tr>
    </w:tbl>
    <w:p>
      <w:pPr>
        <w:pStyle w:val="TextBody"/>
        <w:bidi w:val="0"/>
        <w:spacing w:before="97" w:after="0"/>
        <w:ind w:left="0" w:right="0" w:hanging="0"/>
        <w:jc w:val="left"/>
        <w:rPr/>
      </w:pPr>
      <w:r>
        <w:rPr/>
        <w:t>​</w:t>
      </w:r>
    </w:p>
    <w:tbl>
      <w:tblPr>
        <w:tblW w:w="4428" w:type="dxa"/>
        <w:jc w:val="left"/>
        <w:tblInd w:w="0" w:type="dxa"/>
        <w:tblLayout w:type="fixed"/>
        <w:tblCellMar>
          <w:top w:w="0" w:type="dxa"/>
          <w:left w:w="0" w:type="dxa"/>
          <w:bottom w:w="0" w:type="dxa"/>
          <w:right w:w="0" w:type="dxa"/>
        </w:tblCellMar>
      </w:tblPr>
      <w:tblGrid>
        <w:gridCol w:w="301"/>
        <w:gridCol w:w="4127"/>
      </w:tblGrid>
      <w:tr>
        <w:trPr/>
        <w:tc>
          <w:tcPr>
            <w:tcW w:w="301" w:type="dxa"/>
            <w:tcBorders/>
            <w:vAlign w:val="center"/>
          </w:tcPr>
          <w:p>
            <w:pPr>
              <w:pStyle w:val="TableContents"/>
              <w:bidi w:val="0"/>
              <w:spacing w:lineRule="atLeast" w:line="225" w:before="0" w:after="0"/>
              <w:ind w:left="0" w:right="0" w:hanging="0"/>
              <w:jc w:val="left"/>
              <w:rPr>
                <w:rFonts w:ascii="Times New Roman;Times;serif" w:hAnsi="Times New Roman;Times;serif"/>
                <w:spacing w:val="-5"/>
                <w:sz w:val="22"/>
              </w:rPr>
            </w:pPr>
            <w:r>
              <w:rPr>
                <w:rFonts w:ascii="Times New Roman;Times;serif" w:hAnsi="Times New Roman;Times;serif"/>
                <w:spacing w:val="-5"/>
                <w:sz w:val="22"/>
              </w:rPr>
              <w:t>2.</w:t>
            </w:r>
          </w:p>
        </w:tc>
        <w:tc>
          <w:tcPr>
            <w:tcW w:w="4127" w:type="dxa"/>
            <w:tcBorders/>
            <w:vAlign w:val="center"/>
          </w:tcPr>
          <w:p>
            <w:pPr>
              <w:pStyle w:val="TableContents"/>
              <w:bidi w:val="0"/>
              <w:spacing w:lineRule="atLeast" w:line="225" w:before="0" w:after="0"/>
              <w:ind w:left="111" w:right="0" w:hanging="0"/>
              <w:jc w:val="left"/>
              <w:rPr>
                <w:rFonts w:ascii="Times New Roman;Times;serif" w:hAnsi="Times New Roman;Times;serif"/>
                <w:sz w:val="22"/>
              </w:rPr>
            </w:pPr>
            <w:r>
              <w:rPr>
                <w:rFonts w:ascii="Times New Roman;Times;serif" w:hAnsi="Times New Roman;Times;serif"/>
                <w:sz w:val="22"/>
                <w:u w:val="single"/>
              </w:rPr>
              <w:t>Annual</w:t>
            </w:r>
            <w:r>
              <w:rPr>
                <w:rFonts w:ascii="Times New Roman;Times;serif" w:hAnsi="Times New Roman;Times;serif"/>
                <w:spacing w:val="-4"/>
                <w:sz w:val="22"/>
                <w:u w:val="single"/>
              </w:rPr>
              <w:t xml:space="preserve"> </w:t>
            </w:r>
            <w:r>
              <w:rPr>
                <w:rFonts w:ascii="Times New Roman;Times;serif" w:hAnsi="Times New Roman;Times;serif"/>
                <w:sz w:val="22"/>
                <w:u w:val="single"/>
              </w:rPr>
              <w:t>Committee</w:t>
            </w:r>
            <w:r>
              <w:rPr>
                <w:rFonts w:ascii="Times New Roman;Times;serif" w:hAnsi="Times New Roman;Times;serif"/>
                <w:spacing w:val="-5"/>
                <w:sz w:val="22"/>
                <w:u w:val="single"/>
              </w:rPr>
              <w:t xml:space="preserve"> </w:t>
            </w:r>
            <w:r>
              <w:rPr>
                <w:rFonts w:ascii="Times New Roman;Times;serif" w:hAnsi="Times New Roman;Times;serif"/>
                <w:sz w:val="22"/>
                <w:u w:val="single"/>
              </w:rPr>
              <w:t>Chair</w:t>
            </w:r>
            <w:r>
              <w:rPr>
                <w:rFonts w:ascii="Times New Roman;Times;serif" w:hAnsi="Times New Roman;Times;serif"/>
                <w:spacing w:val="-5"/>
                <w:sz w:val="22"/>
                <w:u w:val="single"/>
              </w:rPr>
              <w:t xml:space="preserve"> </w:t>
            </w:r>
            <w:r>
              <w:rPr>
                <w:rFonts w:ascii="Times New Roman;Times;serif" w:hAnsi="Times New Roman;Times;serif"/>
                <w:sz w:val="22"/>
                <w:u w:val="single"/>
              </w:rPr>
              <w:t>Service</w:t>
            </w:r>
            <w:r>
              <w:rPr>
                <w:rFonts w:ascii="Times New Roman;Times;serif" w:hAnsi="Times New Roman;Times;serif"/>
                <w:spacing w:val="-4"/>
                <w:sz w:val="22"/>
                <w:u w:val="single"/>
              </w:rPr>
              <w:t xml:space="preserve"> </w:t>
            </w:r>
            <w:r>
              <w:rPr>
                <w:rFonts w:ascii="Times New Roman;Times;serif" w:hAnsi="Times New Roman;Times;serif"/>
                <w:spacing w:val="-2"/>
                <w:sz w:val="22"/>
                <w:u w:val="single"/>
              </w:rPr>
              <w:t>Retainer</w:t>
            </w:r>
            <w:r>
              <w:rPr>
                <w:rFonts w:ascii="Times New Roman;Times;serif" w:hAnsi="Times New Roman;Times;serif"/>
                <w:spacing w:val="-2"/>
                <w:sz w:val="22"/>
              </w:rPr>
              <w:t>:</w:t>
            </w:r>
          </w:p>
        </w:tc>
      </w:tr>
    </w:tbl>
    <w:tbl>
      <w:tblPr>
        <w:tblW w:w="3486" w:type="dxa"/>
        <w:jc w:val="left"/>
        <w:tblInd w:w="0" w:type="dxa"/>
        <w:tblLayout w:type="fixed"/>
        <w:tblCellMar>
          <w:top w:w="0" w:type="dxa"/>
          <w:left w:w="0" w:type="dxa"/>
          <w:bottom w:w="0" w:type="dxa"/>
          <w:right w:w="0" w:type="dxa"/>
        </w:tblCellMar>
      </w:tblPr>
      <w:tblGrid>
        <w:gridCol w:w="23"/>
        <w:gridCol w:w="185"/>
        <w:gridCol w:w="3278"/>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32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Chair</w:t>
            </w:r>
            <w:r>
              <w:rPr>
                <w:caps w:val="false"/>
                <w:smallCaps w:val="false"/>
                <w:spacing w:val="-5"/>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4"/>
              </w:rPr>
              <w:t xml:space="preserve"> </w:t>
            </w:r>
            <w:r>
              <w:rPr>
                <w:rFonts w:ascii="Times New Roman;Times;serif" w:hAnsi="Times New Roman;Times;serif"/>
                <w:b w:val="false"/>
                <w:i w:val="false"/>
                <w:caps w:val="false"/>
                <w:smallCaps w:val="false"/>
                <w:sz w:val="20"/>
              </w:rPr>
              <w:t>Audit</w:t>
            </w:r>
            <w:r>
              <w:rPr>
                <w:caps w:val="false"/>
                <w:smallCaps w:val="false"/>
                <w:spacing w:val="-3"/>
              </w:rPr>
              <w:t xml:space="preserve"> </w:t>
            </w:r>
            <w:r>
              <w:rPr>
                <w:rFonts w:ascii="Times New Roman;Times;serif" w:hAnsi="Times New Roman;Times;serif"/>
                <w:b w:val="false"/>
                <w:i w:val="false"/>
                <w:caps w:val="false"/>
                <w:smallCaps w:val="false"/>
                <w:sz w:val="20"/>
              </w:rPr>
              <w:t>Committee:</w:t>
            </w:r>
            <w:r>
              <w:rPr>
                <w:caps w:val="false"/>
                <w:smallCaps w:val="false"/>
                <w:spacing w:val="-5"/>
              </w:rPr>
              <w:t xml:space="preserve"> </w:t>
            </w:r>
            <w:r>
              <w:rPr>
                <w:rFonts w:ascii="Times New Roman;Times;serif" w:hAnsi="Times New Roman;Times;serif"/>
                <w:b w:val="false"/>
                <w:i w:val="false"/>
                <w:caps w:val="false"/>
                <w:smallCaps w:val="false"/>
                <w:spacing w:val="-2"/>
                <w:sz w:val="20"/>
              </w:rPr>
              <w:t>$20,000</w:t>
            </w:r>
          </w:p>
        </w:tc>
      </w:tr>
    </w:tbl>
    <w:tbl>
      <w:tblPr>
        <w:tblW w:w="4221" w:type="dxa"/>
        <w:jc w:val="left"/>
        <w:tblInd w:w="0" w:type="dxa"/>
        <w:tblLayout w:type="fixed"/>
        <w:tblCellMar>
          <w:top w:w="0" w:type="dxa"/>
          <w:left w:w="0" w:type="dxa"/>
          <w:bottom w:w="0" w:type="dxa"/>
          <w:right w:w="0" w:type="dxa"/>
        </w:tblCellMar>
      </w:tblPr>
      <w:tblGrid>
        <w:gridCol w:w="23"/>
        <w:gridCol w:w="200"/>
        <w:gridCol w:w="3998"/>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39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Chair</w:t>
            </w:r>
            <w:r>
              <w:rPr>
                <w:caps w:val="false"/>
                <w:smallCaps w:val="false"/>
                <w:spacing w:val="-5"/>
              </w:rPr>
              <w:t xml:space="preserve"> </w:t>
            </w:r>
            <w:r>
              <w:rPr>
                <w:rFonts w:ascii="Times New Roman;Times;serif" w:hAnsi="Times New Roman;Times;serif"/>
                <w:b w:val="false"/>
                <w:i w:val="false"/>
                <w:caps w:val="false"/>
                <w:smallCaps w:val="false"/>
                <w:sz w:val="20"/>
              </w:rPr>
              <w:t>of</w:t>
            </w:r>
            <w:r>
              <w:rPr>
                <w:caps w:val="false"/>
                <w:smallCaps w:val="false"/>
                <w:spacing w:val="-5"/>
              </w:rPr>
              <w:t xml:space="preserve"> </w:t>
            </w:r>
            <w:r>
              <w:rPr>
                <w:rFonts w:ascii="Times New Roman;Times;serif" w:hAnsi="Times New Roman;Times;serif"/>
                <w:b w:val="false"/>
                <w:i w:val="false"/>
                <w:caps w:val="false"/>
                <w:smallCaps w:val="false"/>
                <w:sz w:val="20"/>
              </w:rPr>
              <w:t>the</w:t>
            </w:r>
            <w:r>
              <w:rPr>
                <w:caps w:val="false"/>
                <w:smallCaps w:val="false"/>
                <w:spacing w:val="-6"/>
              </w:rPr>
              <w:t xml:space="preserve"> </w:t>
            </w:r>
            <w:r>
              <w:rPr>
                <w:rFonts w:ascii="Times New Roman;Times;serif" w:hAnsi="Times New Roman;Times;serif"/>
                <w:b w:val="false"/>
                <w:i w:val="false"/>
                <w:caps w:val="false"/>
                <w:smallCaps w:val="false"/>
                <w:sz w:val="20"/>
              </w:rPr>
              <w:t>Compensation</w:t>
            </w:r>
            <w:r>
              <w:rPr>
                <w:caps w:val="false"/>
                <w:smallCaps w:val="false"/>
                <w:spacing w:val="-4"/>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pacing w:val="-2"/>
                <w:sz w:val="20"/>
              </w:rPr>
              <w:t>$15,000</w:t>
            </w:r>
          </w:p>
        </w:tc>
      </w:tr>
    </w:tbl>
    <w:tbl>
      <w:tblPr>
        <w:tblW w:w="6261" w:type="dxa"/>
        <w:jc w:val="left"/>
        <w:tblInd w:w="0" w:type="dxa"/>
        <w:tblLayout w:type="fixed"/>
        <w:tblCellMar>
          <w:top w:w="0" w:type="dxa"/>
          <w:left w:w="0" w:type="dxa"/>
          <w:bottom w:w="0" w:type="dxa"/>
          <w:right w:w="0" w:type="dxa"/>
        </w:tblCellMar>
      </w:tblPr>
      <w:tblGrid>
        <w:gridCol w:w="23"/>
        <w:gridCol w:w="185"/>
        <w:gridCol w:w="605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60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Chair</w:t>
            </w:r>
            <w:r>
              <w:rPr>
                <w:caps w:val="false"/>
                <w:smallCaps w:val="false"/>
                <w:spacing w:val="-7"/>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4"/>
              </w:rPr>
              <w:t xml:space="preserve"> </w:t>
            </w:r>
            <w:r>
              <w:rPr>
                <w:rFonts w:ascii="Times New Roman;Times;serif" w:hAnsi="Times New Roman;Times;serif"/>
                <w:b w:val="false"/>
                <w:i w:val="false"/>
                <w:caps w:val="false"/>
                <w:smallCaps w:val="false"/>
                <w:sz w:val="20"/>
              </w:rPr>
              <w:t>Nominating</w:t>
            </w:r>
            <w:r>
              <w:rPr>
                <w:caps w:val="false"/>
                <w:smallCaps w:val="false"/>
                <w:spacing w:val="-6"/>
              </w:rPr>
              <w:t xml:space="preserve"> </w:t>
            </w:r>
            <w:r>
              <w:rPr>
                <w:rFonts w:ascii="Times New Roman;Times;serif" w:hAnsi="Times New Roman;Times;serif"/>
                <w:b w:val="false"/>
                <w:i w:val="false"/>
                <w:caps w:val="false"/>
                <w:smallCaps w:val="false"/>
                <w:sz w:val="20"/>
              </w:rPr>
              <w:t>and</w:t>
            </w:r>
            <w:r>
              <w:rPr>
                <w:caps w:val="false"/>
                <w:smallCaps w:val="false"/>
                <w:spacing w:val="-4"/>
              </w:rPr>
              <w:t xml:space="preserve"> </w:t>
            </w:r>
            <w:r>
              <w:rPr>
                <w:rFonts w:ascii="Times New Roman;Times;serif" w:hAnsi="Times New Roman;Times;serif"/>
                <w:b w:val="false"/>
                <w:i w:val="false"/>
                <w:caps w:val="false"/>
                <w:smallCaps w:val="false"/>
                <w:sz w:val="20"/>
              </w:rPr>
              <w:t>Corporate</w:t>
            </w:r>
            <w:r>
              <w:rPr>
                <w:caps w:val="false"/>
                <w:smallCaps w:val="false"/>
                <w:spacing w:val="-4"/>
              </w:rPr>
              <w:t xml:space="preserve"> </w:t>
            </w:r>
            <w:r>
              <w:rPr>
                <w:rFonts w:ascii="Times New Roman;Times;serif" w:hAnsi="Times New Roman;Times;serif"/>
                <w:b w:val="false"/>
                <w:i w:val="false"/>
                <w:caps w:val="false"/>
                <w:smallCaps w:val="false"/>
                <w:sz w:val="20"/>
              </w:rPr>
              <w:t>Governance</w:t>
            </w:r>
            <w:r>
              <w:rPr>
                <w:caps w:val="false"/>
                <w:smallCaps w:val="false"/>
                <w:spacing w:val="-6"/>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pacing w:val="-2"/>
                <w:sz w:val="20"/>
              </w:rPr>
              <w:t>$10,000</w:t>
            </w:r>
          </w:p>
        </w:tc>
      </w:tr>
    </w:tbl>
    <w:p>
      <w:pPr>
        <w:pStyle w:val="TextBody"/>
        <w:bidi w:val="0"/>
        <w:spacing w:before="97" w:after="0"/>
        <w:ind w:left="0" w:right="0" w:hanging="0"/>
        <w:jc w:val="left"/>
        <w:rPr/>
      </w:pPr>
      <w:r>
        <w:rPr/>
        <w:t>​</w:t>
      </w:r>
    </w:p>
    <w:tbl>
      <w:tblPr>
        <w:tblW w:w="8212" w:type="dxa"/>
        <w:jc w:val="left"/>
        <w:tblInd w:w="0" w:type="dxa"/>
        <w:tblLayout w:type="fixed"/>
        <w:tblCellMar>
          <w:top w:w="0" w:type="dxa"/>
          <w:left w:w="0" w:type="dxa"/>
          <w:bottom w:w="0" w:type="dxa"/>
          <w:right w:w="0" w:type="dxa"/>
        </w:tblCellMar>
      </w:tblPr>
      <w:tblGrid>
        <w:gridCol w:w="301"/>
        <w:gridCol w:w="7911"/>
      </w:tblGrid>
      <w:tr>
        <w:trPr/>
        <w:tc>
          <w:tcPr>
            <w:tcW w:w="301" w:type="dxa"/>
            <w:tcBorders/>
            <w:vAlign w:val="center"/>
          </w:tcPr>
          <w:p>
            <w:pPr>
              <w:pStyle w:val="TableContents"/>
              <w:bidi w:val="0"/>
              <w:spacing w:lineRule="atLeast" w:line="225" w:before="0" w:after="0"/>
              <w:ind w:left="0" w:right="0" w:hanging="0"/>
              <w:jc w:val="left"/>
              <w:rPr>
                <w:rFonts w:ascii="Times New Roman;Times;serif" w:hAnsi="Times New Roman;Times;serif"/>
                <w:spacing w:val="-5"/>
                <w:sz w:val="22"/>
              </w:rPr>
            </w:pPr>
            <w:r>
              <w:rPr>
                <w:rFonts w:ascii="Times New Roman;Times;serif" w:hAnsi="Times New Roman;Times;serif"/>
                <w:spacing w:val="-5"/>
                <w:sz w:val="22"/>
              </w:rPr>
              <w:t>3.</w:t>
            </w:r>
          </w:p>
        </w:tc>
        <w:tc>
          <w:tcPr>
            <w:tcW w:w="7911" w:type="dxa"/>
            <w:tcBorders/>
            <w:vAlign w:val="center"/>
          </w:tcPr>
          <w:p>
            <w:pPr>
              <w:pStyle w:val="TableContents"/>
              <w:bidi w:val="0"/>
              <w:spacing w:lineRule="atLeast" w:line="225" w:before="0" w:after="0"/>
              <w:ind w:left="19" w:right="0" w:hanging="0"/>
              <w:jc w:val="left"/>
              <w:rPr>
                <w:rFonts w:ascii="Times New Roman;Times;serif" w:hAnsi="Times New Roman;Times;serif"/>
                <w:sz w:val="22"/>
              </w:rPr>
            </w:pPr>
            <w:r>
              <w:rPr>
                <w:rFonts w:ascii="Times New Roman;Times;serif" w:hAnsi="Times New Roman;Times;serif"/>
                <w:sz w:val="22"/>
                <w:u w:val="single"/>
              </w:rPr>
              <w:t>Annual</w:t>
            </w:r>
            <w:r>
              <w:rPr>
                <w:rFonts w:ascii="Times New Roman;Times;serif" w:hAnsi="Times New Roman;Times;serif"/>
                <w:spacing w:val="-7"/>
                <w:sz w:val="22"/>
                <w:u w:val="single"/>
              </w:rPr>
              <w:t xml:space="preserve"> </w:t>
            </w:r>
            <w:r>
              <w:rPr>
                <w:rFonts w:ascii="Times New Roman;Times;serif" w:hAnsi="Times New Roman;Times;serif"/>
                <w:sz w:val="22"/>
                <w:u w:val="single"/>
              </w:rPr>
              <w:t>Committee</w:t>
            </w:r>
            <w:r>
              <w:rPr>
                <w:rFonts w:ascii="Times New Roman;Times;serif" w:hAnsi="Times New Roman;Times;serif"/>
                <w:spacing w:val="-5"/>
                <w:sz w:val="22"/>
                <w:u w:val="single"/>
              </w:rPr>
              <w:t xml:space="preserve"> </w:t>
            </w:r>
            <w:r>
              <w:rPr>
                <w:rFonts w:ascii="Times New Roman;Times;serif" w:hAnsi="Times New Roman;Times;serif"/>
                <w:sz w:val="22"/>
                <w:u w:val="single"/>
              </w:rPr>
              <w:t>Member</w:t>
            </w:r>
            <w:r>
              <w:rPr>
                <w:rFonts w:ascii="Times New Roman;Times;serif" w:hAnsi="Times New Roman;Times;serif"/>
                <w:spacing w:val="-4"/>
                <w:sz w:val="22"/>
                <w:u w:val="single"/>
              </w:rPr>
              <w:t xml:space="preserve"> </w:t>
            </w:r>
            <w:r>
              <w:rPr>
                <w:rFonts w:ascii="Times New Roman;Times;serif" w:hAnsi="Times New Roman;Times;serif"/>
                <w:sz w:val="22"/>
                <w:u w:val="single"/>
              </w:rPr>
              <w:t>Service</w:t>
            </w:r>
            <w:r>
              <w:rPr>
                <w:rFonts w:ascii="Times New Roman;Times;serif" w:hAnsi="Times New Roman;Times;serif"/>
                <w:spacing w:val="-5"/>
                <w:sz w:val="22"/>
                <w:u w:val="single"/>
              </w:rPr>
              <w:t xml:space="preserve"> </w:t>
            </w:r>
            <w:r>
              <w:rPr>
                <w:rFonts w:ascii="Times New Roman;Times;serif" w:hAnsi="Times New Roman;Times;serif"/>
                <w:sz w:val="22"/>
                <w:u w:val="single"/>
              </w:rPr>
              <w:t>Retainer</w:t>
            </w:r>
            <w:r>
              <w:rPr>
                <w:rFonts w:ascii="Times New Roman;Times;serif" w:hAnsi="Times New Roman;Times;serif"/>
                <w:spacing w:val="-7"/>
                <w:sz w:val="22"/>
                <w:u w:val="single"/>
              </w:rPr>
              <w:t xml:space="preserve"> </w:t>
            </w:r>
            <w:r>
              <w:rPr>
                <w:rFonts w:ascii="Times New Roman;Times;serif" w:hAnsi="Times New Roman;Times;serif"/>
                <w:sz w:val="22"/>
                <w:u w:val="single"/>
              </w:rPr>
              <w:t>(not</w:t>
            </w:r>
            <w:r>
              <w:rPr>
                <w:rFonts w:ascii="Times New Roman;Times;serif" w:hAnsi="Times New Roman;Times;serif"/>
                <w:spacing w:val="-4"/>
                <w:sz w:val="22"/>
                <w:u w:val="single"/>
              </w:rPr>
              <w:t xml:space="preserve"> </w:t>
            </w:r>
            <w:r>
              <w:rPr>
                <w:rFonts w:ascii="Times New Roman;Times;serif" w:hAnsi="Times New Roman;Times;serif"/>
                <w:sz w:val="22"/>
                <w:u w:val="single"/>
              </w:rPr>
              <w:t>applicable</w:t>
            </w:r>
            <w:r>
              <w:rPr>
                <w:rFonts w:ascii="Times New Roman;Times;serif" w:hAnsi="Times New Roman;Times;serif"/>
                <w:spacing w:val="-6"/>
                <w:sz w:val="22"/>
                <w:u w:val="single"/>
              </w:rPr>
              <w:t xml:space="preserve"> </w:t>
            </w:r>
            <w:r>
              <w:rPr>
                <w:rFonts w:ascii="Times New Roman;Times;serif" w:hAnsi="Times New Roman;Times;serif"/>
                <w:sz w:val="22"/>
                <w:u w:val="single"/>
              </w:rPr>
              <w:t>to</w:t>
            </w:r>
            <w:r>
              <w:rPr>
                <w:rFonts w:ascii="Times New Roman;Times;serif" w:hAnsi="Times New Roman;Times;serif"/>
                <w:spacing w:val="-5"/>
                <w:sz w:val="22"/>
                <w:u w:val="single"/>
              </w:rPr>
              <w:t xml:space="preserve"> </w:t>
            </w:r>
            <w:r>
              <w:rPr>
                <w:rFonts w:ascii="Times New Roman;Times;serif" w:hAnsi="Times New Roman;Times;serif"/>
                <w:sz w:val="22"/>
                <w:u w:val="single"/>
              </w:rPr>
              <w:t>Committee</w:t>
            </w:r>
            <w:r>
              <w:rPr>
                <w:rFonts w:ascii="Times New Roman;Times;serif" w:hAnsi="Times New Roman;Times;serif"/>
                <w:spacing w:val="-5"/>
                <w:sz w:val="22"/>
                <w:u w:val="single"/>
              </w:rPr>
              <w:t xml:space="preserve"> </w:t>
            </w:r>
            <w:r>
              <w:rPr>
                <w:rFonts w:ascii="Times New Roman;Times;serif" w:hAnsi="Times New Roman;Times;serif"/>
                <w:spacing w:val="-2"/>
                <w:sz w:val="22"/>
                <w:u w:val="single"/>
              </w:rPr>
              <w:t>Chairs)</w:t>
            </w:r>
            <w:r>
              <w:rPr>
                <w:rFonts w:ascii="Times New Roman;Times;serif" w:hAnsi="Times New Roman;Times;serif"/>
                <w:spacing w:val="-2"/>
                <w:sz w:val="22"/>
              </w:rPr>
              <w:t>:</w:t>
            </w:r>
          </w:p>
        </w:tc>
      </w:tr>
    </w:tbl>
    <w:tbl>
      <w:tblPr>
        <w:tblW w:w="3711" w:type="dxa"/>
        <w:jc w:val="left"/>
        <w:tblInd w:w="0" w:type="dxa"/>
        <w:tblLayout w:type="fixed"/>
        <w:tblCellMar>
          <w:top w:w="0" w:type="dxa"/>
          <w:left w:w="0" w:type="dxa"/>
          <w:bottom w:w="0" w:type="dxa"/>
          <w:right w:w="0" w:type="dxa"/>
        </w:tblCellMar>
      </w:tblPr>
      <w:tblGrid>
        <w:gridCol w:w="23"/>
        <w:gridCol w:w="185"/>
        <w:gridCol w:w="350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35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Member</w:t>
            </w:r>
            <w:r>
              <w:rPr>
                <w:caps w:val="false"/>
                <w:smallCaps w:val="false"/>
                <w:spacing w:val="-4"/>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5"/>
              </w:rPr>
              <w:t xml:space="preserve"> </w:t>
            </w:r>
            <w:r>
              <w:rPr>
                <w:rFonts w:ascii="Times New Roman;Times;serif" w:hAnsi="Times New Roman;Times;serif"/>
                <w:b w:val="false"/>
                <w:i w:val="false"/>
                <w:caps w:val="false"/>
                <w:smallCaps w:val="false"/>
                <w:sz w:val="20"/>
              </w:rPr>
              <w:t>Audit</w:t>
            </w:r>
            <w:r>
              <w:rPr>
                <w:caps w:val="false"/>
                <w:smallCaps w:val="false"/>
                <w:spacing w:val="-3"/>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pacing w:val="-2"/>
                <w:sz w:val="20"/>
              </w:rPr>
              <w:t>$10,000</w:t>
            </w:r>
          </w:p>
        </w:tc>
      </w:tr>
    </w:tbl>
    <w:tbl>
      <w:tblPr>
        <w:tblW w:w="4343" w:type="dxa"/>
        <w:jc w:val="left"/>
        <w:tblInd w:w="0" w:type="dxa"/>
        <w:tblLayout w:type="fixed"/>
        <w:tblCellMar>
          <w:top w:w="0" w:type="dxa"/>
          <w:left w:w="0" w:type="dxa"/>
          <w:bottom w:w="0" w:type="dxa"/>
          <w:right w:w="0" w:type="dxa"/>
        </w:tblCellMar>
      </w:tblPr>
      <w:tblGrid>
        <w:gridCol w:w="23"/>
        <w:gridCol w:w="200"/>
        <w:gridCol w:w="41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41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Member</w:t>
            </w:r>
            <w:r>
              <w:rPr>
                <w:caps w:val="false"/>
                <w:smallCaps w:val="false"/>
                <w:spacing w:val="-4"/>
              </w:rPr>
              <w:t xml:space="preserve"> </w:t>
            </w:r>
            <w:r>
              <w:rPr>
                <w:rFonts w:ascii="Times New Roman;Times;serif" w:hAnsi="Times New Roman;Times;serif"/>
                <w:b w:val="false"/>
                <w:i w:val="false"/>
                <w:caps w:val="false"/>
                <w:smallCaps w:val="false"/>
                <w:sz w:val="20"/>
              </w:rPr>
              <w:t>of</w:t>
            </w:r>
            <w:r>
              <w:rPr>
                <w:caps w:val="false"/>
                <w:smallCaps w:val="false"/>
                <w:spacing w:val="-6"/>
              </w:rPr>
              <w:t xml:space="preserve"> </w:t>
            </w:r>
            <w:r>
              <w:rPr>
                <w:rFonts w:ascii="Times New Roman;Times;serif" w:hAnsi="Times New Roman;Times;serif"/>
                <w:b w:val="false"/>
                <w:i w:val="false"/>
                <w:caps w:val="false"/>
                <w:smallCaps w:val="false"/>
                <w:sz w:val="20"/>
              </w:rPr>
              <w:t>the</w:t>
            </w:r>
            <w:r>
              <w:rPr>
                <w:caps w:val="false"/>
                <w:smallCaps w:val="false"/>
                <w:spacing w:val="-5"/>
              </w:rPr>
              <w:t xml:space="preserve"> </w:t>
            </w:r>
            <w:r>
              <w:rPr>
                <w:rFonts w:ascii="Times New Roman;Times;serif" w:hAnsi="Times New Roman;Times;serif"/>
                <w:b w:val="false"/>
                <w:i w:val="false"/>
                <w:caps w:val="false"/>
                <w:smallCaps w:val="false"/>
                <w:sz w:val="20"/>
              </w:rPr>
              <w:t>Compensation</w:t>
            </w:r>
            <w:r>
              <w:rPr>
                <w:caps w:val="false"/>
                <w:smallCaps w:val="false"/>
                <w:spacing w:val="-4"/>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pacing w:val="-2"/>
                <w:sz w:val="20"/>
              </w:rPr>
              <w:t>$7,200</w:t>
            </w:r>
          </w:p>
        </w:tc>
      </w:tr>
    </w:tbl>
    <w:tbl>
      <w:tblPr>
        <w:tblW w:w="6383" w:type="dxa"/>
        <w:jc w:val="left"/>
        <w:tblInd w:w="0" w:type="dxa"/>
        <w:tblLayout w:type="fixed"/>
        <w:tblCellMar>
          <w:top w:w="0" w:type="dxa"/>
          <w:left w:w="0" w:type="dxa"/>
          <w:bottom w:w="0" w:type="dxa"/>
          <w:right w:w="0" w:type="dxa"/>
        </w:tblCellMar>
      </w:tblPr>
      <w:tblGrid>
        <w:gridCol w:w="23"/>
        <w:gridCol w:w="185"/>
        <w:gridCol w:w="61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61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Member</w:t>
            </w:r>
            <w:r>
              <w:rPr>
                <w:caps w:val="false"/>
                <w:smallCaps w:val="false"/>
                <w:spacing w:val="-6"/>
              </w:rPr>
              <w:t xml:space="preserve"> </w:t>
            </w:r>
            <w:r>
              <w:rPr>
                <w:rFonts w:ascii="Times New Roman;Times;serif" w:hAnsi="Times New Roman;Times;serif"/>
                <w:b w:val="false"/>
                <w:i w:val="false"/>
                <w:caps w:val="false"/>
                <w:smallCaps w:val="false"/>
                <w:sz w:val="20"/>
              </w:rPr>
              <w:t>of</w:t>
            </w:r>
            <w:r>
              <w:rPr>
                <w:caps w:val="false"/>
                <w:smallCaps w:val="false"/>
                <w:spacing w:val="-5"/>
              </w:rPr>
              <w:t xml:space="preserve"> </w:t>
            </w:r>
            <w:r>
              <w:rPr>
                <w:rFonts w:ascii="Times New Roman;Times;serif" w:hAnsi="Times New Roman;Times;serif"/>
                <w:b w:val="false"/>
                <w:i w:val="false"/>
                <w:caps w:val="false"/>
                <w:smallCaps w:val="false"/>
                <w:sz w:val="20"/>
              </w:rPr>
              <w:t>the</w:t>
            </w:r>
            <w:r>
              <w:rPr>
                <w:caps w:val="false"/>
                <w:smallCaps w:val="false"/>
                <w:spacing w:val="-4"/>
              </w:rPr>
              <w:t xml:space="preserve"> </w:t>
            </w:r>
            <w:r>
              <w:rPr>
                <w:rFonts w:ascii="Times New Roman;Times;serif" w:hAnsi="Times New Roman;Times;serif"/>
                <w:b w:val="false"/>
                <w:i w:val="false"/>
                <w:caps w:val="false"/>
                <w:smallCaps w:val="false"/>
                <w:sz w:val="20"/>
              </w:rPr>
              <w:t>Nominating</w:t>
            </w:r>
            <w:r>
              <w:rPr>
                <w:caps w:val="false"/>
                <w:smallCaps w:val="false"/>
                <w:spacing w:val="-8"/>
              </w:rPr>
              <w:t xml:space="preserve"> </w:t>
            </w:r>
            <w:r>
              <w:rPr>
                <w:rFonts w:ascii="Times New Roman;Times;serif" w:hAnsi="Times New Roman;Times;serif"/>
                <w:b w:val="false"/>
                <w:i w:val="false"/>
                <w:caps w:val="false"/>
                <w:smallCaps w:val="false"/>
                <w:sz w:val="20"/>
              </w:rPr>
              <w:t>and</w:t>
            </w:r>
            <w:r>
              <w:rPr>
                <w:caps w:val="false"/>
                <w:smallCaps w:val="false"/>
                <w:spacing w:val="-4"/>
              </w:rPr>
              <w:t xml:space="preserve"> </w:t>
            </w:r>
            <w:r>
              <w:rPr>
                <w:rFonts w:ascii="Times New Roman;Times;serif" w:hAnsi="Times New Roman;Times;serif"/>
                <w:b w:val="false"/>
                <w:i w:val="false"/>
                <w:caps w:val="false"/>
                <w:smallCaps w:val="false"/>
                <w:sz w:val="20"/>
              </w:rPr>
              <w:t>Corporate</w:t>
            </w:r>
            <w:r>
              <w:rPr>
                <w:caps w:val="false"/>
                <w:smallCaps w:val="false"/>
                <w:spacing w:val="-5"/>
              </w:rPr>
              <w:t xml:space="preserve"> </w:t>
            </w:r>
            <w:r>
              <w:rPr>
                <w:rFonts w:ascii="Times New Roman;Times;serif" w:hAnsi="Times New Roman;Times;serif"/>
                <w:b w:val="false"/>
                <w:i w:val="false"/>
                <w:caps w:val="false"/>
                <w:smallCaps w:val="false"/>
                <w:sz w:val="20"/>
              </w:rPr>
              <w:t>Governance</w:t>
            </w:r>
            <w:r>
              <w:rPr>
                <w:caps w:val="false"/>
                <w:smallCaps w:val="false"/>
                <w:spacing w:val="-5"/>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pacing w:val="-2"/>
                <w:sz w:val="20"/>
              </w:rPr>
              <w:t>$5,000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86" w:after="0"/>
        <w:ind w:left="360" w:right="0" w:hanging="0"/>
        <w:jc w:val="left"/>
        <w:rPr>
          <w:rFonts w:ascii="Times New Roman;Times;serif" w:hAnsi="Times New Roman;Times;serif"/>
          <w:b/>
          <w:spacing w:val="-2"/>
          <w:sz w:val="22"/>
        </w:rPr>
      </w:pPr>
      <w:r>
        <w:rPr>
          <w:rFonts w:ascii="Times New Roman;Times;serif" w:hAnsi="Times New Roman;Times;serif"/>
          <w:b/>
          <w:spacing w:val="-2"/>
          <w:sz w:val="22"/>
        </w:rPr>
        <w:t>Expenses</w:t>
      </w:r>
    </w:p>
    <w:p>
      <w:pPr>
        <w:pStyle w:val="TextBody"/>
        <w:bidi w:val="0"/>
        <w:spacing w:lineRule="auto" w:line="290" w:before="244" w:after="0"/>
        <w:ind w:left="360" w:right="355" w:hanging="0"/>
        <w:jc w:val="both"/>
        <w:rPr>
          <w:rFonts w:ascii="Times New Roman;Times;serif" w:hAnsi="Times New Roman;Times;serif"/>
          <w:sz w:val="22"/>
        </w:rPr>
      </w:pP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Company</w:t>
      </w:r>
      <w:r>
        <w:rPr>
          <w:rFonts w:ascii="Times New Roman;Times;serif" w:hAnsi="Times New Roman;Times;serif"/>
          <w:spacing w:val="-14"/>
          <w:sz w:val="22"/>
        </w:rPr>
        <w:t xml:space="preserve"> </w:t>
      </w:r>
      <w:r>
        <w:rPr>
          <w:rFonts w:ascii="Times New Roman;Times;serif" w:hAnsi="Times New Roman;Times;serif"/>
          <w:sz w:val="22"/>
        </w:rPr>
        <w:t>will</w:t>
      </w:r>
      <w:r>
        <w:rPr>
          <w:rFonts w:ascii="Times New Roman;Times;serif" w:hAnsi="Times New Roman;Times;serif"/>
          <w:spacing w:val="-11"/>
          <w:sz w:val="22"/>
        </w:rPr>
        <w:t xml:space="preserve"> </w:t>
      </w:r>
      <w:r>
        <w:rPr>
          <w:rFonts w:ascii="Times New Roman;Times;serif" w:hAnsi="Times New Roman;Times;serif"/>
          <w:sz w:val="22"/>
        </w:rPr>
        <w:t>reimburse</w:t>
      </w:r>
      <w:r>
        <w:rPr>
          <w:rFonts w:ascii="Times New Roman;Times;serif" w:hAnsi="Times New Roman;Times;serif"/>
          <w:spacing w:val="-11"/>
          <w:sz w:val="22"/>
        </w:rPr>
        <w:t xml:space="preserve"> </w:t>
      </w:r>
      <w:r>
        <w:rPr>
          <w:rFonts w:ascii="Times New Roman;Times;serif" w:hAnsi="Times New Roman;Times;serif"/>
          <w:sz w:val="22"/>
        </w:rPr>
        <w:t>Eligible</w:t>
      </w:r>
      <w:r>
        <w:rPr>
          <w:rFonts w:ascii="Times New Roman;Times;serif" w:hAnsi="Times New Roman;Times;serif"/>
          <w:spacing w:val="-12"/>
          <w:sz w:val="22"/>
        </w:rPr>
        <w:t xml:space="preserve"> </w:t>
      </w:r>
      <w:r>
        <w:rPr>
          <w:rFonts w:ascii="Times New Roman;Times;serif" w:hAnsi="Times New Roman;Times;serif"/>
          <w:sz w:val="22"/>
        </w:rPr>
        <w:t>Directors</w:t>
      </w:r>
      <w:r>
        <w:rPr>
          <w:rFonts w:ascii="Times New Roman;Times;serif" w:hAnsi="Times New Roman;Times;serif"/>
          <w:spacing w:val="-11"/>
          <w:sz w:val="22"/>
        </w:rPr>
        <w:t xml:space="preserve"> </w:t>
      </w:r>
      <w:r>
        <w:rPr>
          <w:rFonts w:ascii="Times New Roman;Times;serif" w:hAnsi="Times New Roman;Times;serif"/>
          <w:sz w:val="22"/>
        </w:rPr>
        <w:t>for</w:t>
      </w:r>
      <w:r>
        <w:rPr>
          <w:rFonts w:ascii="Times New Roman;Times;serif" w:hAnsi="Times New Roman;Times;serif"/>
          <w:spacing w:val="-11"/>
          <w:sz w:val="22"/>
        </w:rPr>
        <w:t xml:space="preserve"> </w:t>
      </w:r>
      <w:r>
        <w:rPr>
          <w:rFonts w:ascii="Times New Roman;Times;serif" w:hAnsi="Times New Roman;Times;serif"/>
          <w:sz w:val="22"/>
        </w:rPr>
        <w:t>ordinary,</w:t>
      </w:r>
      <w:r>
        <w:rPr>
          <w:rFonts w:ascii="Times New Roman;Times;serif" w:hAnsi="Times New Roman;Times;serif"/>
          <w:spacing w:val="-12"/>
          <w:sz w:val="22"/>
        </w:rPr>
        <w:t xml:space="preserve"> </w:t>
      </w:r>
      <w:r>
        <w:rPr>
          <w:rFonts w:ascii="Times New Roman;Times;serif" w:hAnsi="Times New Roman;Times;serif"/>
          <w:sz w:val="22"/>
        </w:rPr>
        <w:t>necessary</w:t>
      </w:r>
      <w:r>
        <w:rPr>
          <w:rFonts w:ascii="Times New Roman;Times;serif" w:hAnsi="Times New Roman;Times;serif"/>
          <w:spacing w:val="-14"/>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reasonable</w:t>
      </w:r>
      <w:r>
        <w:rPr>
          <w:rFonts w:ascii="Times New Roman;Times;serif" w:hAnsi="Times New Roman;Times;serif"/>
          <w:spacing w:val="-12"/>
          <w:sz w:val="22"/>
        </w:rPr>
        <w:t xml:space="preserve"> </w:t>
      </w:r>
      <w:r>
        <w:rPr>
          <w:rFonts w:ascii="Times New Roman;Times;serif" w:hAnsi="Times New Roman;Times;serif"/>
          <w:sz w:val="22"/>
        </w:rPr>
        <w:t>out-of-pocket</w:t>
      </w:r>
      <w:r>
        <w:rPr>
          <w:rFonts w:ascii="Times New Roman;Times;serif" w:hAnsi="Times New Roman;Times;serif"/>
          <w:spacing w:val="-11"/>
          <w:sz w:val="22"/>
        </w:rPr>
        <w:t xml:space="preserve"> </w:t>
      </w:r>
      <w:r>
        <w:rPr>
          <w:rFonts w:ascii="Times New Roman;Times;serif" w:hAnsi="Times New Roman;Times;serif"/>
          <w:sz w:val="22"/>
        </w:rPr>
        <w:t>travel expenses to cover in-person attendance at and participation in Board and committee meetings; provided,</w:t>
      </w:r>
    </w:p>
    <w:p>
      <w:pPr>
        <w:pStyle w:val="TextBody"/>
        <w:bidi w:val="0"/>
        <w:spacing w:before="25" w:after="0"/>
        <w:ind w:left="0" w:right="0" w:hanging="0"/>
        <w:jc w:val="left"/>
        <w:rPr/>
      </w:pPr>
      <w:r>
        <w:rPr/>
        <w:t>​</w:t>
      </w:r>
    </w:p>
    <w:p>
      <w:pPr>
        <w:pStyle w:val="TextBody"/>
        <w:bidi w:val="0"/>
        <w:spacing w:lineRule="auto" w:line="292" w:before="0" w:after="0"/>
        <w:ind w:left="360" w:right="365" w:hanging="0"/>
        <w:jc w:val="both"/>
        <w:rPr>
          <w:rFonts w:ascii="Times New Roman;Times;serif" w:hAnsi="Times New Roman;Times;serif"/>
          <w:sz w:val="22"/>
        </w:rPr>
      </w:pPr>
      <w:r>
        <w:rPr>
          <w:rFonts w:ascii="Times New Roman;Times;serif" w:hAnsi="Times New Roman;Times;serif"/>
          <w:sz w:val="22"/>
        </w:rPr>
        <w:t>that the Eligible Director timely submit to the Company appropriate documentation substantiating such expenses in accordance with the Company’s travel and expense Policy, as in effect from time to time.</w:t>
      </w:r>
    </w:p>
    <w:p>
      <w:pPr>
        <w:pStyle w:val="TextBody"/>
        <w:bidi w:val="0"/>
        <w:spacing w:before="244" w:after="0"/>
        <w:ind w:left="360" w:right="0" w:hanging="0"/>
        <w:jc w:val="left"/>
        <w:rPr>
          <w:rFonts w:ascii="Times New Roman;Times;serif" w:hAnsi="Times New Roman;Times;serif"/>
          <w:b/>
          <w:sz w:val="22"/>
        </w:rPr>
      </w:pPr>
      <w:r>
        <w:rPr>
          <w:rFonts w:ascii="Times New Roman;Times;serif" w:hAnsi="Times New Roman;Times;serif"/>
          <w:b/>
          <w:sz w:val="22"/>
        </w:rPr>
        <w:t>Equity</w:t>
      </w:r>
      <w:r>
        <w:rPr>
          <w:rFonts w:ascii="Times New Roman;Times;serif" w:hAnsi="Times New Roman;Times;serif"/>
          <w:b/>
          <w:spacing w:val="-2"/>
          <w:sz w:val="22"/>
        </w:rPr>
        <w:t xml:space="preserve"> Compensation</w:t>
      </w:r>
    </w:p>
    <w:p>
      <w:pPr>
        <w:pStyle w:val="TextBody"/>
        <w:bidi w:val="0"/>
        <w:spacing w:lineRule="auto" w:line="292" w:before="244" w:after="0"/>
        <w:ind w:left="360" w:right="355" w:hanging="0"/>
        <w:jc w:val="both"/>
        <w:rPr>
          <w:rFonts w:ascii="Times New Roman;Times;serif" w:hAnsi="Times New Roman;Times;serif"/>
          <w:sz w:val="22"/>
        </w:rPr>
      </w:pPr>
      <w:r>
        <w:rPr>
          <w:rFonts w:ascii="Times New Roman;Times;serif" w:hAnsi="Times New Roman;Times;serif"/>
          <w:sz w:val="22"/>
        </w:rPr>
        <w:t>All grants of equity awards to Eligible Directors pursuant to this Policy will be nondiscretionary and automatic (without the need for any additional corporate action by the Board or the Compensation Committee) except as otherwise provided below and made in accordance with the following provisions. The</w:t>
      </w:r>
      <w:r>
        <w:rPr>
          <w:rFonts w:ascii="Times New Roman;Times;serif" w:hAnsi="Times New Roman;Times;serif"/>
          <w:spacing w:val="-8"/>
          <w:sz w:val="22"/>
        </w:rPr>
        <w:t xml:space="preserve"> </w:t>
      </w:r>
      <w:r>
        <w:rPr>
          <w:rFonts w:ascii="Times New Roman;Times;serif" w:hAnsi="Times New Roman;Times;serif"/>
          <w:sz w:val="22"/>
        </w:rPr>
        <w:t>equity</w:t>
      </w:r>
      <w:r>
        <w:rPr>
          <w:rFonts w:ascii="Times New Roman;Times;serif" w:hAnsi="Times New Roman;Times;serif"/>
          <w:spacing w:val="-11"/>
          <w:sz w:val="22"/>
        </w:rPr>
        <w:t xml:space="preserve"> </w:t>
      </w:r>
      <w:r>
        <w:rPr>
          <w:rFonts w:ascii="Times New Roman;Times;serif" w:hAnsi="Times New Roman;Times;serif"/>
          <w:sz w:val="22"/>
        </w:rPr>
        <w:t>compensation</w:t>
      </w:r>
      <w:r>
        <w:rPr>
          <w:rFonts w:ascii="Times New Roman;Times;serif" w:hAnsi="Times New Roman;Times;serif"/>
          <w:spacing w:val="-9"/>
          <w:sz w:val="22"/>
        </w:rPr>
        <w:t xml:space="preserve"> </w:t>
      </w:r>
      <w:r>
        <w:rPr>
          <w:rFonts w:ascii="Times New Roman;Times;serif" w:hAnsi="Times New Roman;Times;serif"/>
          <w:sz w:val="22"/>
        </w:rPr>
        <w:t>set</w:t>
      </w:r>
      <w:r>
        <w:rPr>
          <w:rFonts w:ascii="Times New Roman;Times;serif" w:hAnsi="Times New Roman;Times;serif"/>
          <w:spacing w:val="-8"/>
          <w:sz w:val="22"/>
        </w:rPr>
        <w:t xml:space="preserve"> </w:t>
      </w:r>
      <w:r>
        <w:rPr>
          <w:rFonts w:ascii="Times New Roman;Times;serif" w:hAnsi="Times New Roman;Times;serif"/>
          <w:sz w:val="22"/>
        </w:rPr>
        <w:t>forth</w:t>
      </w:r>
      <w:r>
        <w:rPr>
          <w:rFonts w:ascii="Times New Roman;Times;serif" w:hAnsi="Times New Roman;Times;serif"/>
          <w:spacing w:val="-9"/>
          <w:sz w:val="22"/>
        </w:rPr>
        <w:t xml:space="preserve"> </w:t>
      </w:r>
      <w:r>
        <w:rPr>
          <w:rFonts w:ascii="Times New Roman;Times;serif" w:hAnsi="Times New Roman;Times;serif"/>
          <w:sz w:val="22"/>
        </w:rPr>
        <w:t>below</w:t>
      </w:r>
      <w:r>
        <w:rPr>
          <w:rFonts w:ascii="Times New Roman;Times;serif" w:hAnsi="Times New Roman;Times;serif"/>
          <w:spacing w:val="-10"/>
          <w:sz w:val="22"/>
        </w:rPr>
        <w:t xml:space="preserve"> </w:t>
      </w:r>
      <w:r>
        <w:rPr>
          <w:rFonts w:ascii="Times New Roman;Times;serif" w:hAnsi="Times New Roman;Times;serif"/>
          <w:sz w:val="22"/>
        </w:rPr>
        <w:t>will</w:t>
      </w:r>
      <w:r>
        <w:rPr>
          <w:rFonts w:ascii="Times New Roman;Times;serif" w:hAnsi="Times New Roman;Times;serif"/>
          <w:spacing w:val="-8"/>
          <w:sz w:val="22"/>
        </w:rPr>
        <w:t xml:space="preserve"> </w:t>
      </w:r>
      <w:r>
        <w:rPr>
          <w:rFonts w:ascii="Times New Roman;Times;serif" w:hAnsi="Times New Roman;Times;serif"/>
          <w:sz w:val="22"/>
        </w:rPr>
        <w:t>be</w:t>
      </w:r>
      <w:r>
        <w:rPr>
          <w:rFonts w:ascii="Times New Roman;Times;serif" w:hAnsi="Times New Roman;Times;serif"/>
          <w:spacing w:val="-8"/>
          <w:sz w:val="22"/>
        </w:rPr>
        <w:t xml:space="preserve"> </w:t>
      </w:r>
      <w:r>
        <w:rPr>
          <w:rFonts w:ascii="Times New Roman;Times;serif" w:hAnsi="Times New Roman;Times;serif"/>
          <w:sz w:val="22"/>
        </w:rPr>
        <w:t>granted</w:t>
      </w:r>
      <w:r>
        <w:rPr>
          <w:rFonts w:ascii="Times New Roman;Times;serif" w:hAnsi="Times New Roman;Times;serif"/>
          <w:spacing w:val="-9"/>
          <w:sz w:val="22"/>
        </w:rPr>
        <w:t xml:space="preserve"> </w:t>
      </w:r>
      <w:r>
        <w:rPr>
          <w:rFonts w:ascii="Times New Roman;Times;serif" w:hAnsi="Times New Roman;Times;serif"/>
          <w:sz w:val="22"/>
        </w:rPr>
        <w:t>subject</w:t>
      </w:r>
      <w:r>
        <w:rPr>
          <w:rFonts w:ascii="Times New Roman;Times;serif" w:hAnsi="Times New Roman;Times;serif"/>
          <w:spacing w:val="-7"/>
          <w:sz w:val="22"/>
        </w:rPr>
        <w:t xml:space="preserve"> </w:t>
      </w:r>
      <w:r>
        <w:rPr>
          <w:rFonts w:ascii="Times New Roman;Times;serif" w:hAnsi="Times New Roman;Times;serif"/>
          <w:sz w:val="22"/>
        </w:rPr>
        <w:t>to</w:t>
      </w:r>
      <w:r>
        <w:rPr>
          <w:rFonts w:ascii="Times New Roman;Times;serif" w:hAnsi="Times New Roman;Times;serif"/>
          <w:spacing w:val="-11"/>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terms</w:t>
      </w:r>
      <w:r>
        <w:rPr>
          <w:rFonts w:ascii="Times New Roman;Times;serif" w:hAnsi="Times New Roman;Times;serif"/>
          <w:spacing w:val="-8"/>
          <w:sz w:val="22"/>
        </w:rPr>
        <w:t xml:space="preserve"> </w:t>
      </w:r>
      <w:r>
        <w:rPr>
          <w:rFonts w:ascii="Times New Roman;Times;serif" w:hAnsi="Times New Roman;Times;serif"/>
          <w:sz w:val="22"/>
        </w:rPr>
        <w:t>and</w:t>
      </w:r>
      <w:r>
        <w:rPr>
          <w:rFonts w:ascii="Times New Roman;Times;serif" w:hAnsi="Times New Roman;Times;serif"/>
          <w:spacing w:val="-8"/>
          <w:sz w:val="22"/>
        </w:rPr>
        <w:t xml:space="preserve"> </w:t>
      </w:r>
      <w:r>
        <w:rPr>
          <w:rFonts w:ascii="Times New Roman;Times;serif" w:hAnsi="Times New Roman;Times;serif"/>
          <w:sz w:val="22"/>
        </w:rPr>
        <w:t>conditions</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8"/>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Plan</w:t>
      </w:r>
      <w:r>
        <w:rPr>
          <w:rFonts w:ascii="Times New Roman;Times;serif" w:hAnsi="Times New Roman;Times;serif"/>
          <w:spacing w:val="-9"/>
          <w:sz w:val="22"/>
        </w:rPr>
        <w:t xml:space="preserve"> </w:t>
      </w:r>
      <w:r>
        <w:rPr>
          <w:rFonts w:ascii="Times New Roman;Times;serif" w:hAnsi="Times New Roman;Times;serif"/>
          <w:sz w:val="22"/>
        </w:rPr>
        <w:t>and an applicable award agreement. The number of shares underlying each of the RSUs (as defined in the Plan) granted under this Policy will be determined by dividing the applicable grant value for such RSU by the average closing stock price of a share of Common Stock, as reported on the Nasdaq Capital Market (or other primary U.S. exchange for the Common Stock, if not the Nasdaq Capital Market), over the trailing 60-trading day period ending on, and including, the date that is one trading day prior to the date of grant of such RSU, rounded down to the nearest whole share.</w:t>
      </w:r>
    </w:p>
    <w:p>
      <w:pPr>
        <w:pStyle w:val="TextBody"/>
        <w:bidi w:val="0"/>
        <w:spacing w:lineRule="auto" w:line="292" w:before="236" w:after="0"/>
        <w:ind w:left="360" w:right="354" w:hanging="0"/>
        <w:jc w:val="both"/>
        <w:rPr>
          <w:rFonts w:ascii="Times New Roman;Times;serif" w:hAnsi="Times New Roman;Times;serif"/>
          <w:sz w:val="22"/>
        </w:rPr>
      </w:pPr>
      <w:r>
        <w:rPr>
          <w:rFonts w:ascii="Times New Roman;Times;serif" w:hAnsi="Times New Roman;Times;serif"/>
          <w:sz w:val="22"/>
          <w:u w:val="single"/>
        </w:rPr>
        <w:t>Initial Grant</w:t>
      </w:r>
      <w:r>
        <w:rPr>
          <w:rFonts w:ascii="Times New Roman;Times;serif" w:hAnsi="Times New Roman;Times;serif"/>
          <w:sz w:val="22"/>
        </w:rPr>
        <w:t>: For each Eligible Director who is first elected or appointed to the Board following the Effective Date, as soon as practicable following the date of such election or appointment, the Board or Compensation</w:t>
      </w:r>
      <w:r>
        <w:rPr>
          <w:rFonts w:ascii="Times New Roman;Times;serif" w:hAnsi="Times New Roman;Times;serif"/>
          <w:spacing w:val="-3"/>
          <w:sz w:val="22"/>
        </w:rPr>
        <w:t xml:space="preserve"> </w:t>
      </w:r>
      <w:r>
        <w:rPr>
          <w:rFonts w:ascii="Times New Roman;Times;serif" w:hAnsi="Times New Roman;Times;serif"/>
          <w:sz w:val="22"/>
        </w:rPr>
        <w:t>Committee</w:t>
      </w:r>
      <w:r>
        <w:rPr>
          <w:rFonts w:ascii="Times New Roman;Times;serif" w:hAnsi="Times New Roman;Times;serif"/>
          <w:spacing w:val="-4"/>
          <w:sz w:val="22"/>
        </w:rPr>
        <w:t xml:space="preserve"> </w:t>
      </w:r>
      <w:r>
        <w:rPr>
          <w:rFonts w:ascii="Times New Roman;Times;serif" w:hAnsi="Times New Roman;Times;serif"/>
          <w:sz w:val="22"/>
        </w:rPr>
        <w:t>will</w:t>
      </w:r>
      <w:r>
        <w:rPr>
          <w:rFonts w:ascii="Times New Roman;Times;serif" w:hAnsi="Times New Roman;Times;serif"/>
          <w:spacing w:val="-1"/>
          <w:sz w:val="22"/>
        </w:rPr>
        <w:t xml:space="preserve"> </w:t>
      </w:r>
      <w:r>
        <w:rPr>
          <w:rFonts w:ascii="Times New Roman;Times;serif" w:hAnsi="Times New Roman;Times;serif"/>
          <w:sz w:val="22"/>
        </w:rPr>
        <w:t>grant such Eligible</w:t>
      </w:r>
      <w:r>
        <w:rPr>
          <w:rFonts w:ascii="Times New Roman;Times;serif" w:hAnsi="Times New Roman;Times;serif"/>
          <w:spacing w:val="-2"/>
          <w:sz w:val="22"/>
        </w:rPr>
        <w:t xml:space="preserve"> </w:t>
      </w:r>
      <w:r>
        <w:rPr>
          <w:rFonts w:ascii="Times New Roman;Times;serif" w:hAnsi="Times New Roman;Times;serif"/>
          <w:sz w:val="22"/>
        </w:rPr>
        <w:t>Director</w:t>
      </w:r>
      <w:r>
        <w:rPr>
          <w:rFonts w:ascii="Times New Roman;Times;serif" w:hAnsi="Times New Roman;Times;serif"/>
          <w:spacing w:val="-2"/>
          <w:sz w:val="22"/>
        </w:rPr>
        <w:t xml:space="preserve"> </w:t>
      </w:r>
      <w:r>
        <w:rPr>
          <w:rFonts w:ascii="Times New Roman;Times;serif" w:hAnsi="Times New Roman;Times;serif"/>
          <w:sz w:val="22"/>
        </w:rPr>
        <w:t>RSUs</w:t>
      </w:r>
      <w:r>
        <w:rPr>
          <w:rFonts w:ascii="Times New Roman;Times;serif" w:hAnsi="Times New Roman;Times;serif"/>
          <w:spacing w:val="-1"/>
          <w:sz w:val="22"/>
        </w:rPr>
        <w:t xml:space="preserve"> </w:t>
      </w:r>
      <w:r>
        <w:rPr>
          <w:rFonts w:ascii="Times New Roman;Times;serif" w:hAnsi="Times New Roman;Times;serif"/>
          <w:sz w:val="22"/>
        </w:rPr>
        <w:t>with</w:t>
      </w:r>
      <w:r>
        <w:rPr>
          <w:rFonts w:ascii="Times New Roman;Times;serif" w:hAnsi="Times New Roman;Times;serif"/>
          <w:spacing w:val="-2"/>
          <w:sz w:val="22"/>
        </w:rPr>
        <w:t xml:space="preserve"> </w:t>
      </w:r>
      <w:r>
        <w:rPr>
          <w:rFonts w:ascii="Times New Roman;Times;serif" w:hAnsi="Times New Roman;Times;serif"/>
          <w:sz w:val="22"/>
        </w:rPr>
        <w:t>respect</w:t>
      </w:r>
      <w:r>
        <w:rPr>
          <w:rFonts w:ascii="Times New Roman;Times;serif" w:hAnsi="Times New Roman;Times;serif"/>
          <w:spacing w:val="-1"/>
          <w:sz w:val="22"/>
        </w:rPr>
        <w:t xml:space="preserve"> </w:t>
      </w:r>
      <w:r>
        <w:rPr>
          <w:rFonts w:ascii="Times New Roman;Times;serif" w:hAnsi="Times New Roman;Times;serif"/>
          <w:sz w:val="22"/>
        </w:rPr>
        <w:t>to shares</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Common</w:t>
      </w:r>
      <w:r>
        <w:rPr>
          <w:rFonts w:ascii="Times New Roman;Times;serif" w:hAnsi="Times New Roman;Times;serif"/>
          <w:spacing w:val="-1"/>
          <w:sz w:val="22"/>
        </w:rPr>
        <w:t xml:space="preserve"> </w:t>
      </w:r>
      <w:r>
        <w:rPr>
          <w:rFonts w:ascii="Times New Roman;Times;serif" w:hAnsi="Times New Roman;Times;serif"/>
          <w:sz w:val="22"/>
        </w:rPr>
        <w:t>Stock</w:t>
      </w:r>
      <w:r>
        <w:rPr>
          <w:rFonts w:ascii="Times New Roman;Times;serif" w:hAnsi="Times New Roman;Times;serif"/>
          <w:spacing w:val="-4"/>
          <w:sz w:val="22"/>
        </w:rPr>
        <w:t xml:space="preserve"> </w:t>
      </w:r>
      <w:r>
        <w:rPr>
          <w:rFonts w:ascii="Times New Roman;Times;serif" w:hAnsi="Times New Roman;Times;serif"/>
          <w:sz w:val="22"/>
        </w:rPr>
        <w:t>with</w:t>
      </w:r>
      <w:r>
        <w:rPr>
          <w:rFonts w:ascii="Times New Roman;Times;serif" w:hAnsi="Times New Roman;Times;serif"/>
          <w:spacing w:val="-1"/>
          <w:sz w:val="22"/>
        </w:rPr>
        <w:t xml:space="preserve"> </w:t>
      </w:r>
      <w:r>
        <w:rPr>
          <w:rFonts w:ascii="Times New Roman;Times;serif" w:hAnsi="Times New Roman;Times;serif"/>
          <w:sz w:val="22"/>
        </w:rPr>
        <w:t>a grant value of $370,000</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w:t>
      </w:r>
      <w:r>
        <w:rPr>
          <w:rFonts w:ascii="Times New Roman;Times;serif" w:hAnsi="Times New Roman;Times;serif"/>
          <w:b/>
          <w:i/>
          <w:sz w:val="22"/>
        </w:rPr>
        <w:t>Initial</w:t>
      </w:r>
      <w:r>
        <w:rPr>
          <w:rFonts w:ascii="Times New Roman;Times;serif" w:hAnsi="Times New Roman;Times;serif"/>
          <w:spacing w:val="-9"/>
          <w:sz w:val="22"/>
        </w:rPr>
        <w:t xml:space="preserve"> </w:t>
      </w:r>
      <w:r>
        <w:rPr>
          <w:rFonts w:ascii="Times New Roman;Times;serif" w:hAnsi="Times New Roman;Times;serif"/>
          <w:b/>
          <w:i/>
          <w:sz w:val="22"/>
        </w:rPr>
        <w:t>RSU</w:t>
      </w:r>
      <w:r>
        <w:rPr>
          <w:rFonts w:ascii="Times New Roman;Times;serif" w:hAnsi="Times New Roman;Times;serif"/>
          <w:spacing w:val="-11"/>
          <w:sz w:val="22"/>
        </w:rPr>
        <w:t xml:space="preserve"> </w:t>
      </w:r>
      <w:r>
        <w:rPr>
          <w:rFonts w:ascii="Times New Roman;Times;serif" w:hAnsi="Times New Roman;Times;serif"/>
          <w:b/>
          <w:i/>
          <w:sz w:val="22"/>
        </w:rPr>
        <w:t>Grant</w:t>
      </w:r>
      <w:r>
        <w:rPr>
          <w:rFonts w:ascii="Times New Roman;Times;serif" w:hAnsi="Times New Roman;Times;serif"/>
          <w:sz w:val="22"/>
        </w:rPr>
        <w:t>”).</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9"/>
          <w:sz w:val="22"/>
        </w:rPr>
        <w:t xml:space="preserve"> </w:t>
      </w:r>
      <w:r>
        <w:rPr>
          <w:rFonts w:ascii="Times New Roman;Times;serif" w:hAnsi="Times New Roman;Times;serif"/>
          <w:sz w:val="22"/>
        </w:rPr>
        <w:t>Initial</w:t>
      </w:r>
      <w:r>
        <w:rPr>
          <w:rFonts w:ascii="Times New Roman;Times;serif" w:hAnsi="Times New Roman;Times;serif"/>
          <w:spacing w:val="-9"/>
          <w:sz w:val="22"/>
        </w:rPr>
        <w:t xml:space="preserve"> </w:t>
      </w:r>
      <w:r>
        <w:rPr>
          <w:rFonts w:ascii="Times New Roman;Times;serif" w:hAnsi="Times New Roman;Times;serif"/>
          <w:sz w:val="22"/>
        </w:rPr>
        <w:t>RSU</w:t>
      </w:r>
      <w:r>
        <w:rPr>
          <w:rFonts w:ascii="Times New Roman;Times;serif" w:hAnsi="Times New Roman;Times;serif"/>
          <w:spacing w:val="-11"/>
          <w:sz w:val="22"/>
        </w:rPr>
        <w:t xml:space="preserve"> </w:t>
      </w:r>
      <w:r>
        <w:rPr>
          <w:rFonts w:ascii="Times New Roman;Times;serif" w:hAnsi="Times New Roman;Times;serif"/>
          <w:sz w:val="22"/>
        </w:rPr>
        <w:t>Grant</w:t>
      </w:r>
      <w:r>
        <w:rPr>
          <w:rFonts w:ascii="Times New Roman;Times;serif" w:hAnsi="Times New Roman;Times;serif"/>
          <w:spacing w:val="-9"/>
          <w:sz w:val="22"/>
        </w:rPr>
        <w:t xml:space="preserve"> </w:t>
      </w:r>
      <w:r>
        <w:rPr>
          <w:rFonts w:ascii="Times New Roman;Times;serif" w:hAnsi="Times New Roman;Times;serif"/>
          <w:sz w:val="22"/>
        </w:rPr>
        <w:t>will</w:t>
      </w:r>
      <w:r>
        <w:rPr>
          <w:rFonts w:ascii="Times New Roman;Times;serif" w:hAnsi="Times New Roman;Times;serif"/>
          <w:spacing w:val="-9"/>
          <w:sz w:val="22"/>
        </w:rPr>
        <w:t xml:space="preserve"> </w:t>
      </w:r>
      <w:r>
        <w:rPr>
          <w:rFonts w:ascii="Times New Roman;Times;serif" w:hAnsi="Times New Roman;Times;serif"/>
          <w:sz w:val="22"/>
        </w:rPr>
        <w:t>vest</w:t>
      </w:r>
      <w:r>
        <w:rPr>
          <w:rFonts w:ascii="Times New Roman;Times;serif" w:hAnsi="Times New Roman;Times;serif"/>
          <w:spacing w:val="-9"/>
          <w:sz w:val="22"/>
        </w:rPr>
        <w:t xml:space="preserve"> </w:t>
      </w:r>
      <w:r>
        <w:rPr>
          <w:rFonts w:ascii="Times New Roman;Times;serif" w:hAnsi="Times New Roman;Times;serif"/>
          <w:sz w:val="22"/>
        </w:rPr>
        <w:t>over</w:t>
      </w:r>
      <w:r>
        <w:rPr>
          <w:rFonts w:ascii="Times New Roman;Times;serif" w:hAnsi="Times New Roman;Times;serif"/>
          <w:spacing w:val="-11"/>
          <w:sz w:val="22"/>
        </w:rPr>
        <w:t xml:space="preserve"> </w:t>
      </w:r>
      <w:r>
        <w:rPr>
          <w:rFonts w:ascii="Times New Roman;Times;serif" w:hAnsi="Times New Roman;Times;serif"/>
          <w:sz w:val="22"/>
        </w:rPr>
        <w:t>a</w:t>
      </w:r>
      <w:r>
        <w:rPr>
          <w:rFonts w:ascii="Times New Roman;Times;serif" w:hAnsi="Times New Roman;Times;serif"/>
          <w:spacing w:val="-9"/>
          <w:sz w:val="22"/>
        </w:rPr>
        <w:t xml:space="preserve"> </w:t>
      </w:r>
      <w:r>
        <w:rPr>
          <w:rFonts w:ascii="Times New Roman;Times;serif" w:hAnsi="Times New Roman;Times;serif"/>
          <w:sz w:val="22"/>
        </w:rPr>
        <w:t>three-year</w:t>
      </w:r>
      <w:r>
        <w:rPr>
          <w:rFonts w:ascii="Times New Roman;Times;serif" w:hAnsi="Times New Roman;Times;serif"/>
          <w:spacing w:val="-9"/>
          <w:sz w:val="22"/>
        </w:rPr>
        <w:t xml:space="preserve"> </w:t>
      </w:r>
      <w:r>
        <w:rPr>
          <w:rFonts w:ascii="Times New Roman;Times;serif" w:hAnsi="Times New Roman;Times;serif"/>
          <w:sz w:val="22"/>
        </w:rPr>
        <w:t>period,</w:t>
      </w:r>
      <w:r>
        <w:rPr>
          <w:rFonts w:ascii="Times New Roman;Times;serif" w:hAnsi="Times New Roman;Times;serif"/>
          <w:spacing w:val="-10"/>
          <w:sz w:val="22"/>
        </w:rPr>
        <w:t xml:space="preserve"> </w:t>
      </w:r>
      <w:r>
        <w:rPr>
          <w:rFonts w:ascii="Times New Roman;Times;serif" w:hAnsi="Times New Roman;Times;serif"/>
          <w:sz w:val="22"/>
        </w:rPr>
        <w:t>with one-third</w:t>
      </w:r>
      <w:r>
        <w:rPr>
          <w:rFonts w:ascii="Times New Roman;Times;serif" w:hAnsi="Times New Roman;Times;serif"/>
          <w:spacing w:val="-4"/>
          <w:sz w:val="22"/>
        </w:rPr>
        <w:t xml:space="preserve"> </w:t>
      </w:r>
      <w:r>
        <w:rPr>
          <w:rFonts w:ascii="Times New Roman;Times;serif" w:hAnsi="Times New Roman;Times;serif"/>
          <w:sz w:val="22"/>
        </w:rPr>
        <w:t>(1/3)</w:t>
      </w:r>
      <w:r>
        <w:rPr>
          <w:rFonts w:ascii="Times New Roman;Times;serif" w:hAnsi="Times New Roman;Times;serif"/>
          <w:spacing w:val="-4"/>
          <w:sz w:val="22"/>
        </w:rPr>
        <w:t xml:space="preserve"> </w:t>
      </w:r>
      <w:r>
        <w:rPr>
          <w:rFonts w:ascii="Times New Roman;Times;serif" w:hAnsi="Times New Roman;Times;serif"/>
          <w:sz w:val="22"/>
        </w:rPr>
        <w:t>of</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Initial</w:t>
      </w:r>
      <w:r>
        <w:rPr>
          <w:rFonts w:ascii="Times New Roman;Times;serif" w:hAnsi="Times New Roman;Times;serif"/>
          <w:spacing w:val="-4"/>
          <w:sz w:val="22"/>
        </w:rPr>
        <w:t xml:space="preserve"> </w:t>
      </w:r>
      <w:r>
        <w:rPr>
          <w:rFonts w:ascii="Times New Roman;Times;serif" w:hAnsi="Times New Roman;Times;serif"/>
          <w:sz w:val="22"/>
        </w:rPr>
        <w:t>RSU</w:t>
      </w:r>
      <w:r>
        <w:rPr>
          <w:rFonts w:ascii="Times New Roman;Times;serif" w:hAnsi="Times New Roman;Times;serif"/>
          <w:spacing w:val="-4"/>
          <w:sz w:val="22"/>
        </w:rPr>
        <w:t xml:space="preserve"> </w:t>
      </w:r>
      <w:r>
        <w:rPr>
          <w:rFonts w:ascii="Times New Roman;Times;serif" w:hAnsi="Times New Roman;Times;serif"/>
          <w:sz w:val="22"/>
        </w:rPr>
        <w:t>Grant</w:t>
      </w:r>
      <w:r>
        <w:rPr>
          <w:rFonts w:ascii="Times New Roman;Times;serif" w:hAnsi="Times New Roman;Times;serif"/>
          <w:spacing w:val="-1"/>
          <w:sz w:val="22"/>
        </w:rPr>
        <w:t xml:space="preserve"> </w:t>
      </w:r>
      <w:r>
        <w:rPr>
          <w:rFonts w:ascii="Times New Roman;Times;serif" w:hAnsi="Times New Roman;Times;serif"/>
          <w:sz w:val="22"/>
        </w:rPr>
        <w:t>vesting</w:t>
      </w:r>
      <w:r>
        <w:rPr>
          <w:rFonts w:ascii="Times New Roman;Times;serif" w:hAnsi="Times New Roman;Times;serif"/>
          <w:spacing w:val="-4"/>
          <w:sz w:val="22"/>
        </w:rPr>
        <w:t xml:space="preserve"> </w:t>
      </w:r>
      <w:r>
        <w:rPr>
          <w:rFonts w:ascii="Times New Roman;Times;serif" w:hAnsi="Times New Roman;Times;serif"/>
          <w:sz w:val="22"/>
        </w:rPr>
        <w:t>on</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first</w:t>
      </w:r>
      <w:r>
        <w:rPr>
          <w:rFonts w:ascii="Times New Roman;Times;serif" w:hAnsi="Times New Roman;Times;serif"/>
          <w:spacing w:val="-4"/>
          <w:sz w:val="22"/>
        </w:rPr>
        <w:t xml:space="preserve"> </w:t>
      </w:r>
      <w:r>
        <w:rPr>
          <w:rFonts w:ascii="Times New Roman;Times;serif" w:hAnsi="Times New Roman;Times;serif"/>
          <w:sz w:val="22"/>
        </w:rPr>
        <w:t>anniversary</w:t>
      </w:r>
      <w:r>
        <w:rPr>
          <w:rFonts w:ascii="Times New Roman;Times;serif" w:hAnsi="Times New Roman;Times;serif"/>
          <w:spacing w:val="-4"/>
          <w:sz w:val="22"/>
        </w:rPr>
        <w:t xml:space="preserve"> </w:t>
      </w:r>
      <w:r>
        <w:rPr>
          <w:rFonts w:ascii="Times New Roman;Times;serif" w:hAnsi="Times New Roman;Times;serif"/>
          <w:sz w:val="22"/>
        </w:rPr>
        <w:t>of</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grant</w:t>
      </w:r>
      <w:r>
        <w:rPr>
          <w:rFonts w:ascii="Times New Roman;Times;serif" w:hAnsi="Times New Roman;Times;serif"/>
          <w:spacing w:val="-4"/>
          <w:sz w:val="22"/>
        </w:rPr>
        <w:t xml:space="preserve"> </w:t>
      </w:r>
      <w:r>
        <w:rPr>
          <w:rFonts w:ascii="Times New Roman;Times;serif" w:hAnsi="Times New Roman;Times;serif"/>
          <w:sz w:val="22"/>
        </w:rPr>
        <w:t>date,</w:t>
      </w:r>
      <w:r>
        <w:rPr>
          <w:rFonts w:ascii="Times New Roman;Times;serif" w:hAnsi="Times New Roman;Times;serif"/>
          <w:spacing w:val="-4"/>
          <w:sz w:val="22"/>
        </w:rPr>
        <w:t xml:space="preserve"> </w:t>
      </w:r>
      <w:r>
        <w:rPr>
          <w:rFonts w:ascii="Times New Roman;Times;serif" w:hAnsi="Times New Roman;Times;serif"/>
          <w:sz w:val="22"/>
        </w:rPr>
        <w:t>one-third</w:t>
      </w:r>
      <w:r>
        <w:rPr>
          <w:rFonts w:ascii="Times New Roman;Times;serif" w:hAnsi="Times New Roman;Times;serif"/>
          <w:spacing w:val="-4"/>
          <w:sz w:val="22"/>
        </w:rPr>
        <w:t xml:space="preserve"> </w:t>
      </w:r>
      <w:r>
        <w:rPr>
          <w:rFonts w:ascii="Times New Roman;Times;serif" w:hAnsi="Times New Roman;Times;serif"/>
          <w:sz w:val="22"/>
        </w:rPr>
        <w:t>(1/3)</w:t>
      </w:r>
      <w:r>
        <w:rPr>
          <w:rFonts w:ascii="Times New Roman;Times;serif" w:hAnsi="Times New Roman;Times;serif"/>
          <w:spacing w:val="-2"/>
          <w:sz w:val="22"/>
        </w:rPr>
        <w:t xml:space="preserve"> </w:t>
      </w:r>
      <w:r>
        <w:rPr>
          <w:rFonts w:ascii="Times New Roman;Times;serif" w:hAnsi="Times New Roman;Times;serif"/>
          <w:sz w:val="22"/>
        </w:rPr>
        <w:t>of the</w:t>
      </w:r>
      <w:r>
        <w:rPr>
          <w:rFonts w:ascii="Times New Roman;Times;serif" w:hAnsi="Times New Roman;Times;serif"/>
          <w:spacing w:val="-3"/>
          <w:sz w:val="22"/>
        </w:rPr>
        <w:t xml:space="preserve"> </w:t>
      </w:r>
      <w:r>
        <w:rPr>
          <w:rFonts w:ascii="Times New Roman;Times;serif" w:hAnsi="Times New Roman;Times;serif"/>
          <w:sz w:val="22"/>
        </w:rPr>
        <w:t>Initial</w:t>
      </w:r>
      <w:r>
        <w:rPr>
          <w:rFonts w:ascii="Times New Roman;Times;serif" w:hAnsi="Times New Roman;Times;serif"/>
          <w:spacing w:val="-3"/>
          <w:sz w:val="22"/>
        </w:rPr>
        <w:t xml:space="preserve"> </w:t>
      </w:r>
      <w:r>
        <w:rPr>
          <w:rFonts w:ascii="Times New Roman;Times;serif" w:hAnsi="Times New Roman;Times;serif"/>
          <w:sz w:val="22"/>
        </w:rPr>
        <w:t>RSU</w:t>
      </w:r>
      <w:r>
        <w:rPr>
          <w:rFonts w:ascii="Times New Roman;Times;serif" w:hAnsi="Times New Roman;Times;serif"/>
          <w:spacing w:val="-5"/>
          <w:sz w:val="22"/>
        </w:rPr>
        <w:t xml:space="preserve"> </w:t>
      </w:r>
      <w:r>
        <w:rPr>
          <w:rFonts w:ascii="Times New Roman;Times;serif" w:hAnsi="Times New Roman;Times;serif"/>
          <w:sz w:val="22"/>
        </w:rPr>
        <w:t>Grant</w:t>
      </w:r>
      <w:r>
        <w:rPr>
          <w:rFonts w:ascii="Times New Roman;Times;serif" w:hAnsi="Times New Roman;Times;serif"/>
          <w:spacing w:val="-3"/>
          <w:sz w:val="22"/>
        </w:rPr>
        <w:t xml:space="preserve"> </w:t>
      </w:r>
      <w:r>
        <w:rPr>
          <w:rFonts w:ascii="Times New Roman;Times;serif" w:hAnsi="Times New Roman;Times;serif"/>
          <w:sz w:val="22"/>
        </w:rPr>
        <w:t>vesting</w:t>
      </w:r>
      <w:r>
        <w:rPr>
          <w:rFonts w:ascii="Times New Roman;Times;serif" w:hAnsi="Times New Roman;Times;serif"/>
          <w:spacing w:val="-6"/>
          <w:sz w:val="22"/>
        </w:rPr>
        <w:t xml:space="preserve"> </w:t>
      </w:r>
      <w:r>
        <w:rPr>
          <w:rFonts w:ascii="Times New Roman;Times;serif" w:hAnsi="Times New Roman;Times;serif"/>
          <w:sz w:val="22"/>
        </w:rPr>
        <w:t>on</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second</w:t>
      </w:r>
      <w:r>
        <w:rPr>
          <w:rFonts w:ascii="Times New Roman;Times;serif" w:hAnsi="Times New Roman;Times;serif"/>
          <w:spacing w:val="-6"/>
          <w:sz w:val="22"/>
        </w:rPr>
        <w:t xml:space="preserve"> </w:t>
      </w:r>
      <w:r>
        <w:rPr>
          <w:rFonts w:ascii="Times New Roman;Times;serif" w:hAnsi="Times New Roman;Times;serif"/>
          <w:sz w:val="22"/>
        </w:rPr>
        <w:t>anniversary</w:t>
      </w:r>
      <w:r>
        <w:rPr>
          <w:rFonts w:ascii="Times New Roman;Times;serif" w:hAnsi="Times New Roman;Times;serif"/>
          <w:spacing w:val="-6"/>
          <w:sz w:val="22"/>
        </w:rPr>
        <w:t xml:space="preserve"> </w:t>
      </w:r>
      <w:r>
        <w:rPr>
          <w:rFonts w:ascii="Times New Roman;Times;serif" w:hAnsi="Times New Roman;Times;serif"/>
          <w:sz w:val="22"/>
        </w:rPr>
        <w:t>of</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grant</w:t>
      </w:r>
      <w:r>
        <w:rPr>
          <w:rFonts w:ascii="Times New Roman;Times;serif" w:hAnsi="Times New Roman;Times;serif"/>
          <w:spacing w:val="-3"/>
          <w:sz w:val="22"/>
        </w:rPr>
        <w:t xml:space="preserve"> </w:t>
      </w:r>
      <w:r>
        <w:rPr>
          <w:rFonts w:ascii="Times New Roman;Times;serif" w:hAnsi="Times New Roman;Times;serif"/>
          <w:sz w:val="22"/>
        </w:rPr>
        <w:t>date</w:t>
      </w:r>
      <w:r>
        <w:rPr>
          <w:rFonts w:ascii="Times New Roman;Times;serif" w:hAnsi="Times New Roman;Times;serif"/>
          <w:spacing w:val="-6"/>
          <w:sz w:val="22"/>
        </w:rPr>
        <w:t xml:space="preserve"> </w:t>
      </w:r>
      <w:r>
        <w:rPr>
          <w:rFonts w:ascii="Times New Roman;Times;serif" w:hAnsi="Times New Roman;Times;serif"/>
          <w:sz w:val="22"/>
        </w:rPr>
        <w:t>and</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6"/>
          <w:sz w:val="22"/>
        </w:rPr>
        <w:t xml:space="preserve"> </w:t>
      </w:r>
      <w:r>
        <w:rPr>
          <w:rFonts w:ascii="Times New Roman;Times;serif" w:hAnsi="Times New Roman;Times;serif"/>
          <w:sz w:val="22"/>
        </w:rPr>
        <w:t>remaining</w:t>
      </w:r>
      <w:r>
        <w:rPr>
          <w:rFonts w:ascii="Times New Roman;Times;serif" w:hAnsi="Times New Roman;Times;serif"/>
          <w:spacing w:val="-6"/>
          <w:sz w:val="22"/>
        </w:rPr>
        <w:t xml:space="preserve"> </w:t>
      </w:r>
      <w:r>
        <w:rPr>
          <w:rFonts w:ascii="Times New Roman;Times;serif" w:hAnsi="Times New Roman;Times;serif"/>
          <w:sz w:val="22"/>
        </w:rPr>
        <w:t>one-third</w:t>
      </w:r>
      <w:r>
        <w:rPr>
          <w:rFonts w:ascii="Times New Roman;Times;serif" w:hAnsi="Times New Roman;Times;serif"/>
          <w:spacing w:val="-6"/>
          <w:sz w:val="22"/>
        </w:rPr>
        <w:t xml:space="preserve"> </w:t>
      </w:r>
      <w:r>
        <w:rPr>
          <w:rFonts w:ascii="Times New Roman;Times;serif" w:hAnsi="Times New Roman;Times;serif"/>
          <w:sz w:val="22"/>
        </w:rPr>
        <w:t>(1/3) of the Initial RSU Grant vesting</w:t>
      </w:r>
      <w:r>
        <w:rPr>
          <w:rFonts w:ascii="Times New Roman;Times;serif" w:hAnsi="Times New Roman;Times;serif"/>
          <w:spacing w:val="-2"/>
          <w:sz w:val="22"/>
        </w:rPr>
        <w:t xml:space="preserve"> </w:t>
      </w:r>
      <w:r>
        <w:rPr>
          <w:rFonts w:ascii="Times New Roman;Times;serif" w:hAnsi="Times New Roman;Times;serif"/>
          <w:sz w:val="22"/>
        </w:rPr>
        <w:t>on the third anniversary</w:t>
      </w:r>
      <w:r>
        <w:rPr>
          <w:rFonts w:ascii="Times New Roman;Times;serif" w:hAnsi="Times New Roman;Times;serif"/>
          <w:spacing w:val="-2"/>
          <w:sz w:val="22"/>
        </w:rPr>
        <w:t xml:space="preserve"> </w:t>
      </w:r>
      <w:r>
        <w:rPr>
          <w:rFonts w:ascii="Times New Roman;Times;serif" w:hAnsi="Times New Roman;Times;serif"/>
          <w:sz w:val="22"/>
        </w:rPr>
        <w:t>of the grant date, such that the Initial RSU Grant is fully vested on the third anniversary of the date of grant, subject to the Eligible Director’s Continuous Service (as defined in the Plan) through each such vesting date.</w:t>
      </w:r>
    </w:p>
    <w:p>
      <w:pPr>
        <w:pStyle w:val="TextBody"/>
        <w:bidi w:val="0"/>
        <w:spacing w:lineRule="auto" w:line="292" w:before="230" w:after="0"/>
        <w:ind w:left="360" w:right="351" w:hanging="0"/>
        <w:jc w:val="both"/>
        <w:rPr>
          <w:rFonts w:ascii="Times New Roman;Times;serif" w:hAnsi="Times New Roman;Times;serif"/>
          <w:sz w:val="22"/>
        </w:rPr>
      </w:pPr>
      <w:r>
        <w:rPr>
          <w:rFonts w:ascii="Times New Roman;Times;serif" w:hAnsi="Times New Roman;Times;serif"/>
          <w:sz w:val="22"/>
          <w:u w:val="single"/>
        </w:rPr>
        <w:t>Annual Grant</w:t>
      </w:r>
      <w:r>
        <w:rPr>
          <w:rFonts w:ascii="Times New Roman;Times;serif" w:hAnsi="Times New Roman;Times;serif"/>
          <w:sz w:val="22"/>
        </w:rPr>
        <w:t>: On the date of each annual stockholder meeting of the Company (each, an “</w:t>
      </w:r>
      <w:r>
        <w:rPr>
          <w:rFonts w:ascii="Times New Roman;Times;serif" w:hAnsi="Times New Roman;Times;serif"/>
          <w:b/>
          <w:i/>
          <w:sz w:val="22"/>
        </w:rPr>
        <w:t>Annual Meeting</w:t>
      </w:r>
      <w:r>
        <w:rPr>
          <w:rFonts w:ascii="Times New Roman;Times;serif" w:hAnsi="Times New Roman;Times;serif"/>
          <w:sz w:val="22"/>
        </w:rPr>
        <w:t>”) held after the Effective Date, each Eligible Director who continues to serve as a non-employee member of the Board following such Annual Meeting (excluding any Eligible Director who is first appointed</w:t>
      </w:r>
      <w:r>
        <w:rPr>
          <w:rFonts w:ascii="Times New Roman;Times;serif" w:hAnsi="Times New Roman;Times;serif"/>
          <w:spacing w:val="-6"/>
          <w:sz w:val="22"/>
        </w:rPr>
        <w:t xml:space="preserve"> </w:t>
      </w:r>
      <w:r>
        <w:rPr>
          <w:rFonts w:ascii="Times New Roman;Times;serif" w:hAnsi="Times New Roman;Times;serif"/>
          <w:sz w:val="22"/>
        </w:rPr>
        <w:t>or</w:t>
      </w:r>
      <w:r>
        <w:rPr>
          <w:rFonts w:ascii="Times New Roman;Times;serif" w:hAnsi="Times New Roman;Times;serif"/>
          <w:spacing w:val="-3"/>
          <w:sz w:val="22"/>
        </w:rPr>
        <w:t xml:space="preserve"> </w:t>
      </w:r>
      <w:r>
        <w:rPr>
          <w:rFonts w:ascii="Times New Roman;Times;serif" w:hAnsi="Times New Roman;Times;serif"/>
          <w:sz w:val="22"/>
        </w:rPr>
        <w:t>elected</w:t>
      </w:r>
      <w:r>
        <w:rPr>
          <w:rFonts w:ascii="Times New Roman;Times;serif" w:hAnsi="Times New Roman;Times;serif"/>
          <w:spacing w:val="-3"/>
          <w:sz w:val="22"/>
        </w:rPr>
        <w:t xml:space="preserve"> </w:t>
      </w:r>
      <w:r>
        <w:rPr>
          <w:rFonts w:ascii="Times New Roman;Times;serif" w:hAnsi="Times New Roman;Times;serif"/>
          <w:sz w:val="22"/>
        </w:rPr>
        <w:t>by</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6"/>
          <w:sz w:val="22"/>
        </w:rPr>
        <w:t xml:space="preserve"> </w:t>
      </w:r>
      <w:r>
        <w:rPr>
          <w:rFonts w:ascii="Times New Roman;Times;serif" w:hAnsi="Times New Roman;Times;serif"/>
          <w:sz w:val="22"/>
        </w:rPr>
        <w:t>Board</w:t>
      </w:r>
      <w:r>
        <w:rPr>
          <w:rFonts w:ascii="Times New Roman;Times;serif" w:hAnsi="Times New Roman;Times;serif"/>
          <w:spacing w:val="-4"/>
          <w:sz w:val="22"/>
        </w:rPr>
        <w:t xml:space="preserve"> </w:t>
      </w:r>
      <w:r>
        <w:rPr>
          <w:rFonts w:ascii="Times New Roman;Times;serif" w:hAnsi="Times New Roman;Times;serif"/>
          <w:sz w:val="22"/>
        </w:rPr>
        <w:t>at</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Annual</w:t>
      </w:r>
      <w:r>
        <w:rPr>
          <w:rFonts w:ascii="Times New Roman;Times;serif" w:hAnsi="Times New Roman;Times;serif"/>
          <w:spacing w:val="-3"/>
          <w:sz w:val="22"/>
        </w:rPr>
        <w:t xml:space="preserve"> </w:t>
      </w:r>
      <w:r>
        <w:rPr>
          <w:rFonts w:ascii="Times New Roman;Times;serif" w:hAnsi="Times New Roman;Times;serif"/>
          <w:sz w:val="22"/>
        </w:rPr>
        <w:t>Meeting)</w:t>
      </w:r>
      <w:r>
        <w:rPr>
          <w:rFonts w:ascii="Times New Roman;Times;serif" w:hAnsi="Times New Roman;Times;serif"/>
          <w:spacing w:val="-3"/>
          <w:sz w:val="22"/>
        </w:rPr>
        <w:t xml:space="preserve"> </w:t>
      </w:r>
      <w:r>
        <w:rPr>
          <w:rFonts w:ascii="Times New Roman;Times;serif" w:hAnsi="Times New Roman;Times;serif"/>
          <w:sz w:val="22"/>
        </w:rPr>
        <w:t>will</w:t>
      </w:r>
      <w:r>
        <w:rPr>
          <w:rFonts w:ascii="Times New Roman;Times;serif" w:hAnsi="Times New Roman;Times;serif"/>
          <w:spacing w:val="-3"/>
          <w:sz w:val="22"/>
        </w:rPr>
        <w:t xml:space="preserve"> </w:t>
      </w:r>
      <w:r>
        <w:rPr>
          <w:rFonts w:ascii="Times New Roman;Times;serif" w:hAnsi="Times New Roman;Times;serif"/>
          <w:sz w:val="22"/>
        </w:rPr>
        <w:t>be</w:t>
      </w:r>
      <w:r>
        <w:rPr>
          <w:rFonts w:ascii="Times New Roman;Times;serif" w:hAnsi="Times New Roman;Times;serif"/>
          <w:spacing w:val="-3"/>
          <w:sz w:val="22"/>
        </w:rPr>
        <w:t xml:space="preserve"> </w:t>
      </w:r>
      <w:r>
        <w:rPr>
          <w:rFonts w:ascii="Times New Roman;Times;serif" w:hAnsi="Times New Roman;Times;serif"/>
          <w:sz w:val="22"/>
        </w:rPr>
        <w:t>automatically,</w:t>
      </w:r>
      <w:r>
        <w:rPr>
          <w:rFonts w:ascii="Times New Roman;Times;serif" w:hAnsi="Times New Roman;Times;serif"/>
          <w:spacing w:val="-4"/>
          <w:sz w:val="22"/>
        </w:rPr>
        <w:t xml:space="preserve"> </w:t>
      </w:r>
      <w:r>
        <w:rPr>
          <w:rFonts w:ascii="Times New Roman;Times;serif" w:hAnsi="Times New Roman;Times;serif"/>
          <w:sz w:val="22"/>
        </w:rPr>
        <w:t>and</w:t>
      </w:r>
      <w:r>
        <w:rPr>
          <w:rFonts w:ascii="Times New Roman;Times;serif" w:hAnsi="Times New Roman;Times;serif"/>
          <w:spacing w:val="-4"/>
          <w:sz w:val="22"/>
        </w:rPr>
        <w:t xml:space="preserve"> </w:t>
      </w:r>
      <w:r>
        <w:rPr>
          <w:rFonts w:ascii="Times New Roman;Times;serif" w:hAnsi="Times New Roman;Times;serif"/>
          <w:sz w:val="22"/>
        </w:rPr>
        <w:t>without</w:t>
      </w:r>
      <w:r>
        <w:rPr>
          <w:rFonts w:ascii="Times New Roman;Times;serif" w:hAnsi="Times New Roman;Times;serif"/>
          <w:spacing w:val="-3"/>
          <w:sz w:val="22"/>
        </w:rPr>
        <w:t xml:space="preserve"> </w:t>
      </w:r>
      <w:r>
        <w:rPr>
          <w:rFonts w:ascii="Times New Roman;Times;serif" w:hAnsi="Times New Roman;Times;serif"/>
          <w:sz w:val="22"/>
        </w:rPr>
        <w:t>further</w:t>
      </w:r>
      <w:r>
        <w:rPr>
          <w:rFonts w:ascii="Times New Roman;Times;serif" w:hAnsi="Times New Roman;Times;serif"/>
          <w:spacing w:val="-5"/>
          <w:sz w:val="22"/>
        </w:rPr>
        <w:t xml:space="preserve"> </w:t>
      </w:r>
      <w:r>
        <w:rPr>
          <w:rFonts w:ascii="Times New Roman;Times;serif" w:hAnsi="Times New Roman;Times;serif"/>
          <w:sz w:val="22"/>
        </w:rPr>
        <w:t xml:space="preserve">action by the Board or the Compensation Committee, granted RSUs with </w:t>
      </w:r>
      <w:r>
        <w:rPr>
          <w:rFonts w:ascii="Times New Roman;Times;serif" w:hAnsi="Times New Roman;Times;serif"/>
          <w:spacing w:val="-2"/>
          <w:sz w:val="22"/>
        </w:rPr>
        <w:t xml:space="preserve">a </w:t>
      </w:r>
      <w:r>
        <w:rPr>
          <w:rFonts w:ascii="Times New Roman;Times;serif" w:hAnsi="Times New Roman;Times;serif"/>
          <w:sz w:val="22"/>
        </w:rPr>
        <w:t>grant value of $167,500</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w:t>
      </w:r>
      <w:r>
        <w:rPr>
          <w:rFonts w:ascii="Times New Roman;Times;serif" w:hAnsi="Times New Roman;Times;serif"/>
          <w:b/>
          <w:i/>
          <w:sz w:val="22"/>
        </w:rPr>
        <w:t>Annual</w:t>
      </w:r>
      <w:r>
        <w:rPr>
          <w:rFonts w:ascii="Times New Roman;Times;serif" w:hAnsi="Times New Roman;Times;serif"/>
          <w:spacing w:val="-2"/>
          <w:sz w:val="22"/>
        </w:rPr>
        <w:t xml:space="preserve"> </w:t>
      </w:r>
      <w:r>
        <w:rPr>
          <w:rFonts w:ascii="Times New Roman;Times;serif" w:hAnsi="Times New Roman;Times;serif"/>
          <w:b/>
          <w:i/>
          <w:sz w:val="22"/>
        </w:rPr>
        <w:t>RSU</w:t>
      </w:r>
      <w:r>
        <w:rPr>
          <w:rFonts w:ascii="Times New Roman;Times;serif" w:hAnsi="Times New Roman;Times;serif"/>
          <w:spacing w:val="-4"/>
          <w:sz w:val="22"/>
        </w:rPr>
        <w:t xml:space="preserve"> </w:t>
      </w:r>
      <w:r>
        <w:rPr>
          <w:rFonts w:ascii="Times New Roman;Times;serif" w:hAnsi="Times New Roman;Times;serif"/>
          <w:b/>
          <w:i/>
          <w:sz w:val="22"/>
        </w:rPr>
        <w:t>Grant</w:t>
      </w:r>
      <w:r>
        <w:rPr>
          <w:rFonts w:ascii="Times New Roman;Times;serif" w:hAnsi="Times New Roman;Times;serif"/>
          <w:sz w:val="22"/>
        </w:rPr>
        <w:t>”);</w:t>
      </w:r>
      <w:r>
        <w:rPr>
          <w:rFonts w:ascii="Times New Roman;Times;serif" w:hAnsi="Times New Roman;Times;serif"/>
          <w:spacing w:val="-1"/>
          <w:sz w:val="22"/>
        </w:rPr>
        <w:t xml:space="preserve"> </w:t>
      </w:r>
      <w:r>
        <w:rPr>
          <w:rFonts w:ascii="Times New Roman;Times;serif" w:hAnsi="Times New Roman;Times;serif"/>
          <w:sz w:val="22"/>
        </w:rPr>
        <w:t>provided</w:t>
      </w:r>
      <w:r>
        <w:rPr>
          <w:rFonts w:ascii="Times New Roman;Times;serif" w:hAnsi="Times New Roman;Times;serif"/>
          <w:spacing w:val="-2"/>
          <w:sz w:val="22"/>
        </w:rPr>
        <w:t xml:space="preserve"> </w:t>
      </w:r>
      <w:r>
        <w:rPr>
          <w:rFonts w:ascii="Times New Roman;Times;serif" w:hAnsi="Times New Roman;Times;serif"/>
          <w:sz w:val="22"/>
        </w:rPr>
        <w:t>that</w:t>
      </w:r>
      <w:r>
        <w:rPr>
          <w:rFonts w:ascii="Times New Roman;Times;serif" w:hAnsi="Times New Roman;Times;serif"/>
          <w:spacing w:val="-1"/>
          <w:sz w:val="22"/>
        </w:rPr>
        <w:t xml:space="preserve"> </w:t>
      </w:r>
      <w:r>
        <w:rPr>
          <w:rFonts w:ascii="Times New Roman;Times;serif" w:hAnsi="Times New Roman;Times;serif"/>
          <w:sz w:val="22"/>
        </w:rPr>
        <w:t>such</w:t>
      </w:r>
      <w:r>
        <w:rPr>
          <w:rFonts w:ascii="Times New Roman;Times;serif" w:hAnsi="Times New Roman;Times;serif"/>
          <w:spacing w:val="-2"/>
          <w:sz w:val="22"/>
        </w:rPr>
        <w:t xml:space="preserve"> </w:t>
      </w:r>
      <w:r>
        <w:rPr>
          <w:rFonts w:ascii="Times New Roman;Times;serif" w:hAnsi="Times New Roman;Times;serif"/>
          <w:sz w:val="22"/>
        </w:rPr>
        <w:t>Eligible</w:t>
      </w:r>
      <w:r>
        <w:rPr>
          <w:rFonts w:ascii="Times New Roman;Times;serif" w:hAnsi="Times New Roman;Times;serif"/>
          <w:spacing w:val="-2"/>
          <w:sz w:val="22"/>
        </w:rPr>
        <w:t xml:space="preserve"> </w:t>
      </w:r>
      <w:r>
        <w:rPr>
          <w:rFonts w:ascii="Times New Roman;Times;serif" w:hAnsi="Times New Roman;Times;serif"/>
          <w:sz w:val="22"/>
        </w:rPr>
        <w:t>Director</w:t>
      </w:r>
      <w:r>
        <w:rPr>
          <w:rFonts w:ascii="Times New Roman;Times;serif" w:hAnsi="Times New Roman;Times;serif"/>
          <w:spacing w:val="-2"/>
          <w:sz w:val="22"/>
        </w:rPr>
        <w:t xml:space="preserve"> </w:t>
      </w:r>
      <w:r>
        <w:rPr>
          <w:rFonts w:ascii="Times New Roman;Times;serif" w:hAnsi="Times New Roman;Times;serif"/>
          <w:sz w:val="22"/>
        </w:rPr>
        <w:t>remains in Continuous Service through the grant date. The Annual RSU Grant will vest in full on the earlier of (i) the</w:t>
      </w:r>
      <w:r>
        <w:rPr>
          <w:rFonts w:ascii="Times New Roman;Times;serif" w:hAnsi="Times New Roman;Times;serif"/>
          <w:spacing w:val="-7"/>
          <w:sz w:val="22"/>
        </w:rPr>
        <w:t xml:space="preserve"> </w:t>
      </w:r>
      <w:r>
        <w:rPr>
          <w:rFonts w:ascii="Times New Roman;Times;serif" w:hAnsi="Times New Roman;Times;serif"/>
          <w:sz w:val="22"/>
        </w:rPr>
        <w:t>date</w:t>
      </w:r>
      <w:r>
        <w:rPr>
          <w:rFonts w:ascii="Times New Roman;Times;serif" w:hAnsi="Times New Roman;Times;serif"/>
          <w:spacing w:val="-4"/>
          <w:sz w:val="22"/>
        </w:rPr>
        <w:t xml:space="preserve"> </w:t>
      </w:r>
      <w:r>
        <w:rPr>
          <w:rFonts w:ascii="Times New Roman;Times;serif" w:hAnsi="Times New Roman;Times;serif"/>
          <w:sz w:val="22"/>
        </w:rPr>
        <w:t>of</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7"/>
          <w:sz w:val="22"/>
        </w:rPr>
        <w:t xml:space="preserve"> </w:t>
      </w:r>
      <w:r>
        <w:rPr>
          <w:rFonts w:ascii="Times New Roman;Times;serif" w:hAnsi="Times New Roman;Times;serif"/>
          <w:sz w:val="22"/>
        </w:rPr>
        <w:t>following</w:t>
      </w:r>
      <w:r>
        <w:rPr>
          <w:rFonts w:ascii="Times New Roman;Times;serif" w:hAnsi="Times New Roman;Times;serif"/>
          <w:spacing w:val="-7"/>
          <w:sz w:val="22"/>
        </w:rPr>
        <w:t xml:space="preserve"> </w:t>
      </w:r>
      <w:r>
        <w:rPr>
          <w:rFonts w:ascii="Times New Roman;Times;serif" w:hAnsi="Times New Roman;Times;serif"/>
          <w:sz w:val="22"/>
        </w:rPr>
        <w:t>year’s</w:t>
      </w:r>
      <w:r>
        <w:rPr>
          <w:rFonts w:ascii="Times New Roman;Times;serif" w:hAnsi="Times New Roman;Times;serif"/>
          <w:spacing w:val="-4"/>
          <w:sz w:val="22"/>
        </w:rPr>
        <w:t xml:space="preserve"> </w:t>
      </w:r>
      <w:r>
        <w:rPr>
          <w:rFonts w:ascii="Times New Roman;Times;serif" w:hAnsi="Times New Roman;Times;serif"/>
          <w:sz w:val="22"/>
        </w:rPr>
        <w:t>Annual</w:t>
      </w:r>
      <w:r>
        <w:rPr>
          <w:rFonts w:ascii="Times New Roman;Times;serif" w:hAnsi="Times New Roman;Times;serif"/>
          <w:spacing w:val="-6"/>
          <w:sz w:val="22"/>
        </w:rPr>
        <w:t xml:space="preserve"> </w:t>
      </w:r>
      <w:r>
        <w:rPr>
          <w:rFonts w:ascii="Times New Roman;Times;serif" w:hAnsi="Times New Roman;Times;serif"/>
          <w:sz w:val="22"/>
        </w:rPr>
        <w:t>Meeting</w:t>
      </w:r>
      <w:r>
        <w:rPr>
          <w:rFonts w:ascii="Times New Roman;Times;serif" w:hAnsi="Times New Roman;Times;serif"/>
          <w:spacing w:val="-7"/>
          <w:sz w:val="22"/>
        </w:rPr>
        <w:t xml:space="preserve"> </w:t>
      </w:r>
      <w:r>
        <w:rPr>
          <w:rFonts w:ascii="Times New Roman;Times;serif" w:hAnsi="Times New Roman;Times;serif"/>
          <w:sz w:val="22"/>
        </w:rPr>
        <w:t>(or</w:t>
      </w:r>
      <w:r>
        <w:rPr>
          <w:rFonts w:ascii="Times New Roman;Times;serif" w:hAnsi="Times New Roman;Times;serif"/>
          <w:spacing w:val="-6"/>
          <w:sz w:val="22"/>
        </w:rPr>
        <w:t xml:space="preserve"> </w:t>
      </w:r>
      <w:r>
        <w:rPr>
          <w:rFonts w:ascii="Times New Roman;Times;serif" w:hAnsi="Times New Roman;Times;serif"/>
          <w:sz w:val="22"/>
        </w:rPr>
        <w:t>the</w:t>
      </w:r>
      <w:r>
        <w:rPr>
          <w:rFonts w:ascii="Times New Roman;Times;serif" w:hAnsi="Times New Roman;Times;serif"/>
          <w:spacing w:val="-7"/>
          <w:sz w:val="22"/>
        </w:rPr>
        <w:t xml:space="preserve"> </w:t>
      </w:r>
      <w:r>
        <w:rPr>
          <w:rFonts w:ascii="Times New Roman;Times;serif" w:hAnsi="Times New Roman;Times;serif"/>
          <w:sz w:val="22"/>
        </w:rPr>
        <w:t>date</w:t>
      </w:r>
      <w:r>
        <w:rPr>
          <w:rFonts w:ascii="Times New Roman;Times;serif" w:hAnsi="Times New Roman;Times;serif"/>
          <w:spacing w:val="-7"/>
          <w:sz w:val="22"/>
        </w:rPr>
        <w:t xml:space="preserve"> </w:t>
      </w:r>
      <w:r>
        <w:rPr>
          <w:rFonts w:ascii="Times New Roman;Times;serif" w:hAnsi="Times New Roman;Times;serif"/>
          <w:sz w:val="22"/>
        </w:rPr>
        <w:t>immediately</w:t>
      </w:r>
      <w:r>
        <w:rPr>
          <w:rFonts w:ascii="Times New Roman;Times;serif" w:hAnsi="Times New Roman;Times;serif"/>
          <w:spacing w:val="-7"/>
          <w:sz w:val="22"/>
        </w:rPr>
        <w:t xml:space="preserve"> </w:t>
      </w:r>
      <w:r>
        <w:rPr>
          <w:rFonts w:ascii="Times New Roman;Times;serif" w:hAnsi="Times New Roman;Times;serif"/>
          <w:sz w:val="22"/>
        </w:rPr>
        <w:t>prior</w:t>
      </w:r>
      <w:r>
        <w:rPr>
          <w:rFonts w:ascii="Times New Roman;Times;serif" w:hAnsi="Times New Roman;Times;serif"/>
          <w:spacing w:val="-6"/>
          <w:sz w:val="22"/>
        </w:rPr>
        <w:t xml:space="preserve"> </w:t>
      </w:r>
      <w:r>
        <w:rPr>
          <w:rFonts w:ascii="Times New Roman;Times;serif" w:hAnsi="Times New Roman;Times;serif"/>
          <w:sz w:val="22"/>
        </w:rPr>
        <w:t>to</w:t>
      </w:r>
      <w:r>
        <w:rPr>
          <w:rFonts w:ascii="Times New Roman;Times;serif" w:hAnsi="Times New Roman;Times;serif"/>
          <w:spacing w:val="-7"/>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next</w:t>
      </w:r>
      <w:r>
        <w:rPr>
          <w:rFonts w:ascii="Times New Roman;Times;serif" w:hAnsi="Times New Roman;Times;serif"/>
          <w:spacing w:val="-4"/>
          <w:sz w:val="22"/>
        </w:rPr>
        <w:t xml:space="preserve"> </w:t>
      </w:r>
      <w:r>
        <w:rPr>
          <w:rFonts w:ascii="Times New Roman;Times;serif" w:hAnsi="Times New Roman;Times;serif"/>
          <w:sz w:val="22"/>
        </w:rPr>
        <w:t>Annual</w:t>
      </w:r>
      <w:r>
        <w:rPr>
          <w:rFonts w:ascii="Times New Roman;Times;serif" w:hAnsi="Times New Roman;Times;serif"/>
          <w:spacing w:val="-6"/>
          <w:sz w:val="22"/>
        </w:rPr>
        <w:t xml:space="preserve"> </w:t>
      </w:r>
      <w:r>
        <w:rPr>
          <w:rFonts w:ascii="Times New Roman;Times;serif" w:hAnsi="Times New Roman;Times;serif"/>
          <w:sz w:val="22"/>
        </w:rPr>
        <w:t>Meeting if the Eligible Director’s service as a director ends at such Annual Meeting due to the director’s failure to be re-elected or the director not standing for re-election); or (ii) the one-year anniversary measured from the date of grant, in each case subject to the Eligible Director’s Continuous Service through such vesting date.</w:t>
      </w:r>
      <w:r>
        <w:rPr>
          <w:rFonts w:ascii="Times New Roman;Times;serif" w:hAnsi="Times New Roman;Times;serif"/>
          <w:spacing w:val="-4"/>
          <w:sz w:val="22"/>
        </w:rPr>
        <w:t xml:space="preserve"> </w:t>
      </w:r>
      <w:r>
        <w:rPr>
          <w:rFonts w:ascii="Times New Roman;Times;serif" w:hAnsi="Times New Roman;Times;serif"/>
          <w:sz w:val="22"/>
        </w:rPr>
        <w:t>With</w:t>
      </w:r>
      <w:r>
        <w:rPr>
          <w:rFonts w:ascii="Times New Roman;Times;serif" w:hAnsi="Times New Roman;Times;serif"/>
          <w:spacing w:val="-5"/>
          <w:sz w:val="22"/>
        </w:rPr>
        <w:t xml:space="preserve"> </w:t>
      </w:r>
      <w:r>
        <w:rPr>
          <w:rFonts w:ascii="Times New Roman;Times;serif" w:hAnsi="Times New Roman;Times;serif"/>
          <w:sz w:val="22"/>
        </w:rPr>
        <w:t>respect</w:t>
      </w:r>
      <w:r>
        <w:rPr>
          <w:rFonts w:ascii="Times New Roman;Times;serif" w:hAnsi="Times New Roman;Times;serif"/>
          <w:spacing w:val="-4"/>
          <w:sz w:val="22"/>
        </w:rPr>
        <w:t xml:space="preserve"> </w:t>
      </w:r>
      <w:r>
        <w:rPr>
          <w:rFonts w:ascii="Times New Roman;Times;serif" w:hAnsi="Times New Roman;Times;serif"/>
          <w:sz w:val="22"/>
        </w:rPr>
        <w:t>to</w:t>
      </w:r>
      <w:r>
        <w:rPr>
          <w:rFonts w:ascii="Times New Roman;Times;serif" w:hAnsi="Times New Roman;Times;serif"/>
          <w:spacing w:val="-5"/>
          <w:sz w:val="22"/>
        </w:rPr>
        <w:t xml:space="preserve"> </w:t>
      </w:r>
      <w:r>
        <w:rPr>
          <w:rFonts w:ascii="Times New Roman;Times;serif" w:hAnsi="Times New Roman;Times;serif"/>
          <w:sz w:val="22"/>
        </w:rPr>
        <w:t>an</w:t>
      </w:r>
      <w:r>
        <w:rPr>
          <w:rFonts w:ascii="Times New Roman;Times;serif" w:hAnsi="Times New Roman;Times;serif"/>
          <w:spacing w:val="-2"/>
          <w:sz w:val="22"/>
        </w:rPr>
        <w:t xml:space="preserve"> </w:t>
      </w:r>
      <w:r>
        <w:rPr>
          <w:rFonts w:ascii="Times New Roman;Times;serif" w:hAnsi="Times New Roman;Times;serif"/>
          <w:sz w:val="22"/>
        </w:rPr>
        <w:t>Eligible</w:t>
      </w:r>
      <w:r>
        <w:rPr>
          <w:rFonts w:ascii="Times New Roman;Times;serif" w:hAnsi="Times New Roman;Times;serif"/>
          <w:spacing w:val="-2"/>
          <w:sz w:val="22"/>
        </w:rPr>
        <w:t xml:space="preserve"> </w:t>
      </w:r>
      <w:r>
        <w:rPr>
          <w:rFonts w:ascii="Times New Roman;Times;serif" w:hAnsi="Times New Roman;Times;serif"/>
          <w:sz w:val="22"/>
        </w:rPr>
        <w:t>Director</w:t>
      </w:r>
      <w:r>
        <w:rPr>
          <w:rFonts w:ascii="Times New Roman;Times;serif" w:hAnsi="Times New Roman;Times;serif"/>
          <w:spacing w:val="-2"/>
          <w:sz w:val="22"/>
        </w:rPr>
        <w:t xml:space="preserve"> </w:t>
      </w:r>
      <w:r>
        <w:rPr>
          <w:rFonts w:ascii="Times New Roman;Times;serif" w:hAnsi="Times New Roman;Times;serif"/>
          <w:sz w:val="22"/>
        </w:rPr>
        <w:t>who,</w:t>
      </w:r>
      <w:r>
        <w:rPr>
          <w:rFonts w:ascii="Times New Roman;Times;serif" w:hAnsi="Times New Roman;Times;serif"/>
          <w:spacing w:val="-5"/>
          <w:sz w:val="22"/>
        </w:rPr>
        <w:t xml:space="preserve"> </w:t>
      </w:r>
      <w:r>
        <w:rPr>
          <w:rFonts w:ascii="Times New Roman;Times;serif" w:hAnsi="Times New Roman;Times;serif"/>
          <w:sz w:val="22"/>
        </w:rPr>
        <w:t>following</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Effective</w:t>
      </w:r>
      <w:r>
        <w:rPr>
          <w:rFonts w:ascii="Times New Roman;Times;serif" w:hAnsi="Times New Roman;Times;serif"/>
          <w:spacing w:val="-2"/>
          <w:sz w:val="22"/>
        </w:rPr>
        <w:t xml:space="preserve"> </w:t>
      </w:r>
      <w:r>
        <w:rPr>
          <w:rFonts w:ascii="Times New Roman;Times;serif" w:hAnsi="Times New Roman;Times;serif"/>
          <w:sz w:val="22"/>
        </w:rPr>
        <w:t>Date,</w:t>
      </w:r>
      <w:r>
        <w:rPr>
          <w:rFonts w:ascii="Times New Roman;Times;serif" w:hAnsi="Times New Roman;Times;serif"/>
          <w:spacing w:val="-4"/>
          <w:sz w:val="22"/>
        </w:rPr>
        <w:t xml:space="preserve"> </w:t>
      </w:r>
      <w:r>
        <w:rPr>
          <w:rFonts w:ascii="Times New Roman;Times;serif" w:hAnsi="Times New Roman;Times;serif"/>
          <w:sz w:val="22"/>
        </w:rPr>
        <w:t>was</w:t>
      </w:r>
      <w:r>
        <w:rPr>
          <w:rFonts w:ascii="Times New Roman;Times;serif" w:hAnsi="Times New Roman;Times;serif"/>
          <w:spacing w:val="-4"/>
          <w:sz w:val="22"/>
        </w:rPr>
        <w:t xml:space="preserve"> </w:t>
      </w:r>
      <w:r>
        <w:rPr>
          <w:rFonts w:ascii="Times New Roman;Times;serif" w:hAnsi="Times New Roman;Times;serif"/>
          <w:sz w:val="22"/>
        </w:rPr>
        <w:t>first</w:t>
      </w:r>
      <w:r>
        <w:rPr>
          <w:rFonts w:ascii="Times New Roman;Times;serif" w:hAnsi="Times New Roman;Times;serif"/>
          <w:spacing w:val="-4"/>
          <w:sz w:val="22"/>
        </w:rPr>
        <w:t xml:space="preserve"> </w:t>
      </w:r>
      <w:r>
        <w:rPr>
          <w:rFonts w:ascii="Times New Roman;Times;serif" w:hAnsi="Times New Roman;Times;serif"/>
          <w:sz w:val="22"/>
        </w:rPr>
        <w:t>elected</w:t>
      </w:r>
      <w:r>
        <w:rPr>
          <w:rFonts w:ascii="Times New Roman;Times;serif" w:hAnsi="Times New Roman;Times;serif"/>
          <w:spacing w:val="-4"/>
          <w:sz w:val="22"/>
        </w:rPr>
        <w:t xml:space="preserve"> </w:t>
      </w:r>
      <w:r>
        <w:rPr>
          <w:rFonts w:ascii="Times New Roman;Times;serif" w:hAnsi="Times New Roman;Times;serif"/>
          <w:sz w:val="22"/>
        </w:rPr>
        <w:t>or</w:t>
      </w:r>
      <w:r>
        <w:rPr>
          <w:rFonts w:ascii="Times New Roman;Times;serif" w:hAnsi="Times New Roman;Times;serif"/>
          <w:spacing w:val="-4"/>
          <w:sz w:val="22"/>
        </w:rPr>
        <w:t xml:space="preserve"> </w:t>
      </w:r>
      <w:r>
        <w:rPr>
          <w:rFonts w:ascii="Times New Roman;Times;serif" w:hAnsi="Times New Roman;Times;serif"/>
          <w:sz w:val="22"/>
        </w:rPr>
        <w:t>appointed to</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Board</w:t>
      </w:r>
      <w:r>
        <w:rPr>
          <w:rFonts w:ascii="Times New Roman;Times;serif" w:hAnsi="Times New Roman;Times;serif"/>
          <w:spacing w:val="-1"/>
          <w:sz w:val="22"/>
        </w:rPr>
        <w:t xml:space="preserve"> </w:t>
      </w:r>
      <w:r>
        <w:rPr>
          <w:rFonts w:ascii="Times New Roman;Times;serif" w:hAnsi="Times New Roman;Times;serif"/>
          <w:sz w:val="22"/>
        </w:rPr>
        <w:t>on</w:t>
      </w:r>
      <w:r>
        <w:rPr>
          <w:rFonts w:ascii="Times New Roman;Times;serif" w:hAnsi="Times New Roman;Times;serif"/>
          <w:spacing w:val="-4"/>
          <w:sz w:val="22"/>
        </w:rPr>
        <w:t xml:space="preserve"> </w:t>
      </w:r>
      <w:r>
        <w:rPr>
          <w:rFonts w:ascii="Times New Roman;Times;serif" w:hAnsi="Times New Roman;Times;serif"/>
          <w:sz w:val="22"/>
        </w:rPr>
        <w:t>a</w:t>
      </w:r>
      <w:r>
        <w:rPr>
          <w:rFonts w:ascii="Times New Roman;Times;serif" w:hAnsi="Times New Roman;Times;serif"/>
          <w:spacing w:val="-1"/>
          <w:sz w:val="22"/>
        </w:rPr>
        <w:t xml:space="preserve"> </w:t>
      </w:r>
      <w:r>
        <w:rPr>
          <w:rFonts w:ascii="Times New Roman;Times;serif" w:hAnsi="Times New Roman;Times;serif"/>
          <w:sz w:val="22"/>
        </w:rPr>
        <w:t>date</w:t>
      </w:r>
      <w:r>
        <w:rPr>
          <w:rFonts w:ascii="Times New Roman;Times;serif" w:hAnsi="Times New Roman;Times;serif"/>
          <w:spacing w:val="-1"/>
          <w:sz w:val="22"/>
        </w:rPr>
        <w:t xml:space="preserve"> </w:t>
      </w:r>
      <w:r>
        <w:rPr>
          <w:rFonts w:ascii="Times New Roman;Times;serif" w:hAnsi="Times New Roman;Times;serif"/>
          <w:sz w:val="22"/>
        </w:rPr>
        <w:t>other</w:t>
      </w:r>
      <w:r>
        <w:rPr>
          <w:rFonts w:ascii="Times New Roman;Times;serif" w:hAnsi="Times New Roman;Times;serif"/>
          <w:spacing w:val="-3"/>
          <w:sz w:val="22"/>
        </w:rPr>
        <w:t xml:space="preserve"> </w:t>
      </w:r>
      <w:r>
        <w:rPr>
          <w:rFonts w:ascii="Times New Roman;Times;serif" w:hAnsi="Times New Roman;Times;serif"/>
          <w:sz w:val="22"/>
        </w:rPr>
        <w:t>than</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date</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Annual</w:t>
      </w:r>
      <w:r>
        <w:rPr>
          <w:rFonts w:ascii="Times New Roman;Times;serif" w:hAnsi="Times New Roman;Times;serif"/>
          <w:spacing w:val="-3"/>
          <w:sz w:val="22"/>
        </w:rPr>
        <w:t xml:space="preserve"> </w:t>
      </w:r>
      <w:r>
        <w:rPr>
          <w:rFonts w:ascii="Times New Roman;Times;serif" w:hAnsi="Times New Roman;Times;serif"/>
          <w:sz w:val="22"/>
        </w:rPr>
        <w:t>Meeting, upon</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first Annual</w:t>
      </w:r>
      <w:r>
        <w:rPr>
          <w:rFonts w:ascii="Times New Roman;Times;serif" w:hAnsi="Times New Roman;Times;serif"/>
          <w:spacing w:val="-3"/>
          <w:sz w:val="22"/>
        </w:rPr>
        <w:t xml:space="preserve"> </w:t>
      </w:r>
      <w:r>
        <w:rPr>
          <w:rFonts w:ascii="Times New Roman;Times;serif" w:hAnsi="Times New Roman;Times;serif"/>
          <w:sz w:val="22"/>
        </w:rPr>
        <w:t>Meeting</w:t>
      </w:r>
      <w:r>
        <w:rPr>
          <w:rFonts w:ascii="Times New Roman;Times;serif" w:hAnsi="Times New Roman;Times;serif"/>
          <w:spacing w:val="-4"/>
          <w:sz w:val="22"/>
        </w:rPr>
        <w:t xml:space="preserve"> </w:t>
      </w:r>
      <w:r>
        <w:rPr>
          <w:rFonts w:ascii="Times New Roman;Times;serif" w:hAnsi="Times New Roman;Times;serif"/>
          <w:sz w:val="22"/>
        </w:rPr>
        <w:t>following such</w:t>
      </w:r>
      <w:r>
        <w:rPr>
          <w:rFonts w:ascii="Times New Roman;Times;serif" w:hAnsi="Times New Roman;Times;serif"/>
          <w:spacing w:val="-12"/>
          <w:sz w:val="22"/>
        </w:rPr>
        <w:t xml:space="preserve"> </w:t>
      </w:r>
      <w:r>
        <w:rPr>
          <w:rFonts w:ascii="Times New Roman;Times;serif" w:hAnsi="Times New Roman;Times;serif"/>
          <w:sz w:val="22"/>
        </w:rPr>
        <w:t>Eligible</w:t>
      </w:r>
      <w:r>
        <w:rPr>
          <w:rFonts w:ascii="Times New Roman;Times;serif" w:hAnsi="Times New Roman;Times;serif"/>
          <w:spacing w:val="-12"/>
          <w:sz w:val="22"/>
        </w:rPr>
        <w:t xml:space="preserve"> </w:t>
      </w:r>
      <w:r>
        <w:rPr>
          <w:rFonts w:ascii="Times New Roman;Times;serif" w:hAnsi="Times New Roman;Times;serif"/>
          <w:sz w:val="22"/>
        </w:rPr>
        <w:t>Director’s</w:t>
      </w:r>
      <w:r>
        <w:rPr>
          <w:rFonts w:ascii="Times New Roman;Times;serif" w:hAnsi="Times New Roman;Times;serif"/>
          <w:spacing w:val="-14"/>
          <w:sz w:val="22"/>
        </w:rPr>
        <w:t xml:space="preserve"> </w:t>
      </w:r>
      <w:r>
        <w:rPr>
          <w:rFonts w:ascii="Times New Roman;Times;serif" w:hAnsi="Times New Roman;Times;serif"/>
          <w:sz w:val="22"/>
        </w:rPr>
        <w:t>first</w:t>
      </w:r>
      <w:r>
        <w:rPr>
          <w:rFonts w:ascii="Times New Roman;Times;serif" w:hAnsi="Times New Roman;Times;serif"/>
          <w:spacing w:val="-12"/>
          <w:sz w:val="22"/>
        </w:rPr>
        <w:t xml:space="preserve"> </w:t>
      </w:r>
      <w:r>
        <w:rPr>
          <w:rFonts w:ascii="Times New Roman;Times;serif" w:hAnsi="Times New Roman;Times;serif"/>
          <w:sz w:val="22"/>
        </w:rPr>
        <w:t>joining</w:t>
      </w:r>
      <w:r>
        <w:rPr>
          <w:rFonts w:ascii="Times New Roman;Times;serif" w:hAnsi="Times New Roman;Times;serif"/>
          <w:spacing w:val="-14"/>
          <w:sz w:val="22"/>
        </w:rPr>
        <w:t xml:space="preserve"> </w:t>
      </w:r>
      <w:r>
        <w:rPr>
          <w:rFonts w:ascii="Times New Roman;Times;serif" w:hAnsi="Times New Roman;Times;serif"/>
          <w:sz w:val="22"/>
        </w:rPr>
        <w:t>the</w:t>
      </w:r>
      <w:r>
        <w:rPr>
          <w:rFonts w:ascii="Times New Roman;Times;serif" w:hAnsi="Times New Roman;Times;serif"/>
          <w:spacing w:val="-11"/>
          <w:sz w:val="22"/>
        </w:rPr>
        <w:t xml:space="preserve"> </w:t>
      </w:r>
      <w:r>
        <w:rPr>
          <w:rFonts w:ascii="Times New Roman;Times;serif" w:hAnsi="Times New Roman;Times;serif"/>
          <w:sz w:val="22"/>
        </w:rPr>
        <w:t>Board,</w:t>
      </w:r>
      <w:r>
        <w:rPr>
          <w:rFonts w:ascii="Times New Roman;Times;serif" w:hAnsi="Times New Roman;Times;serif"/>
          <w:spacing w:val="-14"/>
          <w:sz w:val="22"/>
        </w:rPr>
        <w:t xml:space="preserve"> </w:t>
      </w:r>
      <w:r>
        <w:rPr>
          <w:rFonts w:ascii="Times New Roman;Times;serif" w:hAnsi="Times New Roman;Times;serif"/>
          <w:sz w:val="22"/>
        </w:rPr>
        <w:t>such</w:t>
      </w:r>
      <w:r>
        <w:rPr>
          <w:rFonts w:ascii="Times New Roman;Times;serif" w:hAnsi="Times New Roman;Times;serif"/>
          <w:spacing w:val="-13"/>
          <w:sz w:val="22"/>
        </w:rPr>
        <w:t xml:space="preserve"> </w:t>
      </w:r>
      <w:r>
        <w:rPr>
          <w:rFonts w:ascii="Times New Roman;Times;serif" w:hAnsi="Times New Roman;Times;serif"/>
          <w:sz w:val="22"/>
        </w:rPr>
        <w:t>Eligible</w:t>
      </w:r>
      <w:r>
        <w:rPr>
          <w:rFonts w:ascii="Times New Roman;Times;serif" w:hAnsi="Times New Roman;Times;serif"/>
          <w:spacing w:val="-12"/>
          <w:sz w:val="22"/>
        </w:rPr>
        <w:t xml:space="preserve"> </w:t>
      </w:r>
      <w:r>
        <w:rPr>
          <w:rFonts w:ascii="Times New Roman;Times;serif" w:hAnsi="Times New Roman;Times;serif"/>
          <w:sz w:val="22"/>
        </w:rPr>
        <w:t>Director’s</w:t>
      </w:r>
      <w:r>
        <w:rPr>
          <w:rFonts w:ascii="Times New Roman;Times;serif" w:hAnsi="Times New Roman;Times;serif"/>
          <w:spacing w:val="-14"/>
          <w:sz w:val="22"/>
        </w:rPr>
        <w:t xml:space="preserve"> </w:t>
      </w:r>
      <w:r>
        <w:rPr>
          <w:rFonts w:ascii="Times New Roman;Times;serif" w:hAnsi="Times New Roman;Times;serif"/>
          <w:sz w:val="22"/>
        </w:rPr>
        <w:t>first</w:t>
      </w:r>
      <w:r>
        <w:rPr>
          <w:rFonts w:ascii="Times New Roman;Times;serif" w:hAnsi="Times New Roman;Times;serif"/>
          <w:spacing w:val="-11"/>
          <w:sz w:val="22"/>
        </w:rPr>
        <w:t xml:space="preserve"> </w:t>
      </w:r>
      <w:r>
        <w:rPr>
          <w:rFonts w:ascii="Times New Roman;Times;serif" w:hAnsi="Times New Roman;Times;serif"/>
          <w:sz w:val="22"/>
        </w:rPr>
        <w:t>Annual</w:t>
      </w:r>
      <w:r>
        <w:rPr>
          <w:rFonts w:ascii="Times New Roman;Times;serif" w:hAnsi="Times New Roman;Times;serif"/>
          <w:spacing w:val="-11"/>
          <w:sz w:val="22"/>
        </w:rPr>
        <w:t xml:space="preserve"> </w:t>
      </w:r>
      <w:r>
        <w:rPr>
          <w:rFonts w:ascii="Times New Roman;Times;serif" w:hAnsi="Times New Roman;Times;serif"/>
          <w:sz w:val="22"/>
        </w:rPr>
        <w:t>Grant</w:t>
      </w:r>
      <w:r>
        <w:rPr>
          <w:rFonts w:ascii="Times New Roman;Times;serif" w:hAnsi="Times New Roman;Times;serif"/>
          <w:spacing w:val="-11"/>
          <w:sz w:val="22"/>
        </w:rPr>
        <w:t xml:space="preserve"> </w:t>
      </w:r>
      <w:r>
        <w:rPr>
          <w:rFonts w:ascii="Times New Roman;Times;serif" w:hAnsi="Times New Roman;Times;serif"/>
          <w:sz w:val="22"/>
        </w:rPr>
        <w:t>will</w:t>
      </w:r>
      <w:r>
        <w:rPr>
          <w:rFonts w:ascii="Times New Roman;Times;serif" w:hAnsi="Times New Roman;Times;serif"/>
          <w:spacing w:val="-13"/>
          <w:sz w:val="22"/>
        </w:rPr>
        <w:t xml:space="preserve"> </w:t>
      </w:r>
      <w:r>
        <w:rPr>
          <w:rFonts w:ascii="Times New Roman;Times;serif" w:hAnsi="Times New Roman;Times;serif"/>
          <w:sz w:val="22"/>
        </w:rPr>
        <w:t>be</w:t>
      </w:r>
      <w:r>
        <w:rPr>
          <w:rFonts w:ascii="Times New Roman;Times;serif" w:hAnsi="Times New Roman;Times;serif"/>
          <w:spacing w:val="-12"/>
          <w:sz w:val="22"/>
        </w:rPr>
        <w:t xml:space="preserve"> </w:t>
      </w:r>
      <w:r>
        <w:rPr>
          <w:rFonts w:ascii="Times New Roman;Times;serif" w:hAnsi="Times New Roman;Times;serif"/>
          <w:sz w:val="22"/>
        </w:rPr>
        <w:t>pro-rated to reflect the time between such Eligible Director’s election or appointment date and the date of such first Annual Meeting.</w:t>
      </w:r>
    </w:p>
    <w:p>
      <w:pPr>
        <w:pStyle w:val="TextBody"/>
        <w:bidi w:val="0"/>
        <w:spacing w:lineRule="auto" w:line="292" w:before="230" w:after="0"/>
        <w:ind w:left="360" w:right="351" w:hanging="0"/>
        <w:jc w:val="both"/>
        <w:rPr>
          <w:rFonts w:ascii="Times New Roman;Times;serif" w:hAnsi="Times New Roman;Times;serif"/>
          <w:sz w:val="22"/>
        </w:rPr>
      </w:pPr>
      <w:r>
        <w:rPr>
          <w:rFonts w:ascii="Times New Roman;Times;serif" w:hAnsi="Times New Roman;Times;serif"/>
          <w:sz w:val="22"/>
          <w:u w:val="single"/>
        </w:rPr>
        <w:t>Settlement of RSUs</w:t>
      </w:r>
      <w:r>
        <w:rPr>
          <w:rFonts w:ascii="Times New Roman;Times;serif" w:hAnsi="Times New Roman;Times;serif"/>
          <w:sz w:val="22"/>
        </w:rPr>
        <w:t>: The Common Stock to be issued upon settlement of vested RSUs under Initial RSU Grants and Annual RSU Grants will be delivered on the applicable vesting date, or as soon as practicable thereafter, subject to the terms and conditions of the applicable form of RSU grant notice and agreement approved by</w:t>
      </w:r>
      <w:r>
        <w:rPr>
          <w:rFonts w:ascii="Times New Roman;Times;serif" w:hAnsi="Times New Roman;Times;serif"/>
          <w:spacing w:val="-3"/>
          <w:sz w:val="22"/>
        </w:rPr>
        <w:t xml:space="preserve"> the</w:t>
      </w:r>
      <w:r>
        <w:rPr>
          <w:rFonts w:ascii="Times New Roman;Times;serif" w:hAnsi="Times New Roman;Times;serif"/>
          <w:sz w:val="22"/>
        </w:rPr>
        <w:t xml:space="preserve"> Board, provided, that</w:t>
      </w:r>
      <w:r>
        <w:rPr>
          <w:rFonts w:ascii="Times New Roman;Times;serif" w:hAnsi="Times New Roman;Times;serif"/>
          <w:spacing w:val="-1"/>
          <w:sz w:val="22"/>
        </w:rPr>
        <w:t xml:space="preserve"> </w:t>
      </w:r>
      <w:r>
        <w:rPr>
          <w:rFonts w:ascii="Times New Roman;Times;serif" w:hAnsi="Times New Roman;Times;serif"/>
          <w:sz w:val="22"/>
        </w:rPr>
        <w:t>such</w:t>
      </w:r>
      <w:r>
        <w:rPr>
          <w:rFonts w:ascii="Times New Roman;Times;serif" w:hAnsi="Times New Roman;Times;serif"/>
          <w:spacing w:val="-3"/>
          <w:sz w:val="22"/>
        </w:rPr>
        <w:t xml:space="preserve"> </w:t>
      </w:r>
      <w:r>
        <w:rPr>
          <w:rFonts w:ascii="Times New Roman;Times;serif" w:hAnsi="Times New Roman;Times;serif"/>
          <w:sz w:val="22"/>
        </w:rPr>
        <w:t>Common Stock</w:t>
      </w:r>
      <w:r>
        <w:rPr>
          <w:rFonts w:ascii="Times New Roman;Times;serif" w:hAnsi="Times New Roman;Times;serif"/>
          <w:spacing w:val="-3"/>
          <w:sz w:val="22"/>
        </w:rPr>
        <w:t xml:space="preserve"> </w:t>
      </w:r>
      <w:r>
        <w:rPr>
          <w:rFonts w:ascii="Times New Roman;Times;serif" w:hAnsi="Times New Roman;Times;serif"/>
          <w:sz w:val="22"/>
        </w:rPr>
        <w:t>shall</w:t>
      </w:r>
      <w:r>
        <w:rPr>
          <w:rFonts w:ascii="Times New Roman;Times;serif" w:hAnsi="Times New Roman;Times;serif"/>
          <w:spacing w:val="-1"/>
          <w:sz w:val="22"/>
        </w:rPr>
        <w:t xml:space="preserve"> </w:t>
      </w:r>
      <w:r>
        <w:rPr>
          <w:rFonts w:ascii="Times New Roman;Times;serif" w:hAnsi="Times New Roman;Times;serif"/>
          <w:sz w:val="22"/>
        </w:rPr>
        <w:t>be delivered</w:t>
      </w:r>
      <w:r>
        <w:rPr>
          <w:rFonts w:ascii="Times New Roman;Times;serif" w:hAnsi="Times New Roman;Times;serif"/>
          <w:spacing w:val="-2"/>
          <w:sz w:val="22"/>
        </w:rPr>
        <w:t xml:space="preserve"> </w:t>
      </w:r>
      <w:r>
        <w:rPr>
          <w:rFonts w:ascii="Times New Roman;Times;serif" w:hAnsi="Times New Roman;Times;serif"/>
          <w:sz w:val="22"/>
        </w:rPr>
        <w:t>no later than</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date</w:t>
      </w:r>
      <w:r>
        <w:rPr>
          <w:rFonts w:ascii="Times New Roman;Times;serif" w:hAnsi="Times New Roman;Times;serif"/>
          <w:spacing w:val="-2"/>
          <w:sz w:val="22"/>
        </w:rPr>
        <w:t xml:space="preserve"> </w:t>
      </w:r>
      <w:r>
        <w:rPr>
          <w:rFonts w:ascii="Times New Roman;Times;serif" w:hAnsi="Times New Roman;Times;serif"/>
          <w:sz w:val="22"/>
        </w:rPr>
        <w:t>that is the 15th day</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third</w:t>
      </w:r>
      <w:r>
        <w:rPr>
          <w:rFonts w:ascii="Times New Roman;Times;serif" w:hAnsi="Times New Roman;Times;serif"/>
          <w:spacing w:val="1"/>
          <w:sz w:val="22"/>
        </w:rPr>
        <w:t xml:space="preserve"> </w:t>
      </w:r>
      <w:r>
        <w:rPr>
          <w:rFonts w:ascii="Times New Roman;Times;serif" w:hAnsi="Times New Roman;Times;serif"/>
          <w:sz w:val="22"/>
        </w:rPr>
        <w:t>calendar</w:t>
      </w:r>
      <w:r>
        <w:rPr>
          <w:rFonts w:ascii="Times New Roman;Times;serif" w:hAnsi="Times New Roman;Times;serif"/>
          <w:spacing w:val="1"/>
          <w:sz w:val="22"/>
        </w:rPr>
        <w:t xml:space="preserve"> </w:t>
      </w:r>
      <w:r>
        <w:rPr>
          <w:rFonts w:ascii="Times New Roman;Times;serif" w:hAnsi="Times New Roman;Times;serif"/>
          <w:sz w:val="22"/>
        </w:rPr>
        <w:t>month of</w:t>
      </w:r>
      <w:r>
        <w:rPr>
          <w:rFonts w:ascii="Times New Roman;Times;serif" w:hAnsi="Times New Roman;Times;serif"/>
          <w:spacing w:val="-1"/>
          <w:sz w:val="22"/>
        </w:rPr>
        <w:t xml:space="preserve"> </w:t>
      </w:r>
      <w:r>
        <w:rPr>
          <w:rFonts w:ascii="Times New Roman;Times;serif" w:hAnsi="Times New Roman;Times;serif"/>
          <w:sz w:val="22"/>
        </w:rPr>
        <w:t>the year</w:t>
      </w:r>
      <w:r>
        <w:rPr>
          <w:rFonts w:ascii="Times New Roman;Times;serif" w:hAnsi="Times New Roman;Times;serif"/>
          <w:spacing w:val="1"/>
          <w:sz w:val="22"/>
        </w:rPr>
        <w:t xml:space="preserve"> </w:t>
      </w:r>
      <w:r>
        <w:rPr>
          <w:rFonts w:ascii="Times New Roman;Times;serif" w:hAnsi="Times New Roman;Times;serif"/>
          <w:sz w:val="22"/>
        </w:rPr>
        <w:t>following</w:t>
      </w:r>
      <w:r>
        <w:rPr>
          <w:rFonts w:ascii="Times New Roman;Times;serif" w:hAnsi="Times New Roman;Times;serif"/>
          <w:spacing w:val="-2"/>
          <w:sz w:val="22"/>
        </w:rPr>
        <w:t xml:space="preserve"> </w:t>
      </w:r>
      <w:r>
        <w:rPr>
          <w:rFonts w:ascii="Times New Roman;Times;serif" w:hAnsi="Times New Roman;Times;serif"/>
          <w:sz w:val="22"/>
        </w:rPr>
        <w:t>the year</w:t>
      </w:r>
      <w:r>
        <w:rPr>
          <w:rFonts w:ascii="Times New Roman;Times;serif" w:hAnsi="Times New Roman;Times;serif"/>
          <w:spacing w:val="-1"/>
          <w:sz w:val="22"/>
        </w:rPr>
        <w:t xml:space="preserve"> </w:t>
      </w:r>
      <w:r>
        <w:rPr>
          <w:rFonts w:ascii="Times New Roman;Times;serif" w:hAnsi="Times New Roman;Times;serif"/>
          <w:sz w:val="22"/>
        </w:rPr>
        <w:t>in</w:t>
      </w:r>
      <w:r>
        <w:rPr>
          <w:rFonts w:ascii="Times New Roman;Times;serif" w:hAnsi="Times New Roman;Times;serif"/>
          <w:spacing w:val="8"/>
          <w:sz w:val="22"/>
        </w:rPr>
        <w:t xml:space="preserve"> </w:t>
      </w:r>
      <w:r>
        <w:rPr>
          <w:rFonts w:ascii="Times New Roman;Times;serif" w:hAnsi="Times New Roman;Times;serif"/>
          <w:sz w:val="22"/>
        </w:rPr>
        <w:t>which</w:t>
      </w:r>
      <w:r>
        <w:rPr>
          <w:rFonts w:ascii="Times New Roman;Times;serif" w:hAnsi="Times New Roman;Times;serif"/>
          <w:spacing w:val="-2"/>
          <w:sz w:val="22"/>
        </w:rPr>
        <w:t xml:space="preserve"> </w:t>
      </w:r>
      <w:r>
        <w:rPr>
          <w:rFonts w:ascii="Times New Roman;Times;serif" w:hAnsi="Times New Roman;Times;serif"/>
          <w:sz w:val="22"/>
        </w:rPr>
        <w:t>such shares</w:t>
      </w:r>
      <w:r>
        <w:rPr>
          <w:rFonts w:ascii="Times New Roman;Times;serif" w:hAnsi="Times New Roman;Times;serif"/>
          <w:spacing w:val="2"/>
          <w:sz w:val="22"/>
        </w:rPr>
        <w:t xml:space="preserve"> </w:t>
      </w:r>
      <w:r>
        <w:rPr>
          <w:rFonts w:ascii="Times New Roman;Times;serif" w:hAnsi="Times New Roman;Times;serif"/>
          <w:sz w:val="22"/>
        </w:rPr>
        <w:t>are no</w:t>
      </w:r>
      <w:r>
        <w:rPr>
          <w:rFonts w:ascii="Times New Roman;Times;serif" w:hAnsi="Times New Roman;Times;serif"/>
          <w:spacing w:val="1"/>
          <w:sz w:val="22"/>
        </w:rPr>
        <w:t xml:space="preserve"> </w:t>
      </w:r>
      <w:r>
        <w:rPr>
          <w:rFonts w:ascii="Times New Roman;Times;serif" w:hAnsi="Times New Roman;Times;serif"/>
          <w:spacing w:val="-2"/>
          <w:sz w:val="22"/>
        </w:rPr>
        <w:t xml:space="preserve">longer </w:t>
      </w:r>
      <w:r>
        <w:rPr>
          <w:rFonts w:ascii="Times New Roman;Times;serif" w:hAnsi="Times New Roman;Times;serif"/>
          <w:sz w:val="22"/>
        </w:rPr>
        <w:t xml:space="preserve">subject to a “substantial risk of </w:t>
      </w:r>
      <w:r>
        <w:rPr>
          <w:rFonts w:ascii="Times New Roman;Times;serif" w:hAnsi="Times New Roman;Times;serif"/>
          <w:spacing w:val="-3"/>
          <w:sz w:val="22"/>
        </w:rPr>
        <w:t>forfeiture</w:t>
      </w:r>
      <w:r>
        <w:rPr>
          <w:rFonts w:ascii="Times New Roman;Times;serif" w:hAnsi="Times New Roman;Times;serif"/>
          <w:sz w:val="22"/>
        </w:rPr>
        <w:t xml:space="preserve">” within the meaning of Treasury Regulations Section 1.409A- </w:t>
      </w:r>
      <w:r>
        <w:rPr>
          <w:rFonts w:ascii="Times New Roman;Times;serif" w:hAnsi="Times New Roman;Times;serif"/>
          <w:spacing w:val="-2"/>
          <w:sz w:val="22"/>
        </w:rPr>
        <w:t>1(d).</w:t>
      </w:r>
    </w:p>
    <w:p>
      <w:pPr>
        <w:pStyle w:val="TextBody"/>
        <w:bidi w:val="0"/>
        <w:spacing w:lineRule="auto" w:line="292" w:before="237" w:after="0"/>
        <w:ind w:left="360" w:right="361" w:hanging="0"/>
        <w:jc w:val="both"/>
        <w:rPr>
          <w:rFonts w:ascii="Times New Roman;Times;serif" w:hAnsi="Times New Roman;Times;serif"/>
          <w:sz w:val="22"/>
        </w:rPr>
      </w:pPr>
      <w:r>
        <w:rPr>
          <w:rFonts w:ascii="Times New Roman;Times;serif" w:hAnsi="Times New Roman;Times;serif"/>
          <w:sz w:val="22"/>
          <w:u w:val="single"/>
        </w:rPr>
        <w:t>Acceleration of Equity Grants</w:t>
      </w:r>
      <w:r>
        <w:rPr>
          <w:rFonts w:ascii="Times New Roman;Times;serif" w:hAnsi="Times New Roman;Times;serif"/>
          <w:sz w:val="22"/>
        </w:rPr>
        <w:t>: Notwithstanding the foregoing vesting schedules, the Initial RSU Grants and Annual RSU Grants shall vest in full immediately prior to, but conditioned upon, the closing of a Change in Control (as defined in the Plan), subject to such Eligible Director remaining in Continuous Service with the Company until immediately prior to the closing of such Change in Control.</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b/>
          <w:sz w:val="22"/>
        </w:rPr>
      </w:pPr>
      <w:r>
        <w:rPr>
          <w:rFonts w:ascii="Times New Roman;Times;serif" w:hAnsi="Times New Roman;Times;serif"/>
          <w:b/>
          <w:sz w:val="22"/>
        </w:rPr>
        <w:t>Additional</w:t>
      </w:r>
      <w:r>
        <w:rPr>
          <w:rFonts w:ascii="Times New Roman;Times;serif" w:hAnsi="Times New Roman;Times;serif"/>
          <w:b/>
          <w:spacing w:val="-7"/>
          <w:sz w:val="22"/>
        </w:rPr>
        <w:t xml:space="preserve"> </w:t>
      </w:r>
      <w:r>
        <w:rPr>
          <w:rFonts w:ascii="Times New Roman;Times;serif" w:hAnsi="Times New Roman;Times;serif"/>
          <w:b/>
          <w:spacing w:val="-2"/>
          <w:sz w:val="22"/>
        </w:rPr>
        <w:t>Provisions</w:t>
      </w:r>
    </w:p>
    <w:p>
      <w:pPr>
        <w:pStyle w:val="TextBody"/>
        <w:bidi w:val="0"/>
        <w:spacing w:before="39" w:after="0"/>
        <w:ind w:left="0" w:right="0" w:hanging="0"/>
        <w:jc w:val="left"/>
        <w:rPr/>
      </w:pPr>
      <w:r>
        <w:rPr/>
        <w:t>​</w:t>
      </w:r>
    </w:p>
    <w:p>
      <w:pPr>
        <w:pStyle w:val="TextBody"/>
        <w:bidi w:val="0"/>
        <w:spacing w:lineRule="auto" w:line="292" w:before="0" w:after="0"/>
        <w:ind w:left="360" w:right="354" w:hanging="0"/>
        <w:jc w:val="both"/>
        <w:rPr>
          <w:rFonts w:ascii="Times New Roman;Times;serif" w:hAnsi="Times New Roman;Times;serif"/>
          <w:sz w:val="22"/>
        </w:rPr>
      </w:pPr>
      <w:r>
        <w:rPr>
          <w:rFonts w:ascii="Times New Roman;Times;serif" w:hAnsi="Times New Roman;Times;serif"/>
          <w:sz w:val="22"/>
        </w:rPr>
        <w:t>All provisions of the Plan not inconsistent with this Policy will apply to awards granted to Eligible Directors. Eligible Directors will be required to execute an award agreement in a form satisfactory to the Company prior to receipt of an equity grant. An Eligible Director may decline all or any portion of his or her compensation</w:t>
      </w:r>
      <w:r>
        <w:rPr>
          <w:rFonts w:ascii="Times New Roman;Times;serif" w:hAnsi="Times New Roman;Times;serif"/>
          <w:spacing w:val="-1"/>
          <w:sz w:val="22"/>
        </w:rPr>
        <w:t xml:space="preserve"> </w:t>
      </w:r>
      <w:r>
        <w:rPr>
          <w:rFonts w:ascii="Times New Roman;Times;serif" w:hAnsi="Times New Roman;Times;serif"/>
          <w:sz w:val="22"/>
        </w:rPr>
        <w:t>by</w:t>
      </w:r>
      <w:r>
        <w:rPr>
          <w:rFonts w:ascii="Times New Roman;Times;serif" w:hAnsi="Times New Roman;Times;serif"/>
          <w:spacing w:val="-4"/>
          <w:sz w:val="22"/>
        </w:rPr>
        <w:t xml:space="preserve"> </w:t>
      </w:r>
      <w:r>
        <w:rPr>
          <w:rFonts w:ascii="Times New Roman;Times;serif" w:hAnsi="Times New Roman;Times;serif"/>
          <w:sz w:val="22"/>
        </w:rPr>
        <w:t>giving</w:t>
      </w:r>
      <w:r>
        <w:rPr>
          <w:rFonts w:ascii="Times New Roman;Times;serif" w:hAnsi="Times New Roman;Times;serif"/>
          <w:spacing w:val="-1"/>
          <w:sz w:val="22"/>
        </w:rPr>
        <w:t xml:space="preserve"> </w:t>
      </w:r>
      <w:r>
        <w:rPr>
          <w:rFonts w:ascii="Times New Roman;Times;serif" w:hAnsi="Times New Roman;Times;serif"/>
          <w:sz w:val="22"/>
        </w:rPr>
        <w:t>notice</w:t>
      </w:r>
      <w:r>
        <w:rPr>
          <w:rFonts w:ascii="Times New Roman;Times;serif" w:hAnsi="Times New Roman;Times;serif"/>
          <w:spacing w:val="-1"/>
          <w:sz w:val="22"/>
        </w:rPr>
        <w:t xml:space="preserve"> </w:t>
      </w:r>
      <w:r>
        <w:rPr>
          <w:rFonts w:ascii="Times New Roman;Times;serif" w:hAnsi="Times New Roman;Times;serif"/>
          <w:sz w:val="22"/>
        </w:rPr>
        <w:t>to</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Company</w:t>
      </w:r>
      <w:r>
        <w:rPr>
          <w:rFonts w:ascii="Times New Roman;Times;serif" w:hAnsi="Times New Roman;Times;serif"/>
          <w:spacing w:val="-3"/>
          <w:sz w:val="22"/>
        </w:rPr>
        <w:t xml:space="preserve"> </w:t>
      </w:r>
      <w:r>
        <w:rPr>
          <w:rFonts w:ascii="Times New Roman;Times;serif" w:hAnsi="Times New Roman;Times;serif"/>
          <w:sz w:val="22"/>
        </w:rPr>
        <w:t>no</w:t>
      </w:r>
      <w:r>
        <w:rPr>
          <w:rFonts w:ascii="Times New Roman;Times;serif" w:hAnsi="Times New Roman;Times;serif"/>
          <w:spacing w:val="-1"/>
          <w:sz w:val="22"/>
        </w:rPr>
        <w:t xml:space="preserve"> </w:t>
      </w:r>
      <w:r>
        <w:rPr>
          <w:rFonts w:ascii="Times New Roman;Times;serif" w:hAnsi="Times New Roman;Times;serif"/>
          <w:sz w:val="22"/>
        </w:rPr>
        <w:t>later</w:t>
      </w:r>
      <w:r>
        <w:rPr>
          <w:rFonts w:ascii="Times New Roman;Times;serif" w:hAnsi="Times New Roman;Times;serif"/>
          <w:spacing w:val="-1"/>
          <w:sz w:val="22"/>
        </w:rPr>
        <w:t xml:space="preserve"> </w:t>
      </w:r>
      <w:r>
        <w:rPr>
          <w:rFonts w:ascii="Times New Roman;Times;serif" w:hAnsi="Times New Roman;Times;serif"/>
          <w:sz w:val="22"/>
        </w:rPr>
        <w:t>than</w:t>
      </w:r>
      <w:r>
        <w:rPr>
          <w:rFonts w:ascii="Times New Roman;Times;serif" w:hAnsi="Times New Roman;Times;serif"/>
          <w:spacing w:val="-1"/>
          <w:sz w:val="22"/>
        </w:rPr>
        <w:t xml:space="preserve"> </w:t>
      </w:r>
      <w:r>
        <w:rPr>
          <w:rFonts w:ascii="Times New Roman;Times;serif" w:hAnsi="Times New Roman;Times;serif"/>
          <w:sz w:val="22"/>
        </w:rPr>
        <w:t>thirty</w:t>
      </w:r>
      <w:r>
        <w:rPr>
          <w:rFonts w:ascii="Times New Roman;Times;serif" w:hAnsi="Times New Roman;Times;serif"/>
          <w:spacing w:val="-4"/>
          <w:sz w:val="22"/>
        </w:rPr>
        <w:t xml:space="preserve"> </w:t>
      </w:r>
      <w:r>
        <w:rPr>
          <w:rFonts w:ascii="Times New Roman;Times;serif" w:hAnsi="Times New Roman;Times;serif"/>
          <w:sz w:val="22"/>
        </w:rPr>
        <w:t>business days</w:t>
      </w:r>
      <w:r>
        <w:rPr>
          <w:rFonts w:ascii="Times New Roman;Times;serif" w:hAnsi="Times New Roman;Times;serif"/>
          <w:spacing w:val="-1"/>
          <w:sz w:val="22"/>
        </w:rPr>
        <w:t xml:space="preserve"> </w:t>
      </w:r>
      <w:r>
        <w:rPr>
          <w:rFonts w:ascii="Times New Roman;Times;serif" w:hAnsi="Times New Roman;Times;serif"/>
          <w:sz w:val="22"/>
        </w:rPr>
        <w:t>prior</w:t>
      </w:r>
      <w:r>
        <w:rPr>
          <w:rFonts w:ascii="Times New Roman;Times;serif" w:hAnsi="Times New Roman;Times;serif"/>
          <w:spacing w:val="-1"/>
          <w:sz w:val="22"/>
        </w:rPr>
        <w:t xml:space="preserve"> </w:t>
      </w:r>
      <w:r>
        <w:rPr>
          <w:rFonts w:ascii="Times New Roman;Times;serif" w:hAnsi="Times New Roman;Times;serif"/>
          <w:sz w:val="22"/>
        </w:rPr>
        <w:t>to</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date</w:t>
      </w:r>
      <w:r>
        <w:rPr>
          <w:rFonts w:ascii="Times New Roman;Times;serif" w:hAnsi="Times New Roman;Times;serif"/>
          <w:spacing w:val="-1"/>
          <w:sz w:val="22"/>
        </w:rPr>
        <w:t xml:space="preserve"> </w:t>
      </w:r>
      <w:r>
        <w:rPr>
          <w:rFonts w:ascii="Times New Roman;Times;serif" w:hAnsi="Times New Roman;Times;serif"/>
          <w:sz w:val="22"/>
        </w:rPr>
        <w:t>cash is to be paid or equity awards are to be granted, provided, that if an Eligible Director is not providing services to the Board on the date that is thirty business days prior to the date cash is to be paid or equity awards are to</w:t>
      </w:r>
      <w:r>
        <w:rPr>
          <w:rFonts w:ascii="Times New Roman;Times;serif" w:hAnsi="Times New Roman;Times;serif"/>
          <w:spacing w:val="-1"/>
          <w:sz w:val="22"/>
        </w:rPr>
        <w:t xml:space="preserve"> </w:t>
      </w:r>
      <w:r>
        <w:rPr>
          <w:rFonts w:ascii="Times New Roman;Times;serif" w:hAnsi="Times New Roman;Times;serif"/>
          <w:sz w:val="22"/>
        </w:rPr>
        <w:t>be granted,</w:t>
      </w:r>
      <w:r>
        <w:rPr>
          <w:rFonts w:ascii="Times New Roman;Times;serif" w:hAnsi="Times New Roman;Times;serif"/>
          <w:spacing w:val="-1"/>
          <w:sz w:val="22"/>
        </w:rPr>
        <w:t xml:space="preserve"> </w:t>
      </w:r>
      <w:r>
        <w:rPr>
          <w:rFonts w:ascii="Times New Roman;Times;serif" w:hAnsi="Times New Roman;Times;serif"/>
          <w:sz w:val="22"/>
        </w:rPr>
        <w:t>then such Eligible Director may</w:t>
      </w:r>
      <w:r>
        <w:rPr>
          <w:rFonts w:ascii="Times New Roman;Times;serif" w:hAnsi="Times New Roman;Times;serif"/>
          <w:spacing w:val="-1"/>
          <w:sz w:val="22"/>
        </w:rPr>
        <w:t xml:space="preserve"> </w:t>
      </w:r>
      <w:r>
        <w:rPr>
          <w:rFonts w:ascii="Times New Roman;Times;serif" w:hAnsi="Times New Roman;Times;serif"/>
          <w:sz w:val="22"/>
        </w:rPr>
        <w:t>notify</w:t>
      </w:r>
      <w:r>
        <w:rPr>
          <w:rFonts w:ascii="Times New Roman;Times;serif" w:hAnsi="Times New Roman;Times;serif"/>
          <w:spacing w:val="-2"/>
          <w:sz w:val="22"/>
        </w:rPr>
        <w:t xml:space="preserve"> </w:t>
      </w:r>
      <w:r>
        <w:rPr>
          <w:rFonts w:ascii="Times New Roman;Times;serif" w:hAnsi="Times New Roman;Times;serif"/>
          <w:sz w:val="22"/>
        </w:rPr>
        <w:t>the Company</w:t>
      </w:r>
      <w:r>
        <w:rPr>
          <w:rFonts w:ascii="Times New Roman;Times;serif" w:hAnsi="Times New Roman;Times;serif"/>
          <w:spacing w:val="-2"/>
          <w:sz w:val="22"/>
        </w:rPr>
        <w:t xml:space="preserve"> </w:t>
      </w:r>
      <w:r>
        <w:rPr>
          <w:rFonts w:ascii="Times New Roman;Times;serif" w:hAnsi="Times New Roman;Times;serif"/>
          <w:sz w:val="22"/>
        </w:rPr>
        <w:t>as soon as possible prior to the date cash is to be paid or equity awards are to be granted, as the case may be.</w:t>
      </w:r>
    </w:p>
    <w:p>
      <w:pPr>
        <w:pStyle w:val="TextBody"/>
        <w:bidi w:val="0"/>
        <w:spacing w:before="236" w:after="0"/>
        <w:ind w:left="360" w:right="0" w:hanging="0"/>
        <w:jc w:val="both"/>
        <w:rPr>
          <w:rFonts w:ascii="Times New Roman;Times;serif" w:hAnsi="Times New Roman;Times;serif"/>
          <w:b/>
          <w:sz w:val="22"/>
        </w:rPr>
      </w:pPr>
      <w:r>
        <w:rPr>
          <w:rFonts w:ascii="Times New Roman;Times;serif" w:hAnsi="Times New Roman;Times;serif"/>
          <w:b/>
          <w:sz w:val="22"/>
        </w:rPr>
        <w:t>Non-Employee</w:t>
      </w:r>
      <w:r>
        <w:rPr>
          <w:rFonts w:ascii="Times New Roman;Times;serif" w:hAnsi="Times New Roman;Times;serif"/>
          <w:b/>
          <w:spacing w:val="-9"/>
          <w:sz w:val="22"/>
        </w:rPr>
        <w:t xml:space="preserve"> </w:t>
      </w:r>
      <w:r>
        <w:rPr>
          <w:rFonts w:ascii="Times New Roman;Times;serif" w:hAnsi="Times New Roman;Times;serif"/>
          <w:b/>
          <w:sz w:val="22"/>
        </w:rPr>
        <w:t>Director</w:t>
      </w:r>
      <w:r>
        <w:rPr>
          <w:rFonts w:ascii="Times New Roman;Times;serif" w:hAnsi="Times New Roman;Times;serif"/>
          <w:b/>
          <w:spacing w:val="-7"/>
          <w:sz w:val="22"/>
        </w:rPr>
        <w:t xml:space="preserve"> </w:t>
      </w:r>
      <w:r>
        <w:rPr>
          <w:rFonts w:ascii="Times New Roman;Times;serif" w:hAnsi="Times New Roman;Times;serif"/>
          <w:b/>
          <w:sz w:val="22"/>
        </w:rPr>
        <w:t>Compensation</w:t>
      </w:r>
      <w:r>
        <w:rPr>
          <w:rFonts w:ascii="Times New Roman;Times;serif" w:hAnsi="Times New Roman;Times;serif"/>
          <w:b/>
          <w:spacing w:val="-7"/>
          <w:sz w:val="22"/>
        </w:rPr>
        <w:t xml:space="preserve"> </w:t>
      </w:r>
      <w:r>
        <w:rPr>
          <w:rFonts w:ascii="Times New Roman;Times;serif" w:hAnsi="Times New Roman;Times;serif"/>
          <w:b/>
          <w:spacing w:val="-4"/>
          <w:sz w:val="22"/>
        </w:rPr>
        <w:t>Limit</w:t>
      </w:r>
    </w:p>
    <w:p>
      <w:pPr>
        <w:pStyle w:val="TextBody"/>
        <w:bidi w:val="0"/>
        <w:spacing w:lineRule="auto" w:line="290" w:before="244" w:after="0"/>
        <w:ind w:left="360" w:right="354" w:hanging="0"/>
        <w:jc w:val="both"/>
        <w:rPr>
          <w:rFonts w:ascii="Times New Roman;Times;serif" w:hAnsi="Times New Roman;Times;serif"/>
          <w:sz w:val="22"/>
        </w:rPr>
      </w:pPr>
      <w:r>
        <w:rPr>
          <w:rFonts w:ascii="Times New Roman;Times;serif" w:hAnsi="Times New Roman;Times;serif"/>
          <w:sz w:val="22"/>
        </w:rPr>
        <w:t>Notwithstanding the foregoing, the aggregate value of all compensation granted or paid, as applicable, to any</w:t>
      </w:r>
      <w:r>
        <w:rPr>
          <w:rFonts w:ascii="Times New Roman;Times;serif" w:hAnsi="Times New Roman;Times;serif"/>
          <w:spacing w:val="-11"/>
          <w:sz w:val="22"/>
        </w:rPr>
        <w:t xml:space="preserve"> </w:t>
      </w:r>
      <w:r>
        <w:rPr>
          <w:rFonts w:ascii="Times New Roman;Times;serif" w:hAnsi="Times New Roman;Times;serif"/>
          <w:sz w:val="22"/>
        </w:rPr>
        <w:t>individual</w:t>
      </w:r>
      <w:r>
        <w:rPr>
          <w:rFonts w:ascii="Times New Roman;Times;serif" w:hAnsi="Times New Roman;Times;serif"/>
          <w:spacing w:val="-8"/>
          <w:sz w:val="22"/>
        </w:rPr>
        <w:t xml:space="preserve"> </w:t>
      </w:r>
      <w:r>
        <w:rPr>
          <w:rFonts w:ascii="Times New Roman;Times;serif" w:hAnsi="Times New Roman;Times;serif"/>
          <w:sz w:val="22"/>
        </w:rPr>
        <w:t>for</w:t>
      </w:r>
      <w:r>
        <w:rPr>
          <w:rFonts w:ascii="Times New Roman;Times;serif" w:hAnsi="Times New Roman;Times;serif"/>
          <w:spacing w:val="-8"/>
          <w:sz w:val="22"/>
        </w:rPr>
        <w:t xml:space="preserve"> </w:t>
      </w:r>
      <w:r>
        <w:rPr>
          <w:rFonts w:ascii="Times New Roman;Times;serif" w:hAnsi="Times New Roman;Times;serif"/>
          <w:sz w:val="22"/>
        </w:rPr>
        <w:t>service</w:t>
      </w:r>
      <w:r>
        <w:rPr>
          <w:rFonts w:ascii="Times New Roman;Times;serif" w:hAnsi="Times New Roman;Times;serif"/>
          <w:spacing w:val="-8"/>
          <w:sz w:val="22"/>
        </w:rPr>
        <w:t xml:space="preserve"> </w:t>
      </w:r>
      <w:r>
        <w:rPr>
          <w:rFonts w:ascii="Times New Roman;Times;serif" w:hAnsi="Times New Roman;Times;serif"/>
          <w:sz w:val="22"/>
        </w:rPr>
        <w:t>as</w:t>
      </w:r>
      <w:r>
        <w:rPr>
          <w:rFonts w:ascii="Times New Roman;Times;serif" w:hAnsi="Times New Roman;Times;serif"/>
          <w:spacing w:val="-8"/>
          <w:sz w:val="22"/>
        </w:rPr>
        <w:t xml:space="preserve"> </w:t>
      </w:r>
      <w:r>
        <w:rPr>
          <w:rFonts w:ascii="Times New Roman;Times;serif" w:hAnsi="Times New Roman;Times;serif"/>
          <w:sz w:val="22"/>
        </w:rPr>
        <w:t>an</w:t>
      </w:r>
      <w:r>
        <w:rPr>
          <w:rFonts w:ascii="Times New Roman;Times;serif" w:hAnsi="Times New Roman;Times;serif"/>
          <w:spacing w:val="-8"/>
          <w:sz w:val="22"/>
        </w:rPr>
        <w:t xml:space="preserve"> </w:t>
      </w:r>
      <w:r>
        <w:rPr>
          <w:rFonts w:ascii="Times New Roman;Times;serif" w:hAnsi="Times New Roman;Times;serif"/>
          <w:sz w:val="22"/>
        </w:rPr>
        <w:t>Eligible</w:t>
      </w:r>
      <w:r>
        <w:rPr>
          <w:rFonts w:ascii="Times New Roman;Times;serif" w:hAnsi="Times New Roman;Times;serif"/>
          <w:spacing w:val="-8"/>
          <w:sz w:val="22"/>
        </w:rPr>
        <w:t xml:space="preserve"> </w:t>
      </w:r>
      <w:r>
        <w:rPr>
          <w:rFonts w:ascii="Times New Roman;Times;serif" w:hAnsi="Times New Roman;Times;serif"/>
          <w:sz w:val="22"/>
        </w:rPr>
        <w:t>Director</w:t>
      </w:r>
      <w:r>
        <w:rPr>
          <w:rFonts w:ascii="Times New Roman;Times;serif" w:hAnsi="Times New Roman;Times;serif"/>
          <w:spacing w:val="-8"/>
          <w:sz w:val="22"/>
        </w:rPr>
        <w:t xml:space="preserve"> </w:t>
      </w:r>
      <w:r>
        <w:rPr>
          <w:rFonts w:ascii="Times New Roman;Times;serif" w:hAnsi="Times New Roman;Times;serif"/>
          <w:sz w:val="22"/>
        </w:rPr>
        <w:t>shall</w:t>
      </w:r>
      <w:r>
        <w:rPr>
          <w:rFonts w:ascii="Times New Roman;Times;serif" w:hAnsi="Times New Roman;Times;serif"/>
          <w:spacing w:val="-8"/>
          <w:sz w:val="22"/>
        </w:rPr>
        <w:t xml:space="preserve"> </w:t>
      </w:r>
      <w:r>
        <w:rPr>
          <w:rFonts w:ascii="Times New Roman;Times;serif" w:hAnsi="Times New Roman;Times;serif"/>
          <w:sz w:val="22"/>
        </w:rPr>
        <w:t>in</w:t>
      </w:r>
      <w:r>
        <w:rPr>
          <w:rFonts w:ascii="Times New Roman;Times;serif" w:hAnsi="Times New Roman;Times;serif"/>
          <w:spacing w:val="-9"/>
          <w:sz w:val="22"/>
        </w:rPr>
        <w:t xml:space="preserve"> </w:t>
      </w:r>
      <w:r>
        <w:rPr>
          <w:rFonts w:ascii="Times New Roman;Times;serif" w:hAnsi="Times New Roman;Times;serif"/>
          <w:sz w:val="22"/>
        </w:rPr>
        <w:t>no</w:t>
      </w:r>
      <w:r>
        <w:rPr>
          <w:rFonts w:ascii="Times New Roman;Times;serif" w:hAnsi="Times New Roman;Times;serif"/>
          <w:spacing w:val="-9"/>
          <w:sz w:val="22"/>
        </w:rPr>
        <w:t xml:space="preserve"> </w:t>
      </w:r>
      <w:r>
        <w:rPr>
          <w:rFonts w:ascii="Times New Roman;Times;serif" w:hAnsi="Times New Roman;Times;serif"/>
          <w:sz w:val="22"/>
        </w:rPr>
        <w:t>event</w:t>
      </w:r>
      <w:r>
        <w:rPr>
          <w:rFonts w:ascii="Times New Roman;Times;serif" w:hAnsi="Times New Roman;Times;serif"/>
          <w:spacing w:val="-7"/>
          <w:sz w:val="22"/>
        </w:rPr>
        <w:t xml:space="preserve"> </w:t>
      </w:r>
      <w:r>
        <w:rPr>
          <w:rFonts w:ascii="Times New Roman;Times;serif" w:hAnsi="Times New Roman;Times;serif"/>
          <w:sz w:val="22"/>
        </w:rPr>
        <w:t>exceed</w:t>
      </w:r>
      <w:r>
        <w:rPr>
          <w:rFonts w:ascii="Times New Roman;Times;serif" w:hAnsi="Times New Roman;Times;serif"/>
          <w:spacing w:val="-11"/>
          <w:sz w:val="22"/>
        </w:rPr>
        <w:t xml:space="preserve"> </w:t>
      </w:r>
      <w:r>
        <w:rPr>
          <w:rFonts w:ascii="Times New Roman;Times;serif" w:hAnsi="Times New Roman;Times;serif"/>
          <w:sz w:val="22"/>
        </w:rPr>
        <w:t>the</w:t>
      </w:r>
      <w:r>
        <w:rPr>
          <w:rFonts w:ascii="Times New Roman;Times;serif" w:hAnsi="Times New Roman;Times;serif"/>
          <w:spacing w:val="-8"/>
          <w:sz w:val="22"/>
        </w:rPr>
        <w:t xml:space="preserve"> </w:t>
      </w:r>
      <w:r>
        <w:rPr>
          <w:rFonts w:ascii="Times New Roman;Times;serif" w:hAnsi="Times New Roman;Times;serif"/>
          <w:sz w:val="22"/>
        </w:rPr>
        <w:t>limits</w:t>
      </w:r>
      <w:r>
        <w:rPr>
          <w:rFonts w:ascii="Times New Roman;Times;serif" w:hAnsi="Times New Roman;Times;serif"/>
          <w:spacing w:val="-11"/>
          <w:sz w:val="22"/>
        </w:rPr>
        <w:t xml:space="preserve"> </w:t>
      </w:r>
      <w:r>
        <w:rPr>
          <w:rFonts w:ascii="Times New Roman;Times;serif" w:hAnsi="Times New Roman;Times;serif"/>
          <w:sz w:val="22"/>
        </w:rPr>
        <w:t>set</w:t>
      </w:r>
      <w:r>
        <w:rPr>
          <w:rFonts w:ascii="Times New Roman;Times;serif" w:hAnsi="Times New Roman;Times;serif"/>
          <w:spacing w:val="-8"/>
          <w:sz w:val="22"/>
        </w:rPr>
        <w:t xml:space="preserve"> </w:t>
      </w:r>
      <w:r>
        <w:rPr>
          <w:rFonts w:ascii="Times New Roman;Times;serif" w:hAnsi="Times New Roman;Times;serif"/>
          <w:sz w:val="22"/>
        </w:rPr>
        <w:t>forth</w:t>
      </w:r>
      <w:r>
        <w:rPr>
          <w:rFonts w:ascii="Times New Roman;Times;serif" w:hAnsi="Times New Roman;Times;serif"/>
          <w:spacing w:val="-9"/>
          <w:sz w:val="22"/>
        </w:rPr>
        <w:t xml:space="preserve"> </w:t>
      </w:r>
      <w:r>
        <w:rPr>
          <w:rFonts w:ascii="Times New Roman;Times;serif" w:hAnsi="Times New Roman;Times;serif"/>
          <w:sz w:val="22"/>
        </w:rPr>
        <w:t>in</w:t>
      </w:r>
      <w:r>
        <w:rPr>
          <w:rFonts w:ascii="Times New Roman;Times;serif" w:hAnsi="Times New Roman;Times;serif"/>
          <w:spacing w:val="-9"/>
          <w:sz w:val="22"/>
        </w:rPr>
        <w:t xml:space="preserve"> </w:t>
      </w:r>
      <w:r>
        <w:rPr>
          <w:rFonts w:ascii="Times New Roman;Times;serif" w:hAnsi="Times New Roman;Times;serif"/>
          <w:sz w:val="22"/>
        </w:rPr>
        <w:t>Section</w:t>
      </w:r>
      <w:r>
        <w:rPr>
          <w:rFonts w:ascii="Times New Roman;Times;serif" w:hAnsi="Times New Roman;Times;serif"/>
          <w:spacing w:val="-9"/>
          <w:sz w:val="22"/>
        </w:rPr>
        <w:t xml:space="preserve"> </w:t>
      </w:r>
      <w:r>
        <w:rPr>
          <w:rFonts w:ascii="Times New Roman;Times;serif" w:hAnsi="Times New Roman;Times;serif"/>
          <w:sz w:val="22"/>
        </w:rPr>
        <w:t>3(d) of the Plan.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94" w:after="0"/>
        <w:ind w:left="0" w:right="0" w:hanging="0"/>
        <w:jc w:val="left"/>
        <w:rPr/>
      </w:pPr>
      <w:r>
        <w:rPr/>
        <w:t>​</w:t>
      </w:r>
    </w:p>
    <w:p>
      <w:pPr>
        <w:pStyle w:val="TextBody"/>
        <w:bidi w:val="0"/>
        <w:spacing w:before="0" w:after="0"/>
        <w:ind w:left="2081" w:right="2079" w:hanging="0"/>
        <w:jc w:val="center"/>
        <w:rPr>
          <w:rFonts w:ascii="Times New Roman;Times;serif" w:hAnsi="Times New Roman;Times;serif"/>
          <w:spacing w:val="-10"/>
          <w:sz w:val="24"/>
        </w:rPr>
      </w:pPr>
      <w:r>
        <w:rPr>
          <w:rFonts w:ascii="Times New Roman;Times;serif" w:hAnsi="Times New Roman;Times;serif"/>
          <w:spacing w:val="-10"/>
          <w:sz w:val="24"/>
        </w:rPr>
        <w:t>3</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2"/>
        </w:rPr>
      </w:pPr>
      <w:bookmarkStart w:id="1336" w:name="rgti-20251231xex21d1.htm"/>
      <w:bookmarkStart w:id="1337" w:name="ksrgti20251231xex21d1"/>
      <w:bookmarkEnd w:id="1336"/>
      <w:bookmarkEnd w:id="1337"/>
      <w:r>
        <w:rPr>
          <w:rFonts w:ascii="Times New Roman;Times;serif" w:hAnsi="Times New Roman;Times;serif"/>
          <w:b/>
          <w:sz w:val="22"/>
        </w:rPr>
        <w:t>Exhibit 21.1</w:t>
      </w:r>
      <w:r>
        <w:br w:type="page"/>
      </w:r>
    </w:p>
    <w:p>
      <w:pPr>
        <w:pStyle w:val="TextBody"/>
        <w:bidi w:val="0"/>
        <w:spacing w:before="0" w:after="160"/>
        <w:ind w:left="0" w:right="0" w:hanging="0"/>
        <w:jc w:val="left"/>
        <w:rPr/>
      </w:pPr>
      <w:r>
        <w:rPr/>
        <w:t>​</w:t>
      </w:r>
    </w:p>
    <w:tbl>
      <w:tblPr>
        <w:tblW w:w="7218" w:type="dxa"/>
        <w:jc w:val="left"/>
        <w:tblInd w:w="0" w:type="dxa"/>
        <w:tblLayout w:type="fixed"/>
        <w:tblCellMar>
          <w:top w:w="0" w:type="dxa"/>
          <w:left w:w="0" w:type="dxa"/>
          <w:bottom w:w="0" w:type="dxa"/>
          <w:right w:w="0" w:type="dxa"/>
        </w:tblCellMar>
      </w:tblPr>
      <w:tblGrid>
        <w:gridCol w:w="3871"/>
        <w:gridCol w:w="346"/>
        <w:gridCol w:w="300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458085" cy="29210"/>
                      <wp:effectExtent l="0" t="0" r="0" b="0"/>
                      <wp:wrapNone/>
                      <wp:docPr id="301" name="Frame301"/>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29210"/>
                      <wp:effectExtent l="0" t="0" r="0" b="0"/>
                      <wp:wrapNone/>
                      <wp:docPr id="302" name="Frame30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905635" cy="29210"/>
                      <wp:effectExtent l="0" t="0" r="0" b="0"/>
                      <wp:wrapNone/>
                      <wp:docPr id="303" name="Frame303"/>
                      <a:graphic xmlns:a="http://schemas.openxmlformats.org/drawingml/2006/main">
                        <a:graphicData uri="http://schemas.microsoft.com/office/word/2010/wordprocessingShape">
                          <wps:wsp>
                            <wps:cNvSpPr txBox="1"/>
                            <wps:spPr>
                              <a:xfrm>
                                <a:off x="0" y="0"/>
                                <a:ext cx="1905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871" w:type="dxa"/>
            <w:tcBorders/>
            <w:vAlign w:val="center"/>
          </w:tcPr>
          <w:p>
            <w:pPr>
              <w:pStyle w:val="TableContents"/>
              <w:bidi w:val="0"/>
              <w:spacing w:before="0" w:after="120"/>
              <w:ind w:left="0" w:right="0" w:hanging="0"/>
              <w:jc w:val="left"/>
              <w:rPr>
                <w:rFonts w:ascii="Times New Roman;Times;serif" w:hAnsi="Times New Roman;Times;serif"/>
                <w:b/>
                <w:sz w:val="22"/>
              </w:rPr>
            </w:pPr>
            <w:r>
              <w:rPr>
                <w:rFonts w:ascii="Times New Roman;Times;serif" w:hAnsi="Times New Roman;Times;serif"/>
                <w:b/>
                <w:sz w:val="22"/>
              </w:rPr>
              <w:t>Legal Name</w:t>
            </w:r>
          </w:p>
        </w:tc>
        <w:tc>
          <w:tcPr>
            <w:tcW w:w="346" w:type="dxa"/>
            <w:tcBorders/>
            <w:vAlign w:val="center"/>
          </w:tcPr>
          <w:p>
            <w:pPr>
              <w:pStyle w:val="TableContents"/>
              <w:bidi w:val="0"/>
              <w:spacing w:before="0" w:after="120"/>
              <w:ind w:left="0" w:right="0" w:hanging="0"/>
              <w:jc w:val="left"/>
              <w:rPr/>
            </w:pPr>
            <w:r>
              <w:rPr/>
              <w:t>  ​ ​ ​</w:t>
            </w:r>
          </w:p>
        </w:tc>
        <w:tc>
          <w:tcPr>
            <w:tcW w:w="3001" w:type="dxa"/>
            <w:tcBorders>
              <w:bottom w:val="single" w:sz="8" w:space="0" w:color="000000"/>
            </w:tcBorders>
            <w:tcMar>
              <w:bottom w:w="28" w:type="dxa"/>
            </w:tcMar>
            <w:vAlign w:val="center"/>
          </w:tcPr>
          <w:p>
            <w:pPr>
              <w:pStyle w:val="TableContents"/>
              <w:bidi w:val="0"/>
              <w:spacing w:before="0" w:after="120"/>
              <w:ind w:left="0" w:right="0" w:hanging="0"/>
              <w:jc w:val="left"/>
              <w:rPr>
                <w:rFonts w:ascii="Times New Roman;Times;serif" w:hAnsi="Times New Roman;Times;serif"/>
                <w:b/>
                <w:sz w:val="22"/>
              </w:rPr>
            </w:pPr>
            <w:r>
              <w:rPr>
                <w:rFonts w:ascii="Times New Roman;Times;serif" w:hAnsi="Times New Roman;Times;serif"/>
                <w:b/>
                <w:sz w:val="22"/>
              </w:rPr>
              <w:t>Jurisdiction of Incorporation</w:t>
            </w:r>
          </w:p>
        </w:tc>
      </w:tr>
      <w:tr>
        <w:trPr/>
        <w:tc>
          <w:tcPr>
            <w:tcW w:w="387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Rigetti Intermediate LLC</w:t>
            </w:r>
          </w:p>
        </w:tc>
        <w:tc>
          <w:tcPr>
            <w:tcW w:w="346" w:type="dxa"/>
            <w:tcBorders/>
            <w:vAlign w:val="center"/>
          </w:tcPr>
          <w:p>
            <w:pPr>
              <w:pStyle w:val="TableContents"/>
              <w:bidi w:val="0"/>
              <w:spacing w:before="0" w:after="120"/>
              <w:ind w:left="0" w:right="0" w:hanging="0"/>
              <w:jc w:val="left"/>
              <w:rPr/>
            </w:pPr>
            <w:r>
              <w:rPr/>
              <w:t>  ​</w:t>
            </w:r>
          </w:p>
        </w:tc>
        <w:tc>
          <w:tcPr>
            <w:tcW w:w="300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387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Rigetti &amp; Co, LLC</w:t>
            </w:r>
          </w:p>
        </w:tc>
        <w:tc>
          <w:tcPr>
            <w:tcW w:w="346" w:type="dxa"/>
            <w:tcBorders/>
            <w:vAlign w:val="center"/>
          </w:tcPr>
          <w:p>
            <w:pPr>
              <w:pStyle w:val="TableContents"/>
              <w:bidi w:val="0"/>
              <w:spacing w:before="0" w:after="120"/>
              <w:ind w:left="0" w:right="0" w:hanging="0"/>
              <w:jc w:val="left"/>
              <w:rPr/>
            </w:pPr>
            <w:r>
              <w:rPr/>
              <w:t>  ​</w:t>
            </w:r>
          </w:p>
        </w:tc>
        <w:tc>
          <w:tcPr>
            <w:tcW w:w="300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387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Rigetti UK Limited</w:t>
            </w:r>
          </w:p>
        </w:tc>
        <w:tc>
          <w:tcPr>
            <w:tcW w:w="346" w:type="dxa"/>
            <w:tcBorders/>
            <w:vAlign w:val="center"/>
          </w:tcPr>
          <w:p>
            <w:pPr>
              <w:pStyle w:val="TableContents"/>
              <w:bidi w:val="0"/>
              <w:spacing w:before="0" w:after="120"/>
              <w:ind w:left="0" w:right="0" w:hanging="0"/>
              <w:jc w:val="left"/>
              <w:rPr/>
            </w:pPr>
            <w:r>
              <w:rPr/>
              <w:t>  ​</w:t>
            </w:r>
          </w:p>
        </w:tc>
        <w:tc>
          <w:tcPr>
            <w:tcW w:w="300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United Kingdom</w:t>
            </w:r>
          </w:p>
        </w:tc>
      </w:tr>
      <w:tr>
        <w:trPr/>
        <w:tc>
          <w:tcPr>
            <w:tcW w:w="387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Rigetti Australia Pty Ltd.</w:t>
            </w:r>
          </w:p>
        </w:tc>
        <w:tc>
          <w:tcPr>
            <w:tcW w:w="346" w:type="dxa"/>
            <w:tcBorders/>
            <w:vAlign w:val="center"/>
          </w:tcPr>
          <w:p>
            <w:pPr>
              <w:pStyle w:val="TableContents"/>
              <w:bidi w:val="0"/>
              <w:spacing w:before="0" w:after="120"/>
              <w:ind w:left="0" w:right="0" w:hanging="0"/>
              <w:jc w:val="left"/>
              <w:rPr/>
            </w:pPr>
            <w:r>
              <w:rPr/>
              <w:t>  ​</w:t>
            </w:r>
          </w:p>
        </w:tc>
        <w:tc>
          <w:tcPr>
            <w:tcW w:w="300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Australia</w:t>
            </w:r>
          </w:p>
        </w:tc>
      </w:tr>
      <w:tr>
        <w:trPr/>
        <w:tc>
          <w:tcPr>
            <w:tcW w:w="387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Rigetti Computing Canada, Inc.</w:t>
            </w:r>
          </w:p>
        </w:tc>
        <w:tc>
          <w:tcPr>
            <w:tcW w:w="346" w:type="dxa"/>
            <w:tcBorders/>
            <w:vAlign w:val="center"/>
          </w:tcPr>
          <w:p>
            <w:pPr>
              <w:pStyle w:val="TableContents"/>
              <w:bidi w:val="0"/>
              <w:spacing w:before="0" w:after="120"/>
              <w:ind w:left="0" w:right="0" w:hanging="0"/>
              <w:jc w:val="left"/>
              <w:rPr/>
            </w:pPr>
            <w:r>
              <w:rPr/>
              <w:t>  ​</w:t>
            </w:r>
          </w:p>
        </w:tc>
        <w:tc>
          <w:tcPr>
            <w:tcW w:w="300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Canada</w:t>
            </w:r>
          </w:p>
        </w:tc>
      </w:tr>
      <w:tr>
        <w:trPr/>
        <w:tc>
          <w:tcPr>
            <w:tcW w:w="387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Rigetti Computing India Private Limited</w:t>
            </w:r>
          </w:p>
        </w:tc>
        <w:tc>
          <w:tcPr>
            <w:tcW w:w="346" w:type="dxa"/>
            <w:tcBorders/>
            <w:vAlign w:val="center"/>
          </w:tcPr>
          <w:p>
            <w:pPr>
              <w:pStyle w:val="TableContents"/>
              <w:bidi w:val="0"/>
              <w:spacing w:before="0" w:after="120"/>
              <w:ind w:left="0" w:right="0" w:hanging="0"/>
              <w:jc w:val="left"/>
              <w:rPr/>
            </w:pPr>
            <w:r>
              <w:rPr/>
              <w:t>  ​</w:t>
            </w:r>
          </w:p>
        </w:tc>
        <w:tc>
          <w:tcPr>
            <w:tcW w:w="3001"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India</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38" w:name="rgti-20251231xex23d1.htm"/>
      <w:bookmarkStart w:id="1339" w:name="ksrgti20251231xex23d1"/>
      <w:bookmarkEnd w:id="1338"/>
      <w:bookmarkEnd w:id="1339"/>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Consent of Independent Registered Public Accounting Firm</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We hereby consent to the incorporation by reference in the Registration Statements on Forms S-3 (Nos. 333-266938, 333-266810, 333-263798 and 333-287646) and Form S-8 (Nos. 333-278471, 333-271140, 333-265516 and 333-287187) of Rigetti Computing, Inc. of our report dated March 4, 2026, relating to the consolidated financial statements, which appears in this Annual Report on Form 10-K. </w:t>
      </w:r>
    </w:p>
    <w:p>
      <w:pPr>
        <w:pStyle w:val="TextBody"/>
        <w:bidi w:val="0"/>
        <w:spacing w:before="240" w:after="0"/>
        <w:ind w:left="0" w:right="0" w:hanging="0"/>
        <w:jc w:val="both"/>
        <w:rPr>
          <w:color w:val="FF00FF"/>
        </w:rPr>
      </w:pPr>
      <w:r>
        <w:rPr>
          <w:color w:val="FF00FF"/>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BDO USA, P.C.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Spokane, Washington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4,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40" w:name="rgti-20251231xex31d1.htm"/>
      <w:bookmarkStart w:id="1341" w:name="ksrgti20251231xex31d1"/>
      <w:bookmarkEnd w:id="1340"/>
      <w:bookmarkEnd w:id="134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Subodh Kulkarni, certify that:</w:t>
      </w:r>
    </w:p>
    <w:tbl>
      <w:tblPr>
        <w:tblW w:w="6475" w:type="dxa"/>
        <w:jc w:val="left"/>
        <w:tblInd w:w="0" w:type="dxa"/>
        <w:tblLayout w:type="fixed"/>
        <w:tblCellMar>
          <w:top w:w="0" w:type="dxa"/>
          <w:left w:w="0" w:type="dxa"/>
          <w:bottom w:w="0" w:type="dxa"/>
          <w:right w:w="0" w:type="dxa"/>
        </w:tblCellMar>
      </w:tblPr>
      <w:tblGrid>
        <w:gridCol w:w="170"/>
        <w:gridCol w:w="630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3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Annual Report on Form 10-K of Rigetti Computing,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0" w:type="dxa"/>
        <w:jc w:val="center"/>
        <w:tblInd w:w="0" w:type="dxa"/>
        <w:tblLayout w:type="fixed"/>
        <w:tblCellMar>
          <w:top w:w="0" w:type="dxa"/>
          <w:left w:w="0" w:type="dxa"/>
          <w:bottom w:w="0" w:type="dxa"/>
          <w:right w:w="0" w:type="dxa"/>
        </w:tblCellMar>
      </w:tblPr>
      <w:tblGrid>
        <w:gridCol w:w="124"/>
        <w:gridCol w:w="2506"/>
      </w:tblGrid>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adr</w:t>
            </w:r>
          </w:p>
        </w:tc>
      </w:tr>
      <w:tr>
        <w:trPr/>
        <w:tc>
          <w:tcPr>
            <w:tcW w:w="124" w:type="dxa"/>
            <w:tcBorders/>
            <w:vAlign w:val="center"/>
          </w:tcPr>
          <w:p>
            <w:pPr>
              <w:pStyle w:val="TableContents"/>
              <w:bidi w:val="0"/>
              <w:spacing w:before="0" w:after="2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42" w:name="rgti-20251231xex31d2.htm"/>
      <w:bookmarkStart w:id="1343" w:name="ksrgti20251231xex31d2"/>
      <w:bookmarkEnd w:id="1342"/>
      <w:bookmarkEnd w:id="1343"/>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Bertelsen, certify that:</w:t>
      </w:r>
    </w:p>
    <w:tbl>
      <w:tblPr>
        <w:tblW w:w="6475" w:type="dxa"/>
        <w:jc w:val="left"/>
        <w:tblInd w:w="0" w:type="dxa"/>
        <w:tblLayout w:type="fixed"/>
        <w:tblCellMar>
          <w:top w:w="0" w:type="dxa"/>
          <w:left w:w="0" w:type="dxa"/>
          <w:bottom w:w="0" w:type="dxa"/>
          <w:right w:w="0" w:type="dxa"/>
        </w:tblCellMar>
      </w:tblPr>
      <w:tblGrid>
        <w:gridCol w:w="170"/>
        <w:gridCol w:w="630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3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Annual Report on Form 10-K of Rigetti Computing,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35" w:type="dxa"/>
        <w:jc w:val="left"/>
        <w:tblInd w:w="0" w:type="dxa"/>
        <w:tblLayout w:type="fixed"/>
        <w:tblCellMar>
          <w:top w:w="0" w:type="dxa"/>
          <w:left w:w="0" w:type="dxa"/>
          <w:bottom w:w="0" w:type="dxa"/>
          <w:right w:w="0" w:type="dxa"/>
        </w:tblCellMar>
      </w:tblPr>
      <w:tblGrid>
        <w:gridCol w:w="124"/>
        <w:gridCol w:w="5311"/>
      </w:tblGrid>
      <w:tr>
        <w:trPr/>
        <w:tc>
          <w:tcPr>
            <w:tcW w:w="124" w:type="dxa"/>
            <w:tcBorders/>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Bertelsen</w:t>
            </w:r>
          </w:p>
        </w:tc>
      </w:tr>
      <w:tr>
        <w:trPr/>
        <w:tc>
          <w:tcPr>
            <w:tcW w:w="124" w:type="dxa"/>
            <w:tcBorders/>
            <w:vAlign w:val="center"/>
          </w:tcPr>
          <w:p>
            <w:pPr>
              <w:pStyle w:val="TableContents"/>
              <w:bidi w:val="0"/>
              <w:spacing w:before="0" w:after="0"/>
              <w:ind w:left="0" w:right="0" w:hanging="0"/>
              <w:jc w:val="left"/>
              <w:rPr/>
            </w:pPr>
            <w:r>
              <w:rPr/>
              <w:t>​</w:t>
            </w:r>
          </w:p>
        </w:tc>
        <w:tc>
          <w:tcPr>
            <w:tcW w:w="53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Bertelsen</w:t>
            </w:r>
          </w:p>
        </w:tc>
      </w:tr>
      <w:tr>
        <w:trPr/>
        <w:tc>
          <w:tcPr>
            <w:tcW w:w="124" w:type="dxa"/>
            <w:tcBorders/>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44" w:name="rgti-20251231xex32d1.htm"/>
      <w:bookmarkStart w:id="1345" w:name="ksrgti20251231xex32d1"/>
      <w:bookmarkEnd w:id="1344"/>
      <w:bookmarkEnd w:id="1345"/>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Annual Report on Form 10-K for the fiscal year ended December 31, 2025, to which this Certification is attached as Exhibit 32.1 (the “Annual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b/>
          <w:sz w:val="20"/>
        </w:rPr>
        <w:t>I</w:t>
      </w:r>
      <w:r>
        <w:rPr>
          <w:rFonts w:ascii="Times New Roman;Times;serif" w:hAnsi="Times New Roman;Times;serif"/>
          <w:b/>
          <w:sz w:val="15"/>
        </w:rPr>
        <w:t>N</w:t>
      </w:r>
      <w:r>
        <w:rPr>
          <w:rFonts w:ascii="Times New Roman;Times;serif" w:hAnsi="Times New Roman;Times;serif"/>
          <w:sz w:val="14"/>
        </w:rPr>
        <w:t xml:space="preserve"> </w:t>
      </w:r>
      <w:r>
        <w:rPr>
          <w:rFonts w:ascii="Times New Roman;Times;serif" w:hAnsi="Times New Roman;Times;serif"/>
          <w:b/>
          <w:sz w:val="20"/>
        </w:rPr>
        <w:t>W</w:t>
      </w:r>
      <w:r>
        <w:rPr>
          <w:rFonts w:ascii="Times New Roman;Times;serif" w:hAnsi="Times New Roman;Times;serif"/>
          <w:b/>
          <w:sz w:val="15"/>
        </w:rPr>
        <w:t>ITNESS</w:t>
      </w:r>
      <w:r>
        <w:rPr>
          <w:rFonts w:ascii="Times New Roman;Times;serif" w:hAnsi="Times New Roman;Times;serif"/>
          <w:sz w:val="14"/>
        </w:rPr>
        <w:t xml:space="preserve"> </w:t>
      </w:r>
      <w:r>
        <w:rPr>
          <w:rFonts w:ascii="Times New Roman;Times;serif" w:hAnsi="Times New Roman;Times;serif"/>
          <w:b/>
          <w:sz w:val="20"/>
        </w:rPr>
        <w:t>W</w:t>
      </w:r>
      <w:r>
        <w:rPr>
          <w:rFonts w:ascii="Times New Roman;Times;serif" w:hAnsi="Times New Roman;Times;serif"/>
          <w:b/>
          <w:sz w:val="15"/>
        </w:rPr>
        <w:t>HEREOF</w:t>
      </w:r>
      <w:r>
        <w:rPr>
          <w:rFonts w:ascii="Times New Roman;Times;serif" w:hAnsi="Times New Roman;Times;serif"/>
          <w:sz w:val="20"/>
        </w:rPr>
        <w:t>, the undersigned has set his hand hereto as of the 4th day of March,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0" w:type="dxa"/>
        <w:jc w:val="left"/>
        <w:tblInd w:w="0" w:type="dxa"/>
        <w:tblLayout w:type="fixed"/>
        <w:tblCellMar>
          <w:top w:w="0" w:type="dxa"/>
          <w:left w:w="0" w:type="dxa"/>
          <w:bottom w:w="28" w:type="dxa"/>
          <w:right w:w="0" w:type="dxa"/>
        </w:tblCellMar>
      </w:tblPr>
      <w:tblGrid>
        <w:gridCol w:w="2476"/>
        <w:gridCol w:w="154"/>
      </w:tblGrid>
      <w:tr>
        <w:trPr/>
        <w:tc>
          <w:tcPr>
            <w:tcW w:w="247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Subodh Kulkarni</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47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46" w:name="rgti-20251231xex32d2.htm"/>
      <w:bookmarkStart w:id="1347" w:name="ksrgti20251231xex32d2"/>
      <w:bookmarkEnd w:id="1346"/>
      <w:bookmarkEnd w:id="1347"/>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Jeffrey Bertelsen, Chief Financial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Annual Report on Form 10-K for the fiscal year ended December 31, 2025, to which this Certification is attached as Exhibit 32.2 (the “Annual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b/>
          <w:sz w:val="20"/>
        </w:rPr>
        <w:t>I</w:t>
      </w:r>
      <w:r>
        <w:rPr>
          <w:rFonts w:ascii="Times New Roman;Times;serif" w:hAnsi="Times New Roman;Times;serif"/>
          <w:b/>
          <w:sz w:val="15"/>
        </w:rPr>
        <w:t>N</w:t>
      </w:r>
      <w:r>
        <w:rPr>
          <w:rFonts w:ascii="Times New Roman;Times;serif" w:hAnsi="Times New Roman;Times;serif"/>
          <w:sz w:val="14"/>
        </w:rPr>
        <w:t xml:space="preserve"> </w:t>
      </w:r>
      <w:r>
        <w:rPr>
          <w:rFonts w:ascii="Times New Roman;Times;serif" w:hAnsi="Times New Roman;Times;serif"/>
          <w:b/>
          <w:sz w:val="20"/>
        </w:rPr>
        <w:t>W</w:t>
      </w:r>
      <w:r>
        <w:rPr>
          <w:rFonts w:ascii="Times New Roman;Times;serif" w:hAnsi="Times New Roman;Times;serif"/>
          <w:b/>
          <w:sz w:val="15"/>
        </w:rPr>
        <w:t>ITNESS</w:t>
      </w:r>
      <w:r>
        <w:rPr>
          <w:rFonts w:ascii="Times New Roman;Times;serif" w:hAnsi="Times New Roman;Times;serif"/>
          <w:sz w:val="14"/>
        </w:rPr>
        <w:t xml:space="preserve"> </w:t>
      </w:r>
      <w:r>
        <w:rPr>
          <w:rFonts w:ascii="Times New Roman;Times;serif" w:hAnsi="Times New Roman;Times;serif"/>
          <w:b/>
          <w:sz w:val="20"/>
        </w:rPr>
        <w:t>W</w:t>
      </w:r>
      <w:r>
        <w:rPr>
          <w:rFonts w:ascii="Times New Roman;Times;serif" w:hAnsi="Times New Roman;Times;serif"/>
          <w:b/>
          <w:sz w:val="15"/>
        </w:rPr>
        <w:t>HEREOF</w:t>
      </w:r>
      <w:r>
        <w:rPr>
          <w:rFonts w:ascii="Times New Roman;Times;serif" w:hAnsi="Times New Roman;Times;serif"/>
          <w:sz w:val="20"/>
        </w:rPr>
        <w:t>, the undersigned has set his hand hereto as of the 4th day of March,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35" w:type="dxa"/>
        <w:jc w:val="left"/>
        <w:tblInd w:w="0" w:type="dxa"/>
        <w:tblLayout w:type="fixed"/>
        <w:tblCellMar>
          <w:top w:w="0" w:type="dxa"/>
          <w:left w:w="0" w:type="dxa"/>
          <w:bottom w:w="0" w:type="dxa"/>
          <w:right w:w="0" w:type="dxa"/>
        </w:tblCellMar>
      </w:tblPr>
      <w:tblGrid>
        <w:gridCol w:w="5281"/>
        <w:gridCol w:w="154"/>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Bertelsen</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Bertelsen</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Italic">
    <w:charset w:val="01"/>
    <w:family w:val="auto"/>
    <w:pitch w:val="default"/>
  </w:font>
  <w:font w:name="Liberation Serif">
    <w:altName w:val="Times New Roman"/>
    <w:charset w:val="01"/>
    <w:family w:val="auto"/>
    <w:pitch w:val="default"/>
  </w:font>
  <w:font w:name="Times-Roman">
    <w:altName w:val="Times New Roman"/>
    <w:charset w:val="01"/>
    <w:family w:val="auto"/>
    <w:pitch w:val="default"/>
  </w:font>
  <w:font w:name="Aptos Narrow">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9312522067932/d506107dex41.htm" TargetMode="External"/><Relationship Id="rId7" Type="http://schemas.openxmlformats.org/officeDocument/2006/relationships/hyperlink" Target="https://www.sec.gov/Archives/edgar/data/1838359/000119312522067932/d506107dex42.htm" TargetMode="External"/><Relationship Id="rId8" Type="http://schemas.openxmlformats.org/officeDocument/2006/relationships/hyperlink" Target="https://www.sec.gov/Archives/edgar/data/1838359/000119312521069319/d107027dex41.htm" TargetMode="External"/><Relationship Id="rId9" Type="http://schemas.openxmlformats.org/officeDocument/2006/relationships/hyperlink" Target="https://www.sec.gov/Archives/edgar/data/1838359/000119312522067932/d506107dex101.htm" TargetMode="External"/><Relationship Id="rId10" Type="http://schemas.openxmlformats.org/officeDocument/2006/relationships/hyperlink" Target="https://www.sec.gov/Archives/edgar/data/1838359/000119312521292696/d228756dex102.htm" TargetMode="External"/><Relationship Id="rId11" Type="http://schemas.openxmlformats.org/officeDocument/2006/relationships/hyperlink" Target="https://www.sec.gov/Archives/edgar/data/1838359/000119312521362173/d248645dex1017.htm" TargetMode="External"/><Relationship Id="rId12" Type="http://schemas.openxmlformats.org/officeDocument/2006/relationships/hyperlink" Target="https://www.sec.gov/Archives/edgar/data/1838359/000119312522151893/d336452dex1021.htm" TargetMode="External"/><Relationship Id="rId13" Type="http://schemas.openxmlformats.org/officeDocument/2006/relationships/hyperlink" Target="https://www.sec.gov/Archives/edgar/data/1838359/000119312522008927/d248645dex1020.htm" TargetMode="External"/><Relationship Id="rId14" Type="http://schemas.openxmlformats.org/officeDocument/2006/relationships/hyperlink" Target="https://www.sec.gov/Archives/edgar/data/1838359/000119312522008927/d248645dex1021.htm" TargetMode="External"/><Relationship Id="rId15" Type="http://schemas.openxmlformats.org/officeDocument/2006/relationships/hyperlink" Target="https://www.sec.gov/Archives/edgar/data/1838359/000119312522067932/d506107dex1016.htm" TargetMode="External"/><Relationship Id="rId16" Type="http://schemas.openxmlformats.org/officeDocument/2006/relationships/hyperlink" Target="https://www.sec.gov/Archives/edgar/data/1838359/000119312522067932/d506107dex1017.htm" TargetMode="External"/><Relationship Id="rId17" Type="http://schemas.openxmlformats.org/officeDocument/2006/relationships/hyperlink" Target="https://www.sec.gov/Archives/edgar/data/1838359/000119312522067932/d506107dex1018.htm" TargetMode="External"/><Relationship Id="rId18" Type="http://schemas.openxmlformats.org/officeDocument/2006/relationships/hyperlink" Target="https://www.sec.gov/Archives/edgar/data/1838359/000119312522067932/d506107dex1019.htm" TargetMode="External"/><Relationship Id="rId19" Type="http://schemas.openxmlformats.org/officeDocument/2006/relationships/hyperlink" Target="https://www.sec.gov/Archives/edgar/data/1838359/000119312522067932/d506107dex1020.htm" TargetMode="External"/><Relationship Id="rId20" Type="http://schemas.openxmlformats.org/officeDocument/2006/relationships/hyperlink" Target="https://www.sec.gov/Archives/edgar/data/1838359/000119312522067932/d506107dex1021.htm" TargetMode="External"/><Relationship Id="rId21" Type="http://schemas.openxmlformats.org/officeDocument/2006/relationships/hyperlink" Target="https://www.sec.gov/Archives/edgar/data/1838359/000119312521362173/d248645dex1012.htm" TargetMode="External"/><Relationship Id="rId22" Type="http://schemas.openxmlformats.org/officeDocument/2006/relationships/hyperlink" Target="https://www.sec.gov/Archives/edgar/data/1838359/000155837025002499/rgti-20241231xex10d18.htm" TargetMode="External"/><Relationship Id="rId23" Type="http://schemas.openxmlformats.org/officeDocument/2006/relationships/hyperlink" Target="https://www.sec.gov/Archives/edgar/data/1838359/000155837025002499/rgti-20241231xex10d19.htm" TargetMode="External"/><Relationship Id="rId24" Type="http://schemas.openxmlformats.org/officeDocument/2006/relationships/hyperlink" Target="https://www.sec.gov/Archives/edgar/data/1838359/000155837025002499/rgti-20241231xex10d20.htm" TargetMode="External"/><Relationship Id="rId25" Type="http://schemas.openxmlformats.org/officeDocument/2006/relationships/hyperlink" Target="https://www.sec.gov/Archives/edgar/data/1838359/000155837025002499/rgti-20241231xex10d21.htm" TargetMode="External"/><Relationship Id="rId26" Type="http://schemas.openxmlformats.org/officeDocument/2006/relationships/hyperlink" Target="https://www.sec.gov/Archives/edgar/data/1838359/000155837025002499/rgti-20241231xex10d22.htm" TargetMode="External"/><Relationship Id="rId27" Type="http://schemas.openxmlformats.org/officeDocument/2006/relationships/hyperlink" Target="https://www.sec.gov/Archives/edgar/data/1838359/000155837024011594/rgti-20240630xex10d2.htm" TargetMode="External"/><Relationship Id="rId28" Type="http://schemas.openxmlformats.org/officeDocument/2006/relationships/hyperlink" Target="https://www.sec.gov/Archives/edgar/data/1838359/000119312521362173/d248645dex1013.htm" TargetMode="External"/><Relationship Id="rId29" Type="http://schemas.openxmlformats.org/officeDocument/2006/relationships/hyperlink" Target="https://www.sec.gov/Archives/edgar/data/1838359/000155837025002499/rgti-20241231xex10d25.htm" TargetMode="External"/><Relationship Id="rId30" Type="http://schemas.openxmlformats.org/officeDocument/2006/relationships/hyperlink" Target="https://www.sec.gov/Archives/edgar/data/1838359/000155837025002499/rgti-20241231xex10d26.htm" TargetMode="External"/><Relationship Id="rId31" Type="http://schemas.openxmlformats.org/officeDocument/2006/relationships/hyperlink" Target="https://www.sec.gov/Archives/edgar/data/1838359/000155837025002499/rgti-20241231xex10d27.htm" TargetMode="External"/><Relationship Id="rId32" Type="http://schemas.openxmlformats.org/officeDocument/2006/relationships/hyperlink" Target="https://www.sec.gov/Archives/edgar/data/1838359/000119312522300553/d431423dex101.htm" TargetMode="External"/><Relationship Id="rId33" Type="http://schemas.openxmlformats.org/officeDocument/2006/relationships/hyperlink" Target="https://www.sec.gov/Archives/edgar/data/1838359/000119312523031410/d406416dex101.htm" TargetMode="External"/><Relationship Id="rId34" Type="http://schemas.openxmlformats.org/officeDocument/2006/relationships/hyperlink" Target="https://www.sec.gov/Archives/edgar/data/1838359/000119312523092229/d492586dex1030.htm" TargetMode="External"/><Relationship Id="rId35" Type="http://schemas.openxmlformats.org/officeDocument/2006/relationships/hyperlink" Target="https://www.sec.gov/Archives/edgar/data/1838359/000110465924102448/tm2424646d1_ex10-1.htm" TargetMode="External"/><Relationship Id="rId36" Type="http://schemas.openxmlformats.org/officeDocument/2006/relationships/hyperlink" Target="https://www.sec.gov/Archives/edgar/data/1838359/000155837025002499/rgti-20241231xex10d34.htm" TargetMode="External"/><Relationship Id="rId37" Type="http://schemas.openxmlformats.org/officeDocument/2006/relationships/hyperlink" Target="https://www.sec.gov/Archives/edgar/data/1838359/000110465925018599/tm257789d1_ex10-2.htm" TargetMode="External"/><Relationship Id="rId38" Type="http://schemas.openxmlformats.org/officeDocument/2006/relationships/hyperlink" Target="https://www.sec.gov/Archives/edgar/data/1838359/000110465925018599/tm257789d1_ex10-1.htm" TargetMode="External"/><Relationship Id="rId39" Type="http://schemas.openxmlformats.org/officeDocument/2006/relationships/hyperlink" Target="https://www.sec.gov/Archives/edgar/data/1838359/000155837025002499/rgti-20241231xex19d1.htm" TargetMode="External"/><Relationship Id="rId40" Type="http://schemas.openxmlformats.org/officeDocument/2006/relationships/hyperlink" Target="https://www.sec.gov/Archives/edgar/data/1838359/000155837024003234/tmb-20231231xex97d1.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96487</Words>
  <Characters>530968</Characters>
  <CharactersWithSpaces>627811</CharactersWithSpaces>
  <Paragraphs>7648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