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30930x10q.htm"/>
        <w:bookmarkStart w:id="1" w:name="kstmb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61da8d48_9229_4981_8feb_6198a08429c4"/>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September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QqtzCh8kWkOB23sVnWy9Qw_7_1"/>
      <w:bookmarkStart w:id="4" w:name="Tc_tcGhvqxiL0a1Ui8A49wTFw_7_0"/>
      <w:bookmarkStart w:id="5" w:name="Tc_C1yKdXk-AEqFb1V6HZvYDg_6_0"/>
      <w:bookmarkStart w:id="6" w:name="Tc_kNH0kyRuMU6GZRDB7HtkxQ_3_1"/>
      <w:bookmarkStart w:id="7" w:name="Tc_-2Yu1YGh4U24QXX9yBX3WA_3_0"/>
      <w:bookmarkStart w:id="8" w:name="Tc_9akDkhTygkiuVaz_jA6HkQ_2_1"/>
      <w:bookmarkStart w:id="9" w:name="Tc_uTdX6LX5Bkye_pVd9UTv4Q_2_0"/>
      <w:bookmarkStart w:id="10" w:name="_dfc1e86d_ec87_4945_a6b1_fd30f03e93cd"/>
      <w:bookmarkStart w:id="11" w:name="Tc_QqtzCh8kWkOB23sVnWy9Qw_7_1"/>
      <w:bookmarkStart w:id="12" w:name="Tc_tcGhvqxiL0a1Ui8A49wTFw_7_0"/>
      <w:bookmarkStart w:id="13" w:name="Tc_C1yKdXk-AEqFb1V6HZvYDg_6_0"/>
      <w:bookmarkStart w:id="14" w:name="Tc_kNH0kyRuMU6GZRDB7HtkxQ_3_1"/>
      <w:bookmarkStart w:id="15" w:name="Tc_-2Yu1YGh4U24QXX9yBX3WA_3_0"/>
      <w:bookmarkStart w:id="16" w:name="Tc_9akDkhTygkiuVaz_jA6HkQ_2_1"/>
      <w:bookmarkStart w:id="17" w:name="Tc_uTdX6LX5Bkye_pVd9UTv4Q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ygW-WZpFdUSvBos5BHKi_g_4_4"/>
      <w:bookmarkStart w:id="20" w:name="Tc_gs2YAm9yzU-ce1Vd8aoIBA_3_4"/>
      <w:bookmarkStart w:id="21" w:name="Tc_It3dZ29hZ0K6GSn_4IomGw_1_4"/>
      <w:bookmarkStart w:id="22" w:name="Tc_s4vN--64iUqa8BlTa5y4Zw_1_2"/>
      <w:bookmarkStart w:id="23" w:name="Tc_QIWuAhyYPU2z5UsiJvOdtg_1_0"/>
      <w:bookmarkStart w:id="24" w:name="_5984a18d_87b3_46a4_9531_5d4b401e2ea4"/>
      <w:bookmarkStart w:id="25" w:name="Tc_ygW-WZpFdUSvBos5BHKi_g_4_4"/>
      <w:bookmarkStart w:id="26" w:name="Tc_gs2YAm9yzU-ce1Vd8aoIBA_3_4"/>
      <w:bookmarkStart w:id="27" w:name="Tc_It3dZ29hZ0K6GSn_4IomGw_1_4"/>
      <w:bookmarkStart w:id="28" w:name="Tc_s4vN--64iUqa8BlTa5y4Zw_1_2"/>
      <w:bookmarkStart w:id="29" w:name="Tc_QIWuAhyYPU2z5UsiJvOdtg_1_0"/>
      <w:bookmarkStart w:id="30" w:name="_5984a18d_87b3_46a4_9531_5d4b401e2ea4"/>
      <w:bookmarkEnd w:id="25"/>
      <w:bookmarkEnd w:id="26"/>
      <w:bookmarkEnd w:id="27"/>
      <w:bookmarkEnd w:id="28"/>
      <w:bookmarkEnd w:id="29"/>
      <w:bookmarkEnd w:id="30"/>
    </w:p>
    <w:tbl>
      <w:tblPr>
        <w:tblW w:w="5830" w:type="dxa"/>
        <w:jc w:val="left"/>
        <w:tblInd w:w="0" w:type="dxa"/>
        <w:tblLayout w:type="fixed"/>
        <w:tblCellMar>
          <w:top w:w="0" w:type="dxa"/>
          <w:left w:w="0" w:type="dxa"/>
          <w:bottom w:w="0" w:type="dxa"/>
          <w:right w:w="0" w:type="dxa"/>
        </w:tblCellMar>
      </w:tblPr>
      <w:tblGrid>
        <w:gridCol w:w="2866"/>
        <w:gridCol w:w="326"/>
        <w:gridCol w:w="601"/>
        <w:gridCol w:w="32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PRP3RFt6j0yt9kLt4OuXuw_3_2"/>
      <w:bookmarkStart w:id="32" w:name="Tc_bCQ4H97lJU-xHNvd_TPO8Q_2_2"/>
      <w:bookmarkStart w:id="33" w:name="Tc_Xrwf-rdsMUGPp0BfI81LPQ_2_1"/>
      <w:bookmarkStart w:id="34" w:name="Tc_uNczkzqhSEKtyk1NXn62IQ_1_3"/>
      <w:bookmarkStart w:id="35" w:name="Tc_q8apQjIeIEiRXrjEtpCMpw_1_2"/>
      <w:bookmarkStart w:id="36" w:name="Tc_UsTGAp4zek6CyMv9LRC9Rg_1_1"/>
      <w:bookmarkStart w:id="37" w:name="Tc_YqGD_jRdJkuOUArX_Y227g_1_0"/>
      <w:bookmarkStart w:id="38" w:name="_29c24b4a_0c86_4bba_8642_6971b7ff25cf"/>
      <w:bookmarkStart w:id="39" w:name="Tc_PRP3RFt6j0yt9kLt4OuXuw_3_2"/>
      <w:bookmarkStart w:id="40" w:name="Tc_bCQ4H97lJU-xHNvd_TPO8Q_2_2"/>
      <w:bookmarkStart w:id="41" w:name="Tc_Xrwf-rdsMUGPp0BfI81LPQ_2_1"/>
      <w:bookmarkStart w:id="42" w:name="Tc_uNczkzqhSEKtyk1NXn62IQ_1_3"/>
      <w:bookmarkStart w:id="43" w:name="Tc_q8apQjIeIEiRXrjEtpCMpw_1_2"/>
      <w:bookmarkStart w:id="44" w:name="Tc_UsTGAp4zek6CyMv9LRC9Rg_1_1"/>
      <w:bookmarkStart w:id="45" w:name="Tc_YqGD_jRdJkuOUArX_Y227g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November 7, 2023, there were 140,581,377 shares of the registrant’s Common Stock, no par value,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47" w:name="_2e61677a_3baa_4120_a350_ce1922253c1a"/>
      <w:bookmarkEnd w:id="47"/>
      <w:r>
        <w:rPr/>
        <w:t>​</w:t>
      </w:r>
    </w:p>
    <w:p>
      <w:pPr>
        <w:pStyle w:val="TextBody"/>
        <w:bidi w:val="0"/>
        <w:spacing w:before="0" w:after="0"/>
        <w:ind w:left="0" w:right="0" w:hanging="0"/>
        <w:jc w:val="center"/>
        <w:rPr>
          <w:rFonts w:ascii="Times New Roman;Times;serif" w:hAnsi="Times New Roman;Times;serif"/>
          <w:b/>
          <w:sz w:val="20"/>
        </w:rPr>
      </w:pPr>
      <w:bookmarkStart w:id="48" w:name="TOC"/>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INTERIMCONDENSEDCONSOLIDATEDBALANCESHEET">
              <w:r>
                <w:rPr>
                  <w:rStyle w:val="InternetLink"/>
                  <w:rFonts w:ascii="Times New Roman;Times;serif" w:hAnsi="Times New Roman;Times;serif"/>
                  <w:b w:val="false"/>
                  <w:i w:val="false"/>
                  <w:caps w:val="false"/>
                  <w:smallCaps w:val="false"/>
                  <w:sz w:val="20"/>
                </w:rPr>
                <w:t>Condensed Consolidated Balance Sheets as of September 30, 2023 and December 31, 2022</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2023 and 2022</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Loss for the Three and Nine Months ended September 30, 2023 and 2022</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Nine Months ended September 30, 2023 and 2022</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CAUTIONARYNOTEREGARDINGFORWARDLOOKINGSTA"/>
      <w:bookmarkStart w:id="50" w:name="_b917fedb_070c_4f52_a4e4_691033d3def0"/>
      <w:bookmarkEnd w:id="49"/>
      <w:bookmarkEnd w:id="50"/>
      <w:r>
        <w:rPr>
          <w:rFonts w:ascii="Times New Roman;Times;serif" w:hAnsi="Times New Roman;Times;serif"/>
          <w:b/>
          <w:sz w:val="20"/>
        </w:rPr>
        <w:t>Cautionary Note Regarding Forward-looking Statements</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“goal,” “seek,” “target,” “should,” “could,” “will,” “would” or the negative of such terms or other similar expressions.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 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caution you that these forward-looking statements are subject to numerous risks and uncertainties, most of which are difficult to predict and many of which are beyond our control. Forward-looking statements in this Quarterly Report on Form 10-Q may include, for example,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our expectation that we will need to raise additional capital by early 2025, including any additional sales of common stock through our Common Stock Purchase Agreement with B.Riley or from other sources, and our ability to raise additional capital when needed and on attractive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strategy for quantum computing as a service (“Quantum Computing as a Service,” or “QCaaS”),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may be instituted against us or others with respect to the Business Combination (as defined herein) or other matters,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standards relating to the listing of our common stock, par value $0.0001 per share (the “common stock”) and Public Warrants (as defined herein) on the Nasdaq Capital Market (“Nasdaq”), and the potential liquidity and trading of such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remediate the material weaknesses in, and establish and maintain, effective internal controls over financial reporting,</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the ongoing military conflicts involving Russia and Ukraine and sanctions related thereto and the state of war between Israel and Hamas and the potential larger regional conflict), including inflation and financial and credit market fluctuations,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worsening global economic conditions, disruptions to and volatility and uncertainty in the credit and financial markets, increases in inflation and interest rates, and recent and potential future disruptions in access to bank deposits or lending commitments due to bank failures, on the foregoing.</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known and unknown risks, uncertainties and other factors include, without limitation: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estimates and current business plan, we expect that we will need to raise additional capital by early 2025, including any additional sales of common stock through our Common Stock Purchase Agreement with B. Riley or from other sources, in order to continue our research and development efforts and achieve our business objectives. We cannot be sure that additional financing will be available. If we are unable to raise additional funding when needed and on attractive terms, we may be required to delay, limit or substantially reduce our quantum computing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our early stages and have a limited operating history, which makes it difficult to forecast our future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expect to incur significant expenses and continuing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achieves its anticipated growth levels, our business could fail to grow at similar rates, if at all.</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net operating loss carryforwards and other tax attributes may be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generations of hardware, including any future generations developed to demonstrate narrow quantum advantage and broad quantum advantage and the anticipated wider external release of an 84 qubit system, and anticipated release of a 336 qubit system, each of which is an important anticipated milestone for our technology roadmap and commercialization, may not occur on our anticipated timeline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 limited number of customers for a significant percentage of our revenue and the loss or temporary loss of a major customer for any reason could harm our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currently dependent upon our relationship with our cloud providers. There are no assurances that we will be able to commercialize quantum computers from our relationships with cloud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reduce the cost of developing our quantum computers, which may prevent us from pricing our quantum systems competitively.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in its early stages and volatile, and if it does not develop, if it develops more slowly than we expect, if it develops in a manner that does not require use of our quantum computing solutions, if it encounters negative publicity or if our solution does not drive commercial engagement, the growth of our business will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suffer disruptions, outages, defects and other performance and quality problems with our quantum computing systems, our production technology partners or with the public cloud, data centers and internet infrastructure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obtain, maintain and protect our intellectual property rights could impair our ability to protect and commercialize our proprietary products and technology and cause us to lose our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out of compliance with the continued listing standards of Nasdaq and we may be unable to maintain compliance with such standards. If we fail to maintain compliance with the listing requirements of the Nasdaq Capital Market or fail to cure any future deficiencies, we may be delisted and the price of our common stock and our ability to access the capital markets could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Unstable market and economic conditions, including recent bank failures, have had and may continue to have serious adverse consequences on our business, financial condition and share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including our Public warrants, each entitling the holder to purchase one share of our common stock at an exercise price of $11.50 per share, that trade on the Nasdaq Capital Market under the ticker symbol “RGTIW” (“Public Warrants”), private placement warrants, each entitling the holder to purchase one share of our common stock at an exercise price of $11.50 per share (“Private Warrants”), and other warrants we have issued, are accounted for as liabilities and the changes in value of our warrants could have a material effect on our financial results.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exercisable for Common Stock, the exercise of which would increase the number of shares eligible for future resale in the public market and result in dilution to our stockholders.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never be in the money, and they may expire worthless.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 discussion of the risks, uncertainties and other factors described above, as well as other risks material to our business, can be found under “Risk Factors” in Part I, Item 1A of our Annual Report on Form 10-K for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Given these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2022 materialize, or should underlying assumptions prove incorrect, actual results and plans could differ materially from those expressed in any forward-looking statements. Also, these forward-looking statements represent our plans, objectives, estimates, expectations, assumptions, and intentions only as of the date of this filing.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3fbaba86_ded5_4648_8cbf_2cd4d92a8dee"/>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4" w:name="INTERIMCONDENSEDCONSOLIDATEDBALANCESHEET"/>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5" w:name="Tc_hcedIu8syUuyQdaJ_ltAXA_38_5"/>
      <w:bookmarkStart w:id="56" w:name="Tc_Yusku0k3YkiWhfGPbPZaMQ_38_2"/>
      <w:bookmarkStart w:id="57" w:name="Tc_i8J_CwtugEOQFnXal8E1QA_38_0"/>
      <w:bookmarkStart w:id="58" w:name="Tc_TYpfrIIf9U-IYh5g2nZZ5w_37_0"/>
      <w:bookmarkStart w:id="59" w:name="Tc_2sHho6iY9kiQwpsHkY551Q_36_0"/>
      <w:bookmarkStart w:id="60" w:name="Tc_pWE5OmJkDECesU-EAwaNPA_35_0"/>
      <w:bookmarkStart w:id="61" w:name="Tc_KWebf5-L70yYuHqdgL8jYg_34_0"/>
      <w:bookmarkStart w:id="62" w:name="Tc_n7Na0HiX7ESSavt_CwBJbw_33_0"/>
      <w:bookmarkStart w:id="63" w:name="Tc_6h5C0jLUhUezvfJvloi3Sw_32_0"/>
      <w:bookmarkStart w:id="64" w:name="Tc_wcDP56z9EEiGr4XnJRY7gw_31_0"/>
      <w:bookmarkStart w:id="65" w:name="Tc_uOyBV0jNlUm9-mAjDFLmTg_30_0"/>
      <w:bookmarkStart w:id="66" w:name="Tc_G5z94B9uSECL42nuZ9qNXA_29_5"/>
      <w:bookmarkStart w:id="67" w:name="Tc_8M8pmxqAQkKJpxts3eSSZg_29_2"/>
      <w:bookmarkStart w:id="68" w:name="Tc_UeZoQn2-GUaJOh1vWtyTkQ_29_0"/>
      <w:bookmarkStart w:id="69" w:name="Tc_sJELBHF_b0C3y5qox0Z3fg_28_0"/>
      <w:bookmarkStart w:id="70" w:name="Tc_WnYRcb0Aw0-ikiktNZAxYg_27_0"/>
      <w:bookmarkStart w:id="71" w:name="Tc_W9zc3w3vFUCgKDpCfdY77Q_26_0"/>
      <w:bookmarkStart w:id="72" w:name="Tc_iYv7gteWdkSdY6_vKw6Nag_25_0"/>
      <w:bookmarkStart w:id="73" w:name="Tc_couAVfYsM025vwVnzl9cmg_24_0"/>
      <w:bookmarkStart w:id="74" w:name="Tc_eKrVyg7Grki4EEJVDaXR0w_23_0"/>
      <w:bookmarkStart w:id="75" w:name="Tc_78hDfi5suEy1QzMUhpb09Q_22_0"/>
      <w:bookmarkStart w:id="76" w:name="Tc_6YgMsL0_VEWk7cahPckgTQ_21_0"/>
      <w:bookmarkStart w:id="77" w:name="Tc_kI4P0Z1g30mbU79y5W8Rbg_20_0"/>
      <w:bookmarkStart w:id="78" w:name="Tc_QCMgzAQZ-UW1QEu0dqSzvg_19_5"/>
      <w:bookmarkStart w:id="79" w:name="Tc_ib8FWOGJWkSE_A3i_i3k9Q_19_2"/>
      <w:bookmarkStart w:id="80" w:name="Tc_9Xz6Tk24a0-V-wjM1ZUcxg_19_0"/>
      <w:bookmarkStart w:id="81" w:name="Tc_hFPnIkzzdk-GhUUjGsw9vQ_18_0"/>
      <w:bookmarkStart w:id="82" w:name="Tc_zXes-WZQV0uCvSONaqu3Bw_17_0"/>
      <w:bookmarkStart w:id="83" w:name="Tc_wazqTWERDUyIF3L_FNb5MQ_15_5"/>
      <w:bookmarkStart w:id="84" w:name="Tc_scdFyIqGRU2In_fCPooqjQ_15_2"/>
      <w:bookmarkStart w:id="85" w:name="Tc_F9E-5toiIEa6fJlAt4XtsQ_15_0"/>
      <w:bookmarkStart w:id="86" w:name="Tc_988Z2HQ4kkieDIWMNyZT-g_14_0"/>
      <w:bookmarkStart w:id="87" w:name="Tc_AiMMUzYHeU6o4XgrK51mag_13_0"/>
      <w:bookmarkStart w:id="88" w:name="Tc_0IbbMv9tRkCKEJ-lZg0U8w_12_0"/>
      <w:bookmarkStart w:id="89" w:name="Tc_3CWk9YkSlUCPOVIZQCOE5g_11_0"/>
      <w:bookmarkStart w:id="90" w:name="Tc_bIJLUUvnF0G17l2dJvUEtQ_10_0"/>
      <w:bookmarkStart w:id="91" w:name="Tc_SKsCTQ_ng0W4775fKRaf1g_9_0"/>
      <w:bookmarkStart w:id="92" w:name="Tc_e9MG7oDhL0C3y0XxiFOY2Q_8_0"/>
      <w:bookmarkStart w:id="93" w:name="Tc_adJ5-9Z0jUm6kjsmNpUwLQ_7_0"/>
      <w:bookmarkStart w:id="94" w:name="Tc_olg5uq4d6Uy763DHNNd6Iw_6_0"/>
      <w:bookmarkStart w:id="95" w:name="Tc_lFa0M9Ztdk-IZrTKNTpSMg_5_5"/>
      <w:bookmarkStart w:id="96" w:name="Tc_3M1PRX0_vk-ILj4rxvymvg_5_2"/>
      <w:bookmarkStart w:id="97" w:name="Tc_HgqB4MWR4kWshojtAiZ4UA_5_0"/>
      <w:bookmarkStart w:id="98" w:name="Tc_BvJCoDWuMkKGjBNx1Y70aQ_4_0"/>
      <w:bookmarkStart w:id="99" w:name="Tc_j5xMheXtFkyMqnrBwNkiKw_3_0"/>
      <w:bookmarkStart w:id="100" w:name="Tc_sJZclD9hX0uIZ4aVGoO4YQ_2_5"/>
      <w:bookmarkStart w:id="101" w:name="Tc_7-2lexWB0EOSzLxyknPJ5g_2_2"/>
      <w:bookmarkStart w:id="102" w:name="Tc_k1v7THUmgk2hL_Od0Me0MQ_1_5"/>
      <w:bookmarkStart w:id="103" w:name="Tc_c18kZYoiNEKRIRNV1shd2Q_1_2"/>
      <w:bookmarkStart w:id="104" w:name="_95bee19d_95c9_4e6b_b568_6985b0035237"/>
      <w:bookmarkStart w:id="105" w:name="Tc_hcedIu8syUuyQdaJ_ltAXA_38_5"/>
      <w:bookmarkStart w:id="106" w:name="Tc_Yusku0k3YkiWhfGPbPZaMQ_38_2"/>
      <w:bookmarkStart w:id="107" w:name="Tc_i8J_CwtugEOQFnXal8E1QA_38_0"/>
      <w:bookmarkStart w:id="108" w:name="Tc_TYpfrIIf9U-IYh5g2nZZ5w_37_0"/>
      <w:bookmarkStart w:id="109" w:name="Tc_2sHho6iY9kiQwpsHkY551Q_36_0"/>
      <w:bookmarkStart w:id="110" w:name="Tc_pWE5OmJkDECesU-EAwaNPA_35_0"/>
      <w:bookmarkStart w:id="111" w:name="Tc_KWebf5-L70yYuHqdgL8jYg_34_0"/>
      <w:bookmarkStart w:id="112" w:name="Tc_n7Na0HiX7ESSavt_CwBJbw_33_0"/>
      <w:bookmarkStart w:id="113" w:name="Tc_6h5C0jLUhUezvfJvloi3Sw_32_0"/>
      <w:bookmarkStart w:id="114" w:name="Tc_wcDP56z9EEiGr4XnJRY7gw_31_0"/>
      <w:bookmarkStart w:id="115" w:name="Tc_uOyBV0jNlUm9-mAjDFLmTg_30_0"/>
      <w:bookmarkStart w:id="116" w:name="Tc_G5z94B9uSECL42nuZ9qNXA_29_5"/>
      <w:bookmarkStart w:id="117" w:name="Tc_8M8pmxqAQkKJpxts3eSSZg_29_2"/>
      <w:bookmarkStart w:id="118" w:name="Tc_UeZoQn2-GUaJOh1vWtyTkQ_29_0"/>
      <w:bookmarkStart w:id="119" w:name="Tc_sJELBHF_b0C3y5qox0Z3fg_28_0"/>
      <w:bookmarkStart w:id="120" w:name="Tc_WnYRcb0Aw0-ikiktNZAxYg_27_0"/>
      <w:bookmarkStart w:id="121" w:name="Tc_W9zc3w3vFUCgKDpCfdY77Q_26_0"/>
      <w:bookmarkStart w:id="122" w:name="Tc_iYv7gteWdkSdY6_vKw6Nag_25_0"/>
      <w:bookmarkStart w:id="123" w:name="Tc_couAVfYsM025vwVnzl9cmg_24_0"/>
      <w:bookmarkStart w:id="124" w:name="Tc_eKrVyg7Grki4EEJVDaXR0w_23_0"/>
      <w:bookmarkStart w:id="125" w:name="Tc_78hDfi5suEy1QzMUhpb09Q_22_0"/>
      <w:bookmarkStart w:id="126" w:name="Tc_6YgMsL0_VEWk7cahPckgTQ_21_0"/>
      <w:bookmarkStart w:id="127" w:name="Tc_kI4P0Z1g30mbU79y5W8Rbg_20_0"/>
      <w:bookmarkStart w:id="128" w:name="Tc_QCMgzAQZ-UW1QEu0dqSzvg_19_5"/>
      <w:bookmarkStart w:id="129" w:name="Tc_ib8FWOGJWkSE_A3i_i3k9Q_19_2"/>
      <w:bookmarkStart w:id="130" w:name="Tc_9Xz6Tk24a0-V-wjM1ZUcxg_19_0"/>
      <w:bookmarkStart w:id="131" w:name="Tc_hFPnIkzzdk-GhUUjGsw9vQ_18_0"/>
      <w:bookmarkStart w:id="132" w:name="Tc_zXes-WZQV0uCvSONaqu3Bw_17_0"/>
      <w:bookmarkStart w:id="133" w:name="Tc_wazqTWERDUyIF3L_FNb5MQ_15_5"/>
      <w:bookmarkStart w:id="134" w:name="Tc_scdFyIqGRU2In_fCPooqjQ_15_2"/>
      <w:bookmarkStart w:id="135" w:name="Tc_F9E-5toiIEa6fJlAt4XtsQ_15_0"/>
      <w:bookmarkStart w:id="136" w:name="Tc_988Z2HQ4kkieDIWMNyZT-g_14_0"/>
      <w:bookmarkStart w:id="137" w:name="Tc_AiMMUzYHeU6o4XgrK51mag_13_0"/>
      <w:bookmarkStart w:id="138" w:name="Tc_0IbbMv9tRkCKEJ-lZg0U8w_12_0"/>
      <w:bookmarkStart w:id="139" w:name="Tc_3CWk9YkSlUCPOVIZQCOE5g_11_0"/>
      <w:bookmarkStart w:id="140" w:name="Tc_bIJLUUvnF0G17l2dJvUEtQ_10_0"/>
      <w:bookmarkStart w:id="141" w:name="Tc_SKsCTQ_ng0W4775fKRaf1g_9_0"/>
      <w:bookmarkStart w:id="142" w:name="Tc_e9MG7oDhL0C3y0XxiFOY2Q_8_0"/>
      <w:bookmarkStart w:id="143" w:name="Tc_adJ5-9Z0jUm6kjsmNpUwLQ_7_0"/>
      <w:bookmarkStart w:id="144" w:name="Tc_olg5uq4d6Uy763DHNNd6Iw_6_0"/>
      <w:bookmarkStart w:id="145" w:name="Tc_lFa0M9Ztdk-IZrTKNTpSMg_5_5"/>
      <w:bookmarkStart w:id="146" w:name="Tc_3M1PRX0_vk-ILj4rxvymvg_5_2"/>
      <w:bookmarkStart w:id="147" w:name="Tc_HgqB4MWR4kWshojtAiZ4UA_5_0"/>
      <w:bookmarkStart w:id="148" w:name="Tc_BvJCoDWuMkKGjBNx1Y70aQ_4_0"/>
      <w:bookmarkStart w:id="149" w:name="Tc_j5xMheXtFkyMqnrBwNkiKw_3_0"/>
      <w:bookmarkStart w:id="150" w:name="Tc_sJZclD9hX0uIZ4aVGoO4YQ_2_5"/>
      <w:bookmarkStart w:id="151" w:name="Tc_7-2lexWB0EOSzLxyknPJ5g_2_2"/>
      <w:bookmarkStart w:id="152" w:name="Tc_k1v7THUmgk2hL_Od0Me0MQ_1_5"/>
      <w:bookmarkStart w:id="153" w:name="Tc_c18kZYoiNEKRIRNV1shd2Q_1_2"/>
      <w:bookmarkStart w:id="154" w:name="_95bee19d_95c9_4e6b_b568_6985b0035237"/>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7290"/>
        <w:gridCol w:w="326"/>
        <w:gridCol w:w="215"/>
        <w:gridCol w:w="911"/>
        <w:gridCol w:w="326"/>
        <w:gridCol w:w="212"/>
        <w:gridCol w:w="925"/>
      </w:tblGrid>
      <w:tr>
        <w:trPr/>
        <w:tc>
          <w:tcPr>
            <w:tcW w:w="72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6525" cy="175260"/>
                      <wp:effectExtent l="0" t="0" r="0" b="0"/>
                      <wp:wrapNone/>
                      <wp:docPr id="10" name="Frame1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8485" cy="175260"/>
                      <wp:effectExtent l="0" t="0" r="0" b="0"/>
                      <wp:wrapNone/>
                      <wp:docPr id="11" name="Frame11"/>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4620" cy="175260"/>
                      <wp:effectExtent l="0" t="0" r="0" b="0"/>
                      <wp:wrapNone/>
                      <wp:docPr id="13" name="Frame1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7375" cy="175260"/>
                      <wp:effectExtent l="0" t="0" r="0" b="0"/>
                      <wp:wrapNone/>
                      <wp:docPr id="14" name="Frame14"/>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pPr>
            <w:r>
              <w:rPr/>
              <w:t>  </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  </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41,757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57,888</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68,470</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84,923</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contract—assets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116,696</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154,467</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40,348</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39,530</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8,028</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165,204</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203,442</w:t>
            </w:r>
          </w:p>
        </w:tc>
      </w:tr>
      <w:tr>
        <w:trPr/>
        <w:tc>
          <w:tcPr>
            <w:tcW w:w="72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  </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  </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7,389</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11,522</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8,303</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23,042</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21,752</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13,111</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20,635</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7,858</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52,513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53,218</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18)</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  </w:t>
            </w:r>
          </w:p>
        </w:tc>
      </w:tr>
      <w:tr>
        <w:trPr/>
        <w:tc>
          <w:tcPr>
            <w:tcW w:w="72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  </w:t>
            </w:r>
          </w:p>
        </w:tc>
      </w:tr>
      <w:tr>
        <w:trPr/>
        <w:tc>
          <w:tcPr>
            <w:tcW w:w="72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72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Common stock, par value $0.0001 per share, 1,000,000,000 shares authorized, 140,181,421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at September 30, 2023 and 125,257,233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453,790</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429,025</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(341,187)</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(278,652)</w:t>
            </w:r>
          </w:p>
        </w:tc>
      </w:tr>
      <w:tr>
        <w:trPr/>
        <w:tc>
          <w:tcPr>
            <w:tcW w:w="7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112,691</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150,224</w:t>
            </w:r>
          </w:p>
        </w:tc>
      </w:tr>
      <w:tr>
        <w:trPr/>
        <w:tc>
          <w:tcPr>
            <w:tcW w:w="7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165,204</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203,442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_84e906de_3b9b_46c4_998e_a328323c7fed"/>
      <w:bookmarkStart w:id="156" w:name="_Hlk149637257"/>
      <w:bookmarkEnd w:id="155"/>
      <w:bookmarkEnd w:id="156"/>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57" w:name="STATEMENTS_OF_OPERATIONS"/>
      <w:bookmarkEnd w:id="157"/>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8" w:name="Tc__8LzXkz63Uau2N2VqXiqrA_23_0"/>
      <w:bookmarkStart w:id="159" w:name="Tc_1kH7NOJdQ0mGg9nAr2LvXg_22_11"/>
      <w:bookmarkStart w:id="160" w:name="Tc_UPBkn8rw_k6hqqJ7pbeQmw_22_8"/>
      <w:bookmarkStart w:id="161" w:name="Tc_ag3bASK-MEOIieFcHEVFnA_22_5"/>
      <w:bookmarkStart w:id="162" w:name="Tc_pEkOSPlHvEKqn2zo1GPMSQ_22_2"/>
      <w:bookmarkStart w:id="163" w:name="Tc_TDuQT7cKN0W0JkLtPLolXg_22_0"/>
      <w:bookmarkStart w:id="164" w:name="Tc_jSJGB629C0uau_geqB9mPQ_21_11"/>
      <w:bookmarkStart w:id="165" w:name="Tc_ensmdUU6fkGLqzdpldeB0A_21_8"/>
      <w:bookmarkStart w:id="166" w:name="Tc_XL9nwhn3NkiN6KgAXX320g_21_5"/>
      <w:bookmarkStart w:id="167" w:name="Tc_LKQ0L280qkWadQouGKnwaQ_21_2"/>
      <w:bookmarkStart w:id="168" w:name="Tc_4treWRrwIk-4RTm-U8IlOg_21_0"/>
      <w:bookmarkStart w:id="169" w:name="Tc_KdqJ4wsEH0qditKAJl4DRQ_20_0"/>
      <w:bookmarkStart w:id="170" w:name="Tc_chekKA8VZ0OsxzuQ_jDdnA_19_0"/>
      <w:bookmarkStart w:id="171" w:name="Tc_EWtiWrqDw0SrIFGShMCsXg_18_0"/>
      <w:bookmarkStart w:id="172" w:name="Tc_iZe_MZbnWUeHs1Jo8rUMlw_17_0"/>
      <w:bookmarkStart w:id="173" w:name="Tc_1kF9SvPPjU69JzrvGVl3Nw_16_0"/>
      <w:bookmarkStart w:id="174" w:name="Tc_PJmvvTHCwEGYDwkjCnIoMg_15_0"/>
      <w:bookmarkStart w:id="175" w:name="Tc_UTTtWDQY1UCE1s7AJT1-8w_14_0"/>
      <w:bookmarkStart w:id="176" w:name="Tc_uToT9FdM8EaGQSbYLZd-wQ_13_0"/>
      <w:bookmarkStart w:id="177" w:name="Tc_C0eJHPwdiEGzhw5UPb1wSQ_12_0"/>
      <w:bookmarkStart w:id="178" w:name="Tc_43DrrgsLDk6-9NoF-GqzYQ_11_0"/>
      <w:bookmarkStart w:id="179" w:name="Tc_XkDMl6XG8kCSr79sv9O93A_10_0"/>
      <w:bookmarkStart w:id="180" w:name="Tc_Wh23cRGaokySMXG9YnLo3g_9_0"/>
      <w:bookmarkStart w:id="181" w:name="Tc_jTcBkXvLp0Sr0Vz5lAMq2w_8_0"/>
      <w:bookmarkStart w:id="182" w:name="Tc_BqGYMZ5UsEOaDdlkFA-xkA_7_0"/>
      <w:bookmarkStart w:id="183" w:name="Tc_lOaXzbss1EaLJuDmNq2ojw_6_0"/>
      <w:bookmarkStart w:id="184" w:name="Tc_d_PvCtk_okyGPUAGBWdVjg_5_0"/>
      <w:bookmarkStart w:id="185" w:name="Tc_H8dlWNLo2U6Z7VOXxH0Bhw_4_0"/>
      <w:bookmarkStart w:id="186" w:name="Tc_0wt5J929bEGWUQglEW8Qpg_3_11"/>
      <w:bookmarkStart w:id="187" w:name="Tc_Ugb-AqCoNEuBHRiMj4ZEtw_3_8"/>
      <w:bookmarkStart w:id="188" w:name="Tc_xLCn-ylPCUyj6kumtuPW-g_3_5"/>
      <w:bookmarkStart w:id="189" w:name="Tc_Y8_ang93T0OUn40kWagHdg_3_2"/>
      <w:bookmarkStart w:id="190" w:name="Tc_J8CkRe-x2EqWP3rMAc6hmw_3_0"/>
      <w:bookmarkStart w:id="191" w:name="Tc_IDSCzRdCIEadc0O31fo4BA_2_11"/>
      <w:bookmarkStart w:id="192" w:name="Tc_zR5w8XNBckiu7pNoDgDcYA_2_8"/>
      <w:bookmarkStart w:id="193" w:name="Tc_oJoUOt4wbES93Sj30vsGPQ_2_5"/>
      <w:bookmarkStart w:id="194" w:name="Tc_TlD6xpfIUkyOPGaSCzJE0Q_2_2"/>
      <w:bookmarkStart w:id="195" w:name="Tc_frSE8mqakU-F6wkeyf2nTA_1_8"/>
      <w:bookmarkStart w:id="196" w:name="Tc_ol251MVXfkufyh-m1LDdtw_1_2"/>
      <w:bookmarkStart w:id="197" w:name="_94655d95_3a9a_492f_9919_27e66ae8726e"/>
      <w:bookmarkStart w:id="198" w:name="_fdc0b01b_c892_47a2_ad8b_e4fbdeef6d86"/>
      <w:bookmarkStart w:id="199" w:name="Tc__8LzXkz63Uau2N2VqXiqrA_23_0"/>
      <w:bookmarkStart w:id="200" w:name="Tc_1kH7NOJdQ0mGg9nAr2LvXg_22_11"/>
      <w:bookmarkStart w:id="201" w:name="Tc_UPBkn8rw_k6hqqJ7pbeQmw_22_8"/>
      <w:bookmarkStart w:id="202" w:name="Tc_ag3bASK-MEOIieFcHEVFnA_22_5"/>
      <w:bookmarkStart w:id="203" w:name="Tc_pEkOSPlHvEKqn2zo1GPMSQ_22_2"/>
      <w:bookmarkStart w:id="204" w:name="Tc_TDuQT7cKN0W0JkLtPLolXg_22_0"/>
      <w:bookmarkStart w:id="205" w:name="Tc_jSJGB629C0uau_geqB9mPQ_21_11"/>
      <w:bookmarkStart w:id="206" w:name="Tc_ensmdUU6fkGLqzdpldeB0A_21_8"/>
      <w:bookmarkStart w:id="207" w:name="Tc_XL9nwhn3NkiN6KgAXX320g_21_5"/>
      <w:bookmarkStart w:id="208" w:name="Tc_LKQ0L280qkWadQouGKnwaQ_21_2"/>
      <w:bookmarkStart w:id="209" w:name="Tc_4treWRrwIk-4RTm-U8IlOg_21_0"/>
      <w:bookmarkStart w:id="210" w:name="Tc_KdqJ4wsEH0qditKAJl4DRQ_20_0"/>
      <w:bookmarkStart w:id="211" w:name="Tc_chekKA8VZ0OsxzuQ_jDdnA_19_0"/>
      <w:bookmarkStart w:id="212" w:name="Tc_EWtiWrqDw0SrIFGShMCsXg_18_0"/>
      <w:bookmarkStart w:id="213" w:name="Tc_iZe_MZbnWUeHs1Jo8rUMlw_17_0"/>
      <w:bookmarkStart w:id="214" w:name="Tc_1kF9SvPPjU69JzrvGVl3Nw_16_0"/>
      <w:bookmarkStart w:id="215" w:name="Tc_PJmvvTHCwEGYDwkjCnIoMg_15_0"/>
      <w:bookmarkStart w:id="216" w:name="Tc_UTTtWDQY1UCE1s7AJT1-8w_14_0"/>
      <w:bookmarkStart w:id="217" w:name="Tc_uToT9FdM8EaGQSbYLZd-wQ_13_0"/>
      <w:bookmarkStart w:id="218" w:name="Tc_C0eJHPwdiEGzhw5UPb1wSQ_12_0"/>
      <w:bookmarkStart w:id="219" w:name="Tc_43DrrgsLDk6-9NoF-GqzYQ_11_0"/>
      <w:bookmarkStart w:id="220" w:name="Tc_XkDMl6XG8kCSr79sv9O93A_10_0"/>
      <w:bookmarkStart w:id="221" w:name="Tc_Wh23cRGaokySMXG9YnLo3g_9_0"/>
      <w:bookmarkStart w:id="222" w:name="Tc_jTcBkXvLp0Sr0Vz5lAMq2w_8_0"/>
      <w:bookmarkStart w:id="223" w:name="Tc_BqGYMZ5UsEOaDdlkFA-xkA_7_0"/>
      <w:bookmarkStart w:id="224" w:name="Tc_lOaXzbss1EaLJuDmNq2ojw_6_0"/>
      <w:bookmarkStart w:id="225" w:name="Tc_d_PvCtk_okyGPUAGBWdVjg_5_0"/>
      <w:bookmarkStart w:id="226" w:name="Tc_H8dlWNLo2U6Z7VOXxH0Bhw_4_0"/>
      <w:bookmarkStart w:id="227" w:name="Tc_0wt5J929bEGWUQglEW8Qpg_3_11"/>
      <w:bookmarkStart w:id="228" w:name="Tc_Ugb-AqCoNEuBHRiMj4ZEtw_3_8"/>
      <w:bookmarkStart w:id="229" w:name="Tc_xLCn-ylPCUyj6kumtuPW-g_3_5"/>
      <w:bookmarkStart w:id="230" w:name="Tc_Y8_ang93T0OUn40kWagHdg_3_2"/>
      <w:bookmarkStart w:id="231" w:name="Tc_J8CkRe-x2EqWP3rMAc6hmw_3_0"/>
      <w:bookmarkStart w:id="232" w:name="Tc_IDSCzRdCIEadc0O31fo4BA_2_11"/>
      <w:bookmarkStart w:id="233" w:name="Tc_zR5w8XNBckiu7pNoDgDcYA_2_8"/>
      <w:bookmarkStart w:id="234" w:name="Tc_oJoUOt4wbES93Sj30vsGPQ_2_5"/>
      <w:bookmarkStart w:id="235" w:name="Tc_TlD6xpfIUkyOPGaSCzJE0Q_2_2"/>
      <w:bookmarkStart w:id="236" w:name="Tc_frSE8mqakU-F6wkeyf2nTA_1_8"/>
      <w:bookmarkStart w:id="237" w:name="Tc_ol251MVXfkufyh-m1LDdtw_1_2"/>
      <w:bookmarkStart w:id="238" w:name="_94655d95_3a9a_492f_9919_27e66ae8726e"/>
      <w:bookmarkStart w:id="239" w:name="_fdc0b01b_c892_47a2_ad8b_e4fbdeef6d86"/>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tbl>
      <w:tblPr>
        <w:tblW w:w="10205" w:type="dxa"/>
        <w:jc w:val="left"/>
        <w:tblInd w:w="0" w:type="dxa"/>
        <w:tblLayout w:type="fixed"/>
        <w:tblCellMar>
          <w:top w:w="0" w:type="dxa"/>
          <w:left w:w="0" w:type="dxa"/>
          <w:bottom w:w="0" w:type="dxa"/>
          <w:right w:w="0" w:type="dxa"/>
        </w:tblCellMar>
      </w:tblPr>
      <w:tblGrid>
        <w:gridCol w:w="4508"/>
        <w:gridCol w:w="326"/>
        <w:gridCol w:w="229"/>
        <w:gridCol w:w="856"/>
        <w:gridCol w:w="354"/>
        <w:gridCol w:w="229"/>
        <w:gridCol w:w="856"/>
        <w:gridCol w:w="326"/>
        <w:gridCol w:w="226"/>
        <w:gridCol w:w="844"/>
        <w:gridCol w:w="349"/>
        <w:gridCol w:w="226"/>
        <w:gridCol w:w="876"/>
      </w:tblGrid>
      <w:tr>
        <w:trPr/>
        <w:tc>
          <w:tcPr>
            <w:tcW w:w="4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5415" cy="175260"/>
                      <wp:effectExtent l="0" t="0" r="0" b="0"/>
                      <wp:wrapNone/>
                      <wp:docPr id="16" name="Frame1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43560" cy="175260"/>
                      <wp:effectExtent l="0" t="0" r="0" b="0"/>
                      <wp:wrapNone/>
                      <wp:docPr id="17" name="Frame1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4790" cy="175260"/>
                      <wp:effectExtent l="0" t="0" r="0" b="0"/>
                      <wp:wrapNone/>
                      <wp:docPr id="18" name="Frame1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5415" cy="175260"/>
                      <wp:effectExtent l="0" t="0" r="0" b="0"/>
                      <wp:wrapNone/>
                      <wp:docPr id="19" name="Frame1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43560" cy="175260"/>
                      <wp:effectExtent l="0" t="0" r="0" b="0"/>
                      <wp:wrapNone/>
                      <wp:docPr id="20" name="Frame2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3510" cy="175260"/>
                      <wp:effectExtent l="0" t="0" r="0" b="0"/>
                      <wp:wrapNone/>
                      <wp:docPr id="22" name="Frame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35940" cy="175260"/>
                      <wp:effectExtent l="0" t="0" r="0" b="0"/>
                      <wp:wrapNone/>
                      <wp:docPr id="23" name="Frame23"/>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21615" cy="175260"/>
                      <wp:effectExtent l="0" t="0" r="0" b="0"/>
                      <wp:wrapNone/>
                      <wp:docPr id="24" name="Frame2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56260" cy="175260"/>
                      <wp:effectExtent l="0" t="0" r="0" b="0"/>
                      <wp:wrapNone/>
                      <wp:docPr id="26" name="Frame26"/>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5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4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54" w:type="dxa"/>
            <w:tcBorders/>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9" w:type="dxa"/>
            <w:tcBorders/>
            <w:vAlign w:val="center"/>
          </w:tcPr>
          <w:p>
            <w:pPr>
              <w:pStyle w:val="TableContents"/>
              <w:bidi w:val="0"/>
              <w:spacing w:before="0" w:after="0"/>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354"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34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c>
          <w:tcPr>
            <w:tcW w:w="354"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  </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13,056</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39,981</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44,040</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354"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20,808</w:t>
            </w:r>
          </w:p>
        </w:tc>
        <w:tc>
          <w:tcPr>
            <w:tcW w:w="34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43,293</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19,103</w:t>
            </w:r>
          </w:p>
        </w:tc>
        <w:tc>
          <w:tcPr>
            <w:tcW w:w="354"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61,780</w:t>
            </w:r>
          </w:p>
        </w:tc>
        <w:tc>
          <w:tcPr>
            <w:tcW w:w="34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87,333</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(16,832)</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(55,088)</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(82,354)</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c>
          <w:tcPr>
            <w:tcW w:w="354"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  </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(4,511)</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54"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w:t>
            </w:r>
          </w:p>
        </w:tc>
        <w:tc>
          <w:tcPr>
            <w:tcW w:w="34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19,853</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354"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4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17,418</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(5,383)</w:t>
            </w:r>
          </w:p>
        </w:tc>
        <w:tc>
          <w:tcPr>
            <w:tcW w:w="354"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w:t>
            </w:r>
          </w:p>
        </w:tc>
        <w:tc>
          <w:tcPr>
            <w:tcW w:w="34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33,705</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(48,649)</w:t>
            </w:r>
          </w:p>
        </w:tc>
      </w:tr>
      <w:tr>
        <w:trPr/>
        <w:tc>
          <w:tcPr>
            <w:tcW w:w="4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(48,649)</w:t>
            </w:r>
          </w:p>
        </w:tc>
      </w:tr>
      <w:tr>
        <w:trPr/>
        <w:tc>
          <w:tcPr>
            <w:tcW w:w="45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54"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4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450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Weighted average shares used in computing 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133,866</w:t>
            </w:r>
          </w:p>
        </w:tc>
        <w:tc>
          <w:tcPr>
            <w:tcW w:w="354"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118,571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129,173</w:t>
            </w:r>
          </w:p>
        </w:tc>
        <w:tc>
          <w:tcPr>
            <w:tcW w:w="34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95,691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0" w:name="_ee8f6785_ccdd_49d1_a82d_2bb630a81c51"/>
      <w:bookmarkEnd w:id="240"/>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41" w:name="STATEMENTS_OF_COMPREHENSIVE_LOSS"/>
      <w:bookmarkEnd w:id="241"/>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42" w:name="Tc_qi8oBl0Ht0OaeuujXIbySw_10_11"/>
      <w:bookmarkStart w:id="243" w:name="Tc_tZSZN4lrvEChDNthfkJQOQ_10_8"/>
      <w:bookmarkStart w:id="244" w:name="Tc_CaTBQyreHkiR77fY1UWPOA_10_5"/>
      <w:bookmarkStart w:id="245" w:name="Tc_dwPibEdtBESS_Wzdhe4yZA_10_2"/>
      <w:bookmarkStart w:id="246" w:name="Tc_u7VcrNf3mUOKnoNL_dTuaA_10_0"/>
      <w:bookmarkStart w:id="247" w:name="Tc_q1gPJ0PPykSv3WhT5gl2GQ_9_0"/>
      <w:bookmarkStart w:id="248" w:name="Tc_2N-2LYWNmUeUox-FzZbfAg_8_0"/>
      <w:bookmarkStart w:id="249" w:name="Tc_MA4Rv2RG-UGajR8DbAU4lg_7_0"/>
      <w:bookmarkStart w:id="250" w:name="Tc_uoQWjs32dUW0vq6AKnEKbw_6_0"/>
      <w:bookmarkStart w:id="251" w:name="Tc_4ny-SMnpZ02_rsdciVZE2Q_5_0"/>
      <w:bookmarkStart w:id="252" w:name="Tc_x0wSqzasD0ex8gMyymC9XA_4_0"/>
      <w:bookmarkStart w:id="253" w:name="Tc_j6HW7S0mw06Ag-jGOnGtzA_3_11"/>
      <w:bookmarkStart w:id="254" w:name="Tc_sXPmgqEzhkmRvefATOBODw_3_8"/>
      <w:bookmarkStart w:id="255" w:name="Tc_RxWhW43LzEKDkS0gwZkwKA_3_5"/>
      <w:bookmarkStart w:id="256" w:name="Tc_SeH6eSPK8EWQz2q3ZkrpqA_3_2"/>
      <w:bookmarkStart w:id="257" w:name="Tc_YN6s8OA9O06Ze20dZW7t1Q_3_0"/>
      <w:bookmarkStart w:id="258" w:name="Tc_Po05M8XXwE2bQHWqG-xFgg_2_11"/>
      <w:bookmarkStart w:id="259" w:name="Tc_8N8c9CXHQUGm0ldzd_v9vQ_2_8"/>
      <w:bookmarkStart w:id="260" w:name="Tc_QetVS-98XEW7_PsFhv2tDw_2_5"/>
      <w:bookmarkStart w:id="261" w:name="Tc_n2pwdkstREGu68RcfbDCnQ_2_2"/>
      <w:bookmarkStart w:id="262" w:name="Tc_fB-m5oiAeEeT4Hiav-9b5A_1_8"/>
      <w:bookmarkStart w:id="263" w:name="Tc_gTwno0aUF0y1tPKrPZSlGQ_1_2"/>
      <w:bookmarkStart w:id="264" w:name="_99dc7a5b_c2f8_4f00_98a6_3090063f1ae3"/>
      <w:bookmarkStart w:id="265" w:name="Tc_qi8oBl0Ht0OaeuujXIbySw_10_11"/>
      <w:bookmarkStart w:id="266" w:name="Tc_tZSZN4lrvEChDNthfkJQOQ_10_8"/>
      <w:bookmarkStart w:id="267" w:name="Tc_CaTBQyreHkiR77fY1UWPOA_10_5"/>
      <w:bookmarkStart w:id="268" w:name="Tc_dwPibEdtBESS_Wzdhe4yZA_10_2"/>
      <w:bookmarkStart w:id="269" w:name="Tc_u7VcrNf3mUOKnoNL_dTuaA_10_0"/>
      <w:bookmarkStart w:id="270" w:name="Tc_q1gPJ0PPykSv3WhT5gl2GQ_9_0"/>
      <w:bookmarkStart w:id="271" w:name="Tc_2N-2LYWNmUeUox-FzZbfAg_8_0"/>
      <w:bookmarkStart w:id="272" w:name="Tc_MA4Rv2RG-UGajR8DbAU4lg_7_0"/>
      <w:bookmarkStart w:id="273" w:name="Tc_uoQWjs32dUW0vq6AKnEKbw_6_0"/>
      <w:bookmarkStart w:id="274" w:name="Tc_4ny-SMnpZ02_rsdciVZE2Q_5_0"/>
      <w:bookmarkStart w:id="275" w:name="Tc_x0wSqzasD0ex8gMyymC9XA_4_0"/>
      <w:bookmarkStart w:id="276" w:name="Tc_j6HW7S0mw06Ag-jGOnGtzA_3_11"/>
      <w:bookmarkStart w:id="277" w:name="Tc_sXPmgqEzhkmRvefATOBODw_3_8"/>
      <w:bookmarkStart w:id="278" w:name="Tc_RxWhW43LzEKDkS0gwZkwKA_3_5"/>
      <w:bookmarkStart w:id="279" w:name="Tc_SeH6eSPK8EWQz2q3ZkrpqA_3_2"/>
      <w:bookmarkStart w:id="280" w:name="Tc_YN6s8OA9O06Ze20dZW7t1Q_3_0"/>
      <w:bookmarkStart w:id="281" w:name="Tc_Po05M8XXwE2bQHWqG-xFgg_2_11"/>
      <w:bookmarkStart w:id="282" w:name="Tc_8N8c9CXHQUGm0ldzd_v9vQ_2_8"/>
      <w:bookmarkStart w:id="283" w:name="Tc_QetVS-98XEW7_PsFhv2tDw_2_5"/>
      <w:bookmarkStart w:id="284" w:name="Tc_n2pwdkstREGu68RcfbDCnQ_2_2"/>
      <w:bookmarkStart w:id="285" w:name="Tc_fB-m5oiAeEeT4Hiav-9b5A_1_8"/>
      <w:bookmarkStart w:id="286" w:name="Tc_gTwno0aUF0y1tPKrPZSlGQ_1_2"/>
      <w:bookmarkStart w:id="287" w:name="_99dc7a5b_c2f8_4f00_98a6_3090063f1ae3"/>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tbl>
      <w:tblPr>
        <w:tblW w:w="10205" w:type="dxa"/>
        <w:jc w:val="left"/>
        <w:tblInd w:w="0" w:type="dxa"/>
        <w:tblLayout w:type="fixed"/>
        <w:tblCellMar>
          <w:top w:w="0" w:type="dxa"/>
          <w:left w:w="0" w:type="dxa"/>
          <w:bottom w:w="0" w:type="dxa"/>
          <w:right w:w="0" w:type="dxa"/>
        </w:tblCellMar>
      </w:tblPr>
      <w:tblGrid>
        <w:gridCol w:w="4076"/>
        <w:gridCol w:w="326"/>
        <w:gridCol w:w="236"/>
        <w:gridCol w:w="874"/>
        <w:gridCol w:w="364"/>
        <w:gridCol w:w="236"/>
        <w:gridCol w:w="874"/>
        <w:gridCol w:w="326"/>
        <w:gridCol w:w="230"/>
        <w:gridCol w:w="852"/>
        <w:gridCol w:w="355"/>
        <w:gridCol w:w="230"/>
        <w:gridCol w:w="852"/>
        <w:gridCol w:w="374"/>
      </w:tblGrid>
      <w:tr>
        <w:trPr/>
        <w:tc>
          <w:tcPr>
            <w:tcW w:w="4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588260" cy="175260"/>
                      <wp:effectExtent l="0" t="0" r="0" b="0"/>
                      <wp:wrapNone/>
                      <wp:docPr id="27" name="Frame27"/>
                      <a:graphic xmlns:a="http://schemas.openxmlformats.org/drawingml/2006/main">
                        <a:graphicData uri="http://schemas.microsoft.com/office/word/2010/wordprocessingShape">
                          <wps:wsp>
                            <wps:cNvSpPr txBox="1"/>
                            <wps:spPr>
                              <a:xfrm>
                                <a:off x="0" y="0"/>
                                <a:ext cx="258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9860" cy="175260"/>
                      <wp:effectExtent l="0" t="0" r="0" b="0"/>
                      <wp:wrapNone/>
                      <wp:docPr id="29" name="Frame2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54990" cy="175260"/>
                      <wp:effectExtent l="0" t="0" r="0" b="0"/>
                      <wp:wrapNone/>
                      <wp:docPr id="30" name="Frame30"/>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1140" cy="175260"/>
                      <wp:effectExtent l="0" t="0" r="0" b="0"/>
                      <wp:wrapNone/>
                      <wp:docPr id="31" name="Frame3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9860" cy="175260"/>
                      <wp:effectExtent l="0" t="0" r="0" b="0"/>
                      <wp:wrapNone/>
                      <wp:docPr id="32" name="Frame3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54990" cy="175260"/>
                      <wp:effectExtent l="0" t="0" r="0" b="0"/>
                      <wp:wrapNone/>
                      <wp:docPr id="33" name="Frame33"/>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6050" cy="175260"/>
                      <wp:effectExtent l="0" t="0" r="0" b="0"/>
                      <wp:wrapNone/>
                      <wp:docPr id="35" name="Frame3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41020" cy="175260"/>
                      <wp:effectExtent l="0" t="0" r="0" b="0"/>
                      <wp:wrapNone/>
                      <wp:docPr id="36" name="Frame3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5425" cy="175260"/>
                      <wp:effectExtent l="0" t="0" r="0" b="0"/>
                      <wp:wrapNone/>
                      <wp:docPr id="37" name="Frame37"/>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6050" cy="175260"/>
                      <wp:effectExtent l="0" t="0" r="0" b="0"/>
                      <wp:wrapNone/>
                      <wp:docPr id="38" name="Frame3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41020" cy="175260"/>
                      <wp:effectExtent l="0" t="0" r="0" b="0"/>
                      <wp:wrapNone/>
                      <wp:docPr id="39" name="Frame39"/>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37490" cy="175260"/>
                      <wp:effectExtent l="0" t="0" r="0" b="0"/>
                      <wp:wrapNone/>
                      <wp:docPr id="40" name="Frame4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5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74" w:type="dxa"/>
            <w:tcBorders/>
            <w:vAlign w:val="center"/>
          </w:tcPr>
          <w:p>
            <w:pPr>
              <w:pStyle w:val="TableContents"/>
              <w:bidi w:val="0"/>
              <w:spacing w:before="0" w:after="0"/>
              <w:ind w:left="0" w:right="0" w:hanging="0"/>
              <w:jc w:val="left"/>
              <w:rPr/>
            </w:pPr>
            <w:r>
              <w:rPr/>
              <w:t> </w:t>
            </w:r>
          </w:p>
        </w:tc>
      </w:tr>
      <w:tr>
        <w:trPr/>
        <w:tc>
          <w:tcPr>
            <w:tcW w:w="4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4"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5"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4" w:type="dxa"/>
            <w:tcBorders/>
            <w:vAlign w:val="center"/>
          </w:tcPr>
          <w:p>
            <w:pPr>
              <w:pStyle w:val="TableContents"/>
              <w:bidi w:val="0"/>
              <w:spacing w:before="0" w:after="0"/>
              <w:ind w:left="0" w:right="0" w:hanging="0"/>
              <w:jc w:val="left"/>
              <w:rPr/>
            </w:pPr>
            <w:r>
              <w:rPr/>
              <w:t>    </w:t>
            </w:r>
          </w:p>
        </w:tc>
      </w:tr>
      <w:tr>
        <w:trPr/>
        <w:tc>
          <w:tcPr>
            <w:tcW w:w="4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64"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(48,649)</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  </w:t>
            </w:r>
          </w:p>
        </w:tc>
        <w:tc>
          <w:tcPr>
            <w:tcW w:w="364"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  </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4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4"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4"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74" w:type="dxa"/>
            <w:tcBorders/>
            <w:vAlign w:val="center"/>
          </w:tcPr>
          <w:p>
            <w:pPr>
              <w:pStyle w:val="TableContents"/>
              <w:bidi w:val="0"/>
              <w:spacing w:before="0" w:after="0"/>
              <w:ind w:left="0" w:right="0" w:hanging="0"/>
              <w:jc w:val="left"/>
              <w:rPr/>
            </w:pPr>
            <w:r>
              <w:rPr/>
              <w:t>​</w:t>
            </w:r>
          </w:p>
        </w:tc>
      </w:tr>
      <w:tr>
        <w:trPr/>
        <w:tc>
          <w:tcPr>
            <w:tcW w:w="4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4"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4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after income taxes </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4"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(22,142)</w:t>
            </w:r>
          </w:p>
        </w:tc>
        <w:tc>
          <w:tcPr>
            <w:tcW w:w="364"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(19,381)</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(62,300)</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(49,228)</w:t>
            </w:r>
          </w:p>
        </w:tc>
        <w:tc>
          <w:tcPr>
            <w:tcW w:w="3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8" w:name="_39555855_61a0_4583_bc2d_4116c19066d6"/>
      <w:bookmarkStart w:id="289" w:name="_Hlk149637282"/>
      <w:bookmarkEnd w:id="288"/>
      <w:bookmarkEnd w:id="289"/>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90" w:name="STATEMENTS_OF_CASH_FLOWS"/>
      <w:bookmarkEnd w:id="290"/>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1" w:name="Tc_o7yb6WV8_EK5CGvBXGC_Rg_53_0"/>
      <w:bookmarkStart w:id="292" w:name="Tc_5uM0DKZvj0-kdkz2vqlENg_52_6"/>
      <w:bookmarkStart w:id="293" w:name="Tc_OXke0nVSlkueEqhMYsK9UQ_52_0"/>
      <w:bookmarkStart w:id="294" w:name="Tc_ioSjb4wVhkaz1RY2wcGBjw_51_0"/>
      <w:bookmarkStart w:id="295" w:name="Tc_e7IkP6wXfUeOm7qcQFDjUw_50_0"/>
      <w:bookmarkStart w:id="296" w:name="Tc_oNi5i1AAZkO2utlFdZpegw_49_0"/>
      <w:bookmarkStart w:id="297" w:name="Tc_JNppqsTrT0mJ-J0e1nsoWQ_48_0"/>
      <w:bookmarkStart w:id="298" w:name="Tc_deAA2iBd-U-P-0iolEZnIA_47_0"/>
      <w:bookmarkStart w:id="299" w:name="Tc_f6XZV0KI60adai-JmUjoRg_46_0"/>
      <w:bookmarkStart w:id="300" w:name="Tc_uddxUx13rUuJBBdonZBmSQ_45_0"/>
      <w:bookmarkStart w:id="301" w:name="Tc_0NhSIVbi0UC-seFgQ2mN9w_44_5"/>
      <w:bookmarkStart w:id="302" w:name="Tc_P5v4THWw1keOq_jXzMJc1g_44_2"/>
      <w:bookmarkStart w:id="303" w:name="Tc_RjtGLeohbUCD1OLnnM3JGw_44_0"/>
      <w:bookmarkStart w:id="304" w:name="Tc_fhz2L7TYlkeGLwMhXoulfw_43_0"/>
      <w:bookmarkStart w:id="305" w:name="Tc_5pxhxgi7l06AoLkFn8--7g_42_5"/>
      <w:bookmarkStart w:id="306" w:name="Tc_LfkDIjRaKESXSF3UxVhL2Q_42_2"/>
      <w:bookmarkStart w:id="307" w:name="Tc_GSwZ-f9tmUOzC5ELE_If3w_42_0"/>
      <w:bookmarkStart w:id="308" w:name="Tc_veAwoj1buEmB3r91kz5VJQ_41_0"/>
      <w:bookmarkStart w:id="309" w:name="Tc_NseMwoaqMkuCDZnpYh0OOA_40_0"/>
      <w:bookmarkStart w:id="310" w:name="Tc_dcw_yKeQlk6ZLLpwqZ7d_w_39_0"/>
      <w:bookmarkStart w:id="311" w:name="Tc_OHmZ_7_P3EeNm8EqwMTz7w_38_5"/>
      <w:bookmarkStart w:id="312" w:name="Tc_zZPQTk3XfEKqJhlVTAx-OQ_38_2"/>
      <w:bookmarkStart w:id="313" w:name="Tc_X01soSeVgEuLmVqCX12V-Q_38_0"/>
      <w:bookmarkStart w:id="314" w:name="Tc_FXwWBS3710i8uL472NDZow_37_0"/>
      <w:bookmarkStart w:id="315" w:name="Tc_dG3BNaAyj0aDcgciOBhakg_36_0"/>
      <w:bookmarkStart w:id="316" w:name="Tc_NKdawJ5UCUWk8Se1FrerFQ_35_0"/>
      <w:bookmarkStart w:id="317" w:name="Tc_cWmvOXIaTk2fYbNvh_S9ww_34_0"/>
      <w:bookmarkStart w:id="318" w:name="Tc_g6XhLEA0hUqPTpfx8PuweQ_33_0"/>
      <w:bookmarkStart w:id="319" w:name="Tc_oSQm5VLte0iVHcdEfOBzZA_32_0"/>
      <w:bookmarkStart w:id="320" w:name="Tc_PGUScUzxhUGcxcLf2WnCMg_31_0"/>
      <w:bookmarkStart w:id="321" w:name="Tc_u8Km7NVZiE-84D2YDMXkHw_30_0"/>
      <w:bookmarkStart w:id="322" w:name="Tc_luzPKUS1hUisrV4ilkxaNQ_29_0"/>
      <w:bookmarkStart w:id="323" w:name="Tc__xeNq7mzO0GZYyOzpIfkqA_28_0"/>
      <w:bookmarkStart w:id="324" w:name="Tc_G7Lw4H0dR0OB6YgHGvMDnQ_27_5"/>
      <w:bookmarkStart w:id="325" w:name="Tc_r0KeN1N6fEa52i2sTLgKig_27_2"/>
      <w:bookmarkStart w:id="326" w:name="Tc_7kM9gED7xke-Fu_nhbL4tg_27_0"/>
      <w:bookmarkStart w:id="327" w:name="Tc_r858wV5sIkS5UPGVHEHzYw_26_0"/>
      <w:bookmarkStart w:id="328" w:name="Tc_Yxqa3_iAfkO9XmKHOMJ7Yw_25_0"/>
      <w:bookmarkStart w:id="329" w:name="Tc_yG-8sXpq9U2-qomYu2EPPA_24_0"/>
      <w:bookmarkStart w:id="330" w:name="Tc_V2CnP-nqj0COw8JF54Fk5Q_23_0"/>
      <w:bookmarkStart w:id="331" w:name="Tc_ZFikY-sNhUGv44vBxHZtlQ_22_5"/>
      <w:bookmarkStart w:id="332" w:name="Tc_jcQcjK6_ekKOEXA4Iuk8RA_22_2"/>
      <w:bookmarkStart w:id="333" w:name="Tc_PgQUuvgh8EWJUvqAcfBFmg_22_0"/>
      <w:bookmarkStart w:id="334" w:name="Tc_WUlu_Pj3gUSWyn7_RlGzbQ_21_0"/>
      <w:bookmarkStart w:id="335" w:name="Tc_fBEGvQUwAkSewofS6WlaLA_20_0"/>
      <w:bookmarkStart w:id="336" w:name="Tc_IBU7ItgVv0yKzxMs_2Zw_g_19_0"/>
      <w:bookmarkStart w:id="337" w:name="Tc_H8wxlXiTtUKXqkcZ32zy3w_18_0"/>
      <w:bookmarkStart w:id="338" w:name="Tc_KnoTrx9tEkiSUVV1JVA7VQ_17_0"/>
      <w:bookmarkStart w:id="339" w:name="Tc_VmkC9TrFoU-hwjZY6KBvBA_16_0"/>
      <w:bookmarkStart w:id="340" w:name="Tc_X8zzmjN4C0abWekqtaWS3A_15_0"/>
      <w:bookmarkStart w:id="341" w:name="Tc_ag-zoiEaTkelT1HWHtSEXA_14_0"/>
      <w:bookmarkStart w:id="342" w:name="Tc_taoq8ornZEO8ItUA77MjqQ_13_0"/>
      <w:bookmarkStart w:id="343" w:name="Tc_DORExLHZNE-KisNidLVnhQ_12_0"/>
      <w:bookmarkStart w:id="344" w:name="Tc_4eOGls_vskWaaWKIG_dPJQ_11_0"/>
      <w:bookmarkStart w:id="345" w:name="Tc_aP8VvTKPgk-3MXLIQwu_kw_10_0"/>
      <w:bookmarkStart w:id="346" w:name="Tc_eZpalnx4Jk6tIXP06dynFw_9_0"/>
      <w:bookmarkStart w:id="347" w:name="Tc_lrCNsUHfw023Ke_sr-EhRQ_8_0"/>
      <w:bookmarkStart w:id="348" w:name="Tc_XAjNqBFoREGjCwh2k4GRpg_7_0"/>
      <w:bookmarkStart w:id="349" w:name="Tc_iOsHJTlAOkKCs3_OgEscvQ_6_0"/>
      <w:bookmarkStart w:id="350" w:name="Tc_WjINsLmbpUGhrlIiWDeIHQ_5_0"/>
      <w:bookmarkStart w:id="351" w:name="Tc_m-JZ1Z1LDUCk_VRnwQL94g_4_5"/>
      <w:bookmarkStart w:id="352" w:name="Tc_T7O7aqjzTUWwHl8K-nZNEw_4_2"/>
      <w:bookmarkStart w:id="353" w:name="Tc_A2IEc77GEEi98p42xCjTww_4_0"/>
      <w:bookmarkStart w:id="354" w:name="Tc_F1acNtNmNkmD-hRkAm9SHQ_3_0"/>
      <w:bookmarkStart w:id="355" w:name="Tc_omtsefwjKkitcEKkqIomUQ_2_5"/>
      <w:bookmarkStart w:id="356" w:name="Tc_jVDHlTcCzkiehk8wrbT4IQ_2_2"/>
      <w:bookmarkStart w:id="357" w:name="Tc_ZyrX04pKz0a6GgH0T6bOPA_1_2"/>
      <w:bookmarkStart w:id="358" w:name="_89fc5de3_f81b_4da5_95e4_97e486411872"/>
      <w:bookmarkStart w:id="359" w:name="Tc_o7yb6WV8_EK5CGvBXGC_Rg_53_0"/>
      <w:bookmarkStart w:id="360" w:name="Tc_5uM0DKZvj0-kdkz2vqlENg_52_6"/>
      <w:bookmarkStart w:id="361" w:name="Tc_OXke0nVSlkueEqhMYsK9UQ_52_0"/>
      <w:bookmarkStart w:id="362" w:name="Tc_ioSjb4wVhkaz1RY2wcGBjw_51_0"/>
      <w:bookmarkStart w:id="363" w:name="Tc_e7IkP6wXfUeOm7qcQFDjUw_50_0"/>
      <w:bookmarkStart w:id="364" w:name="Tc_oNi5i1AAZkO2utlFdZpegw_49_0"/>
      <w:bookmarkStart w:id="365" w:name="Tc_JNppqsTrT0mJ-J0e1nsoWQ_48_0"/>
      <w:bookmarkStart w:id="366" w:name="Tc_deAA2iBd-U-P-0iolEZnIA_47_0"/>
      <w:bookmarkStart w:id="367" w:name="Tc_f6XZV0KI60adai-JmUjoRg_46_0"/>
      <w:bookmarkStart w:id="368" w:name="Tc_uddxUx13rUuJBBdonZBmSQ_45_0"/>
      <w:bookmarkStart w:id="369" w:name="Tc_0NhSIVbi0UC-seFgQ2mN9w_44_5"/>
      <w:bookmarkStart w:id="370" w:name="Tc_P5v4THWw1keOq_jXzMJc1g_44_2"/>
      <w:bookmarkStart w:id="371" w:name="Tc_RjtGLeohbUCD1OLnnM3JGw_44_0"/>
      <w:bookmarkStart w:id="372" w:name="Tc_fhz2L7TYlkeGLwMhXoulfw_43_0"/>
      <w:bookmarkStart w:id="373" w:name="Tc_5pxhxgi7l06AoLkFn8--7g_42_5"/>
      <w:bookmarkStart w:id="374" w:name="Tc_LfkDIjRaKESXSF3UxVhL2Q_42_2"/>
      <w:bookmarkStart w:id="375" w:name="Tc_GSwZ-f9tmUOzC5ELE_If3w_42_0"/>
      <w:bookmarkStart w:id="376" w:name="Tc_veAwoj1buEmB3r91kz5VJQ_41_0"/>
      <w:bookmarkStart w:id="377" w:name="Tc_NseMwoaqMkuCDZnpYh0OOA_40_0"/>
      <w:bookmarkStart w:id="378" w:name="Tc_dcw_yKeQlk6ZLLpwqZ7d_w_39_0"/>
      <w:bookmarkStart w:id="379" w:name="Tc_OHmZ_7_P3EeNm8EqwMTz7w_38_5"/>
      <w:bookmarkStart w:id="380" w:name="Tc_zZPQTk3XfEKqJhlVTAx-OQ_38_2"/>
      <w:bookmarkStart w:id="381" w:name="Tc_X01soSeVgEuLmVqCX12V-Q_38_0"/>
      <w:bookmarkStart w:id="382" w:name="Tc_FXwWBS3710i8uL472NDZow_37_0"/>
      <w:bookmarkStart w:id="383" w:name="Tc_dG3BNaAyj0aDcgciOBhakg_36_0"/>
      <w:bookmarkStart w:id="384" w:name="Tc_NKdawJ5UCUWk8Se1FrerFQ_35_0"/>
      <w:bookmarkStart w:id="385" w:name="Tc_cWmvOXIaTk2fYbNvh_S9ww_34_0"/>
      <w:bookmarkStart w:id="386" w:name="Tc_g6XhLEA0hUqPTpfx8PuweQ_33_0"/>
      <w:bookmarkStart w:id="387" w:name="Tc_oSQm5VLte0iVHcdEfOBzZA_32_0"/>
      <w:bookmarkStart w:id="388" w:name="Tc_PGUScUzxhUGcxcLf2WnCMg_31_0"/>
      <w:bookmarkStart w:id="389" w:name="Tc_u8Km7NVZiE-84D2YDMXkHw_30_0"/>
      <w:bookmarkStart w:id="390" w:name="Tc_luzPKUS1hUisrV4ilkxaNQ_29_0"/>
      <w:bookmarkStart w:id="391" w:name="Tc__xeNq7mzO0GZYyOzpIfkqA_28_0"/>
      <w:bookmarkStart w:id="392" w:name="Tc_G7Lw4H0dR0OB6YgHGvMDnQ_27_5"/>
      <w:bookmarkStart w:id="393" w:name="Tc_r0KeN1N6fEa52i2sTLgKig_27_2"/>
      <w:bookmarkStart w:id="394" w:name="Tc_7kM9gED7xke-Fu_nhbL4tg_27_0"/>
      <w:bookmarkStart w:id="395" w:name="Tc_r858wV5sIkS5UPGVHEHzYw_26_0"/>
      <w:bookmarkStart w:id="396" w:name="Tc_Yxqa3_iAfkO9XmKHOMJ7Yw_25_0"/>
      <w:bookmarkStart w:id="397" w:name="Tc_yG-8sXpq9U2-qomYu2EPPA_24_0"/>
      <w:bookmarkStart w:id="398" w:name="Tc_V2CnP-nqj0COw8JF54Fk5Q_23_0"/>
      <w:bookmarkStart w:id="399" w:name="Tc_ZFikY-sNhUGv44vBxHZtlQ_22_5"/>
      <w:bookmarkStart w:id="400" w:name="Tc_jcQcjK6_ekKOEXA4Iuk8RA_22_2"/>
      <w:bookmarkStart w:id="401" w:name="Tc_PgQUuvgh8EWJUvqAcfBFmg_22_0"/>
      <w:bookmarkStart w:id="402" w:name="Tc_WUlu_Pj3gUSWyn7_RlGzbQ_21_0"/>
      <w:bookmarkStart w:id="403" w:name="Tc_fBEGvQUwAkSewofS6WlaLA_20_0"/>
      <w:bookmarkStart w:id="404" w:name="Tc_IBU7ItgVv0yKzxMs_2Zw_g_19_0"/>
      <w:bookmarkStart w:id="405" w:name="Tc_H8wxlXiTtUKXqkcZ32zy3w_18_0"/>
      <w:bookmarkStart w:id="406" w:name="Tc_KnoTrx9tEkiSUVV1JVA7VQ_17_0"/>
      <w:bookmarkStart w:id="407" w:name="Tc_VmkC9TrFoU-hwjZY6KBvBA_16_0"/>
      <w:bookmarkStart w:id="408" w:name="Tc_X8zzmjN4C0abWekqtaWS3A_15_0"/>
      <w:bookmarkStart w:id="409" w:name="Tc_ag-zoiEaTkelT1HWHtSEXA_14_0"/>
      <w:bookmarkStart w:id="410" w:name="Tc_taoq8ornZEO8ItUA77MjqQ_13_0"/>
      <w:bookmarkStart w:id="411" w:name="Tc_DORExLHZNE-KisNidLVnhQ_12_0"/>
      <w:bookmarkStart w:id="412" w:name="Tc_4eOGls_vskWaaWKIG_dPJQ_11_0"/>
      <w:bookmarkStart w:id="413" w:name="Tc_aP8VvTKPgk-3MXLIQwu_kw_10_0"/>
      <w:bookmarkStart w:id="414" w:name="Tc_eZpalnx4Jk6tIXP06dynFw_9_0"/>
      <w:bookmarkStart w:id="415" w:name="Tc_lrCNsUHfw023Ke_sr-EhRQ_8_0"/>
      <w:bookmarkStart w:id="416" w:name="Tc_XAjNqBFoREGjCwh2k4GRpg_7_0"/>
      <w:bookmarkStart w:id="417" w:name="Tc_iOsHJTlAOkKCs3_OgEscvQ_6_0"/>
      <w:bookmarkStart w:id="418" w:name="Tc_WjINsLmbpUGhrlIiWDeIHQ_5_0"/>
      <w:bookmarkStart w:id="419" w:name="Tc_m-JZ1Z1LDUCk_VRnwQL94g_4_5"/>
      <w:bookmarkStart w:id="420" w:name="Tc_T7O7aqjzTUWwHl8K-nZNEw_4_2"/>
      <w:bookmarkStart w:id="421" w:name="Tc_A2IEc77GEEi98p42xCjTww_4_0"/>
      <w:bookmarkStart w:id="422" w:name="Tc_F1acNtNmNkmD-hRkAm9SHQ_3_0"/>
      <w:bookmarkStart w:id="423" w:name="Tc_omtsefwjKkitcEKkqIomUQ_2_5"/>
      <w:bookmarkStart w:id="424" w:name="Tc_jVDHlTcCzkiehk8wrbT4IQ_2_2"/>
      <w:bookmarkStart w:id="425" w:name="Tc_ZyrX04pKz0a6GgH0T6bOPA_1_2"/>
      <w:bookmarkStart w:id="426" w:name="_89fc5de3_f81b_4da5_95e4_97e486411872"/>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tbl>
      <w:tblPr>
        <w:tblW w:w="10020" w:type="dxa"/>
        <w:jc w:val="left"/>
        <w:tblInd w:w="0" w:type="dxa"/>
        <w:tblLayout w:type="fixed"/>
        <w:tblCellMar>
          <w:top w:w="0" w:type="dxa"/>
          <w:left w:w="0" w:type="dxa"/>
          <w:bottom w:w="0" w:type="dxa"/>
          <w:right w:w="0" w:type="dxa"/>
        </w:tblCellMar>
      </w:tblPr>
      <w:tblGrid>
        <w:gridCol w:w="6901"/>
        <w:gridCol w:w="326"/>
        <w:gridCol w:w="230"/>
        <w:gridCol w:w="846"/>
        <w:gridCol w:w="382"/>
        <w:gridCol w:w="230"/>
        <w:gridCol w:w="951"/>
        <w:gridCol w:w="154"/>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2135" cy="175260"/>
                      <wp:effectExtent l="0" t="0" r="0" b="0"/>
                      <wp:wrapNone/>
                      <wp:docPr id="41" name="Frame41"/>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6050" cy="175260"/>
                      <wp:effectExtent l="0" t="0" r="0" b="0"/>
                      <wp:wrapNone/>
                      <wp:docPr id="43" name="Frame4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37210" cy="175260"/>
                      <wp:effectExtent l="0" t="0" r="0" b="0"/>
                      <wp:wrapNone/>
                      <wp:docPr id="44" name="Frame4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42570" cy="175260"/>
                      <wp:effectExtent l="0" t="0" r="0" b="0"/>
                      <wp:wrapNone/>
                      <wp:docPr id="45" name="Frame45"/>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03885" cy="175260"/>
                      <wp:effectExtent l="0" t="0" r="0" b="0"/>
                      <wp:wrapNone/>
                      <wp:docPr id="47" name="Frame47"/>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7790" cy="175260"/>
                      <wp:effectExtent l="0" t="0" r="0" b="0"/>
                      <wp:wrapNone/>
                      <wp:docPr id="48" name="Frame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2" w:type="dxa"/>
            <w:tcBorders/>
            <w:vAlign w:val="center"/>
          </w:tcPr>
          <w:p>
            <w:pPr>
              <w:pStyle w:val="TableContents"/>
              <w:bidi w:val="0"/>
              <w:spacing w:before="0" w:after="0"/>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  </w:t>
            </w:r>
          </w:p>
        </w:tc>
        <w:tc>
          <w:tcPr>
            <w:tcW w:w="38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5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(62,535)</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(48,649)</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  </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6,381</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4,801</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8,727</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37,643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2,362</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(17,418)</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4,320</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(19,853)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 in fair value of forward contract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2,229</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(5,465)</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Impairment of deferred offering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836</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Accretion of available-for-sale securities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(2,310)</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(356)</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Amortization of debt issuance costs, commitment fees and accretion of debt end-of-term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1,100</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lease expense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1,288</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3,239</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(753)</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other current assets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(1,027)</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revenue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(489)</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(174)</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(212)</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(2,067)</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3,469</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(38,158)</w:t>
            </w:r>
          </w:p>
        </w:tc>
        <w:tc>
          <w:tcPr>
            <w:tcW w:w="382"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(48,482)</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  </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(7,511)</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(19,294)</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(79,047)</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(87,186)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Maturities of available-for-sale securities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98,082</w:t>
            </w:r>
          </w:p>
        </w:tc>
        <w:tc>
          <w:tcPr>
            <w:tcW w:w="382"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11,524</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(106,480)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  </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Business Combination, net of transaction costs paid</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225,604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Transaction costs paid directly by Rigetti</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(18,420)</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issuance of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 on principal of notes payable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(5,405)</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 on loan and security agreement exit fees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deferred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 of common stock through Common Stock Purchase Agreement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15,051</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issuance of common stock upon exercise of stock options and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1,002</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5,990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Net cash provided by financing activities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10,541</w:t>
            </w:r>
          </w:p>
        </w:tc>
        <w:tc>
          <w:tcPr>
            <w:tcW w:w="382"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217,089</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Effects of exchange rate changes on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Net (decrease) increase in cash and cash equivalents </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(16,131)</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61,908</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Cash and cash equivalents – beginning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57,888</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12,046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Cash and cash equivalents – end of period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41,757</w:t>
            </w:r>
          </w:p>
        </w:tc>
        <w:tc>
          <w:tcPr>
            <w:tcW w:w="382"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73,954</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Supplemental disclosures of other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  </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paid for interest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3,299</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2,739</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Initial fair value of earn-out liability acquired in merger</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20,413</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Initial fair value of private placement and public warrant liability acquired in merger</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22,932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Reclassification of loan and security agreement warrants to equity</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6,370</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Settlement of the first tranche of forward contract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Capitalization of deferred costs to equity upon share issuance</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1,098</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 recorded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394</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 recorded in accrued expenses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605</w:t>
            </w:r>
          </w:p>
        </w:tc>
        <w:tc>
          <w:tcPr>
            <w:tcW w:w="3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Unrealized gain (loss) Short 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273</w:t>
            </w:r>
          </w:p>
        </w:tc>
        <w:tc>
          <w:tcPr>
            <w:tcW w:w="3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7" w:name="_52800d8c_530c_48bc_9dcb_b7f479148d90"/>
      <w:bookmarkEnd w:id="427"/>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428" w:name="NOTESTOTHEUNAUDITEDINTERIMCONDENSEDCONSO"/>
      <w:bookmarkEnd w:id="428"/>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pPr>
      <w:r>
        <w:rPr/>
        <w:t>​</w:t>
      </w:r>
    </w:p>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1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Description of Business </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Rigetti Computing, Inc. and its subsidiaries (collectively, the “Company” or “Rigetti”) builds quantum computers and the superconducting quantum processors that power them. Through the Company’s Quantum Computing as a Service (“QCaaS”) platform, the Company’s machines can be integrated into any public, private or hybrid cloud. The Company offers product types of Platform, Research and Software Tools usage in application areas of benchmarking, chemical simulation, education/entertainment, machine learning, and optimization.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firstLine="54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Public Warrants trade on the Nasdaq Capital Market under the ticker symbols “RGTI” and “RGTIW,” respectively. For more information on this transaction, see Note 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determination was primarily based on the following facts: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Legacy Rigetti stockholders have a controlling voting interest in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as of immediately after the closing was comprised of eight board members, six seats occupied by previous Legacy Rigetti board members and one seat being occupied by a previous SNII representative. The final eighth seat was filled by an individual who did not have ties to either Legacy Rigetti or SNII pre-Business Combination;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Rigetti management held executive management roles for the post-combination company and was responsible for day-to-day operations.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related to the cash amounts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as a result of the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the financial statements included in this report reflect (i) the historical operating results of Legacy Rigetti prior to the Business Combination; (ii) the combined results of SNII and Legacy Rigetti following the closing of the Business Combination; (iii) the assets and liabilities of Legacy Rigetti at their historical cost; and (iv) the Company’s equity structure for all periods presented.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equity structure has been retroactively restated in all comparative periods up to the Closing Date, to reflect the number of shares of the Company’s Common Stock, $0.0001 par value per share,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applicable rules and regulations of the Securities and Exchange Commission (the “SEC”) regarding interim financial reporting. Accordingly, they do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items) considered necessary under GAAP for a fair statement of results for the interim periods presented have been included. As a result of displaying amounts in thousands, rounding differences may exist in the condensed consolidated financial statements and footnote tables. The results of operations for the three and nine months ended September 30, 2023 are not necessarily indicative of the results to be expected for the year ending December 31, 2023 or for other interim periods or future years.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condensed consolidated balance sheet as of December 31, 2022,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2022, which was filed within the SEC on March 27,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conformity with GAAP and include our accounts and the accounts of our wholly-owned subsidiaries. All intercompany transactions have been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were no significant changes to our significant accounting policies disclosed in “Note 2 – Summary of Significant Accounting Policies” of the Company’s Annual Report on Form 10-K for the year ended December 31, 2022, which was filed with the SEC on March 27,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in accordance with GAAP requires management to make estimates and assumptions that affect reported amounts and disclosures. These estimates and assumptions affect the reported amounts of assets and liabilities and disclosure of contingent assets and liabilities at the date of condensed consolidated financial statements, as well as reported amounts of revenues and expenses during the reporting period. Such management estimates include, but are not limited to, the fair value of share-based awards, fair value of level 2 investments, fair value of the Forward Warrant Agreement (as defined below), the fair value of derivative warrant liabilities, the fair value of earnouts issued in connection with the Business Combination (See Note 3), accrued liabilities and contingencies, depreciation and amortization periods, revenue recognition and accounting for income taxes. Actual results could differ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unaudited condensed consolidated financial statements; therefore, actual results could differ from those estimates.</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available-for-sale investments should be sufficient to meet its anticipated operating cash needs for at least the next 12 months from the issuance of these financial statements based on the Company’s current business plan and expectations and assumptions considering current macroeconomic conditions.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Macroeconomic Conditions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Economic conditions in some parts of the world have been worsening, with disruptions to, and volatility and uncertainty in, the credit and financial markets in the U.S. and worldwide resulting from the effects of inflation and interest rates. 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regional conflict. It is not possible at this time to estimate the long-term impact that these and related events could have on our business, as the impact will depend on future developments, which are highly uncertain and cannot be predicted. If these conditions persist and deepen, the Company could experience an inability to access additional capital, or its liquidity could otherwise be impacted. If the Company is unable to raise capital when needed and on attractive terms, it would be forced to delay, reduce or eliminate its research and development programs and other efforts.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Prior Period Reclassifications</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and marketing expenses became less significant following the reduction in workforce and strategic realignment the Company announced in February 2023. For this reason, sales and marketing and general administrative expenses have been combined and are now reported as selling, general and administrative beginning in the period ended June 30, 2023. Related amounts for all prior periods have been reclassified to conform with this presentation. These reclassifications did not result in a restatement of prior period condensed consolidated financial statements.</w:t>
      </w:r>
    </w:p>
    <w:p>
      <w:pPr>
        <w:pStyle w:val="TextBody"/>
        <w:bidi w:val="0"/>
        <w:spacing w:before="0" w:after="0"/>
        <w:ind w:left="0" w:right="0" w:hanging="0"/>
        <w:jc w:val="left"/>
        <w:rPr/>
      </w:pPr>
      <w:r>
        <w:rPr/>
        <w:t>​</w:t>
      </w:r>
    </w:p>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2016, the FASB issued Accounting Standards Update (“ASU”) 2016-02, Leases and related subsequently issued ASUs (collectively, “Topic 842”), which supersedes Topic 840. From a lessee perspective, the core principle of Topic 842 is that a lessee should recognize the assets and liabilities that arise from leases. A lessee should recognize in the statement of financial position a liability to make lease payments (the lease liability) and a right-of-use (“ROU”) asset representing its right to use the underlying asset for the lease term. The Company adopted Topic 842 on December 31, 2022, effective as of January 1, 2022, using the modified retrospective transition option of applying the new standard at the adoption date for all leases with an original term greater than 12 months. Adoption of the standard resulted in the recognition of operating lease ROU assets and operating lease liabilities of $6.3 million and $6.6 million, respectively, and a $0.3 million adjustment to deferred rent, with no impact to accumulated deficit as of January 1, 2022. Adoption of the standard did not have an impact on the Company’s consolidated statement of operations or cash flows. The Company’s condensed consolidated financial statements for the three and nine months ended September 30, 2022 continue to be presented in accordance with the presentation requirements of Topic 840.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April 2019, the FASB issued ASU 2019-04, Codification Improvements to Topic 326, Financial Instruments—Credit Losses, Topic 815, Derivatives and Hedging, and Topic 825, Financial Instruments. ASU No. 2019-04 was issued as part of the FASB’s ongoing project to improve upon its Accounting Standards Codification (ASC), and to clarify and improve areas of guidance related to recently issued standards on credit losses, hedging, and recognition and measurement. For entities that have not yet adopted the guidance in Update 2016-13, the effective dates and the transition requirements for these amendments are the same as the effective date and transition requirements in Update 2016-13.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amendments related to ASC 326 were effective for the Company as of January 1, 2023. The adoption of the ASU did not have a material impact on the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June 2022, the FASB issued ASU 2022-03, 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after December 15, 2024, and interim periods within those fiscal years, with early adoption permitted. The Company is still evaluating the impact of this pronouncement on the consolidated financial statements.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August 2020, the FASB issued ASU No. 2020-06, Debt—(Topic 815) (“ASU No. 2020-06”), which simplifies an issuer’s accounting for convertible instruments and its application of the derivatives scope exception for contracts in its own equity. The amendments in ASU No. 2020-06 are effective for public companies, other than smaller reporting companies,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Company is still evaluating the impact of this pronouncement on the consolidated financial statements.</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429" w:name="_3a94e087_b3be_4d40_977c_ffc7334b639a_3"/>
      <w:bookmarkStart w:id="430" w:name="_3a94e087_b3be_4d40_977c_ffc7334b639a_2"/>
      <w:bookmarkStart w:id="431" w:name="_3a94e087_b3be_4d40_977c_ffc7334b639a"/>
      <w:bookmarkEnd w:id="429"/>
      <w:bookmarkEnd w:id="430"/>
      <w:bookmarkEnd w:id="431"/>
      <w:r>
        <w:rPr>
          <w:rFonts w:ascii="Times New Roman;Times;serif" w:hAnsi="Times New Roman;Times;serif"/>
          <w:b/>
          <w:sz w:val="20"/>
        </w:rPr>
        <w:t>(3)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discussed in Note 1, on March 2, 2022, the Business Combination was completed. Pursuant to the Company’s certificate of incorporation, as amended on March 2, 2022, the Company is authorized to issue 1,000,000,000 shares of Common Stock and 10,000,000 shares of preferred stock, </w:t>
      </w:r>
      <w:r>
        <w:rPr>
          <w:rFonts w:ascii="Times New Roman;Times;serif" w:hAnsi="Times New Roman;Times;serif"/>
          <w:b w:val="false"/>
          <w:i w:val="false"/>
          <w:caps w:val="false"/>
          <w:smallCaps w:val="false"/>
          <w:sz w:val="20"/>
        </w:rPr>
        <w:t>par value</w:t>
      </w:r>
      <w:r>
        <w:rPr>
          <w:rFonts w:ascii="Times New Roman;Times;serif" w:hAnsi="Times New Roman;Times;serif"/>
          <w:sz w:val="20"/>
        </w:rPr>
        <w:t xml:space="preserve"> $0.0001, of the Company (the “Preferred Stock”). The holders of shares of Common Stock are entitled to one vote for each share of Common Stock held. The Preferred Stock is non-voting. No shares of Preferred Stock were issued and outstanding as of September 30, 2023 or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1, 2022, prior to the Closing, as contemplated by that certain Agreement and Plan of Merger dated as of October 6, 2021, as amended on December 23, 2021 and January 10, 2022 (as amended, the “Merger Agreement”), by and among SNII, Supernova Merger Sub, Inc., Supernova Romeo Merger Sub, LLC and Legacy Rigetti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w:t>
      </w:r>
    </w:p>
    <w:p>
      <w:pPr>
        <w:pStyle w:val="TextBody"/>
        <w:bidi w:val="0"/>
        <w:spacing w:before="0" w:after="240"/>
        <w:ind w:left="0" w:right="0" w:firstLine="540"/>
        <w:jc w:val="both"/>
        <w:rPr/>
      </w:pPr>
      <w:r>
        <w:rPr/>
        <w:t>​</w:t>
      </w:r>
    </w:p>
    <w:p>
      <w:pPr>
        <w:pStyle w:val="TextBody"/>
        <w:bidi w:val="0"/>
        <w:spacing w:before="0" w:after="240"/>
        <w:ind w:left="0" w:right="0" w:firstLine="540"/>
        <w:jc w:val="both"/>
        <w:rPr/>
      </w:pPr>
      <w:r>
        <w:rPr/>
        <w:t>​</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and upon the effective time of the Domestication (which occurred on March 1, 2022), among other things (1) each then issued and outstanding Class A ordinary share, par value $0.0001 per share, of SNII (“SNII Class A ordinary share”) converted automatically, on a one-for-one basis, into a share of Common Stock; (2) each then issued and outstanding Class B ordinary share, par value $0.0001 per share, of SNII (“SNII Class B ordinary share”) converted automatically, on a one-for-one basis, into a share of Common Stock; (3) each then issued and outstanding whole warrant of SNII to purchase one SNII Class A ordinary share converted automatically into a Public Warrant to acquire one share of Common Stock at an exercise price of $11.50 per share pursuant to the Warrant Agreement, dated March 1, 2021, between SNII and American Stock Transfer &amp; Trust Company, as warrant agent; and (4) each then issued and outstanding unit of SNII (the “SNII Units”) was separated and converted automatically into one share of Common Stock and one-fourth of one Warrant.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Immediately prior to the effective time of the Business Combination, each share of Legacy Rigetti’s Series C preferred stock and Series C-1 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 applicable to the Legacy Rigetti restricted stock unit award, and with the number of shares of Common Stock to which the Assumed RSU Award converted based on the Exchange Ratio and other terms contained in the Merger Agreement.</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execution of the Merger Agreement, SNII entered into a sponsor support agreement (the “Sponsor Support Agreement”) with Supernova Partners II, LLC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w:t>
      </w:r>
      <w:r>
        <w:rPr>
          <w:rFonts w:ascii="Times New Roman;Times;serif" w:hAnsi="Times New Roman;Times;serif"/>
          <w:b w:val="false"/>
          <w:i w:val="false"/>
          <w:caps w:val="false"/>
          <w:smallCaps w:val="false"/>
          <w:sz w:val="20"/>
        </w:rPr>
        <w:t>twenty trading days</w:t>
      </w:r>
      <w:r>
        <w:rPr>
          <w:rFonts w:ascii="Times New Roman;Times;serif" w:hAnsi="Times New Roman;Times;serif"/>
          <w:sz w:val="20"/>
        </w:rPr>
        <w:t xml:space="preserve"> within a period of </w:t>
      </w:r>
      <w:r>
        <w:rPr>
          <w:rFonts w:ascii="Times New Roman;Times;serif" w:hAnsi="Times New Roman;Times;serif"/>
          <w:b w:val="false"/>
          <w:i w:val="false"/>
          <w:caps w:val="false"/>
          <w:smallCaps w:val="false"/>
          <w:sz w:val="20"/>
        </w:rPr>
        <w:t>thirty consecutive trading days</w:t>
      </w:r>
      <w:r>
        <w:rPr>
          <w:rFonts w:ascii="Times New Roman;Times;serif" w:hAnsi="Times New Roman;Times;serif"/>
          <w:sz w:val="20"/>
        </w:rPr>
        <w:t xml:space="preserve"> (such shares, the “Promote Sponsor Vesting Shares”),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w:t>
      </w:r>
      <w:r>
        <w:rPr>
          <w:rFonts w:ascii="Times New Roman;Times;serif" w:hAnsi="Times New Roman;Times;serif"/>
          <w:b w:val="false"/>
          <w:i w:val="false"/>
          <w:caps w:val="false"/>
          <w:smallCaps w:val="false"/>
          <w:sz w:val="20"/>
        </w:rPr>
        <w:t>twenty trading days</w:t>
      </w:r>
      <w:r>
        <w:rPr>
          <w:rFonts w:ascii="Times New Roman;Times;serif" w:hAnsi="Times New Roman;Times;serif"/>
          <w:sz w:val="20"/>
        </w:rPr>
        <w:t xml:space="preserve"> within a period of </w:t>
      </w:r>
      <w:r>
        <w:rPr>
          <w:rFonts w:ascii="Times New Roman;Times;serif" w:hAnsi="Times New Roman;Times;serif"/>
          <w:b w:val="false"/>
          <w:i w:val="false"/>
          <w:caps w:val="false"/>
          <w:smallCaps w:val="false"/>
          <w:sz w:val="20"/>
        </w:rPr>
        <w:t>thirty consecutive trading days</w:t>
      </w:r>
      <w:r>
        <w:rPr>
          <w:rFonts w:ascii="Times New Roman;Times;serif" w:hAnsi="Times New Roman;Times;serif"/>
          <w:sz w:val="20"/>
        </w:rPr>
        <w:t xml:space="preserve"> (such shares, the “Sponsor Redemption-Based Vesting Shares,” and, collectively with the Promote Sponsor Vesting Shares, the “Sponsor Vesting Shares”). Any such shares held by the Sponsor Holders that remain unvested after the fifth anniversary of the Closing will be forfeited (Refer to Note 4 for related significant accounting policy for the Earn-Out Liability related to the Sponsor Vesting Shares).</w:t>
      </w:r>
    </w:p>
    <w:p>
      <w:pPr>
        <w:pStyle w:val="TextBody"/>
        <w:bidi w:val="0"/>
        <w:spacing w:before="0" w:after="240"/>
        <w:ind w:left="0" w:right="0" w:firstLine="540"/>
        <w:jc w:val="both"/>
        <w:rPr/>
      </w:pPr>
      <w:r>
        <w:rPr/>
        <w:t>​</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432" w:name="Tc_H0HvXmZNHUOA4AArv6FUnQ_5_2"/>
      <w:bookmarkStart w:id="433" w:name="Tc_GiZee-_z1Uy9MP6eFrYnWg_5_0"/>
      <w:bookmarkStart w:id="434" w:name="Tc_so0cBUB5gEiV3H7c50Js-Q_4_0"/>
      <w:bookmarkStart w:id="435" w:name="Tc_-6Y6fAOYMUKQFVreVwhk3Q_3_0"/>
      <w:bookmarkStart w:id="436" w:name="Tc_ctRBYfsiRU-ORCSjpW7gCA_2_2"/>
      <w:bookmarkStart w:id="437" w:name="Tc_v0-WV593KkqJNH5zwCavCQ_2_0"/>
      <w:bookmarkStart w:id="438" w:name="_4138c883_5ac9_4b1f_97b4_149625d9b6e9"/>
      <w:bookmarkEnd w:id="432"/>
      <w:bookmarkEnd w:id="433"/>
      <w:bookmarkEnd w:id="434"/>
      <w:bookmarkEnd w:id="435"/>
      <w:bookmarkEnd w:id="436"/>
      <w:bookmarkEnd w:id="437"/>
      <w:bookmarkEnd w:id="438"/>
      <w:r>
        <w:rPr>
          <w:rFonts w:ascii="Times New Roman;Times;serif" w:hAnsi="Times New Roman;Times;serif"/>
          <w:sz w:val="20"/>
        </w:rPr>
        <w:t>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“accredited investors” (as such term is defined in Rule 501 of Regulation D)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PIPE Investors with certain registration rights with respect to the shares purchased as part of the PIPE Financing. The PIPE Financing was consummated immediately prior to the Business Combination. The Business Combination is accounted for as a reverse recapitalization in accordance with GAAP. Under this method of accounting, SNII was treated as the “acquired” company for financial reporting purposes.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accounting for the Business Combination and after redemptions, net proceeds received by the Company totaled $225.6 million. The table below shows the net proceeds from business combination and PIPE financing (in thousands):</w:t>
      </w:r>
    </w:p>
    <w:tbl>
      <w:tblPr>
        <w:tblW w:w="5811" w:type="dxa"/>
        <w:jc w:val="left"/>
        <w:tblInd w:w="0" w:type="dxa"/>
        <w:tblLayout w:type="fixed"/>
        <w:tblCellMar>
          <w:top w:w="0" w:type="dxa"/>
          <w:left w:w="0" w:type="dxa"/>
          <w:bottom w:w="0" w:type="dxa"/>
          <w:right w:w="0" w:type="dxa"/>
        </w:tblCellMar>
      </w:tblPr>
      <w:tblGrid>
        <w:gridCol w:w="4261"/>
        <w:gridCol w:w="326"/>
        <w:gridCol w:w="326"/>
        <w:gridCol w:w="898"/>
      </w:tblGrid>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0230" cy="175260"/>
                      <wp:effectExtent l="0" t="0" r="0" b="0"/>
                      <wp:wrapNone/>
                      <wp:docPr id="51" name="Frame5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lef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SNII trust and cash (net of redemption)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PIPE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SNII operating account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Business Combination and PIPE</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225,604</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Transaction costs consist of direct legal, accounting and other fees relating to the consummation of the Business Combination. Legacy Rigetti transaction costs specific and directly attributable to the business combination totaled $20.65 million. These costs were initially capitalized as incurred in deferred offering assets on the consolidated balance sheets. Upon the Closing, transaction costs related to the issuance of shares were recognized in stockholders’ equity (deficit) while costs associated with the Public Warrants, Private Warrants and the earnout related to the Sponsor Vesting Shares were expensed in the condensed consolidated statements of operations. Of the total transaction costs of $20.65 million, $19.75 million was recorded to additional paid-in capital as a reduction of proceeds and the remaining $0.9 million was expensed during the nine months ended September 30, 2022. Cash transaction costs paid during the nine months ended September 30, 2022 totaled $16.7 million. Bonuses paid to certain employees related to the business combination during the nine months ended September 30, 2022 totaled $2.1 million.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amount recorded to additional paid-in-capital was $159.55 million, comprised of $225.6 million net proceeds less $19.75 million of transaction costs, $16.3 million recognized for the Public Warrant liabilities, $9.6 million recognized for the Private Warrant liabilities, and $20.4 million recognized for the earnout liability related to the Sponsor Vesting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439" w:name="Tc_fB6Bjr94ZEy-K7D3L6L9XA_12_0"/>
      <w:bookmarkStart w:id="440" w:name="Tc_BZT47EyUpk6ndI4P-QrShQ_11_0"/>
      <w:bookmarkStart w:id="441" w:name="Tc_KIWEwEFIrEmbi7SKDRDUpQ_10_0"/>
      <w:bookmarkStart w:id="442" w:name="Tc_Te3Xjo6aaE-kRSqMVfUbJw_9_0"/>
      <w:bookmarkStart w:id="443" w:name="Tc_M9g9fD9gwk-uu1H2cLYbGw_8_0"/>
      <w:bookmarkStart w:id="444" w:name="Tc_hTJcVREZ30W2Czh-F7qnRQ_7_0"/>
      <w:bookmarkStart w:id="445" w:name="Tc_6tRGmdUZCUiTcpgPyEyzmw_6_0"/>
      <w:bookmarkStart w:id="446" w:name="Tc_5QQ9fdKRCEO3st-reX0BQQ_5_0"/>
      <w:bookmarkStart w:id="447" w:name="Tc_hqLQhd7bd0uGqs6nKfQ-nw_4_0"/>
      <w:bookmarkStart w:id="448" w:name="Tc_-VOLqLEGuEGF9CZod32IpA_3_0"/>
      <w:bookmarkStart w:id="449" w:name="Tc_4eAyY-3SoUGqY1Knju4DtQ_2_0"/>
      <w:bookmarkStart w:id="450" w:name="Tc_EAu-bfOfWk2SCD467R_yAA_1_0"/>
      <w:bookmarkStart w:id="451" w:name="_3fcc3957_5210_4bc2_b06d_4c4eac760660"/>
      <w:bookmarkEnd w:id="439"/>
      <w:bookmarkEnd w:id="440"/>
      <w:bookmarkEnd w:id="441"/>
      <w:bookmarkEnd w:id="442"/>
      <w:bookmarkEnd w:id="443"/>
      <w:bookmarkEnd w:id="444"/>
      <w:bookmarkEnd w:id="445"/>
      <w:bookmarkEnd w:id="446"/>
      <w:bookmarkEnd w:id="447"/>
      <w:bookmarkEnd w:id="448"/>
      <w:bookmarkEnd w:id="449"/>
      <w:bookmarkEnd w:id="450"/>
      <w:bookmarkEnd w:id="451"/>
      <w:r>
        <w:rPr>
          <w:rFonts w:ascii="Times New Roman;Times;serif" w:hAnsi="Times New Roman;Times;serif"/>
          <w:sz w:val="20"/>
        </w:rPr>
        <w:t>The number of shares of Common Stock issued immediately following the consummation of the Business Combination was as follows:</w:t>
      </w:r>
    </w:p>
    <w:p>
      <w:pPr>
        <w:pStyle w:val="TextBody"/>
        <w:bidi w:val="0"/>
        <w:spacing w:before="0" w:after="0"/>
        <w:ind w:left="0" w:right="0" w:hanging="0"/>
        <w:jc w:val="left"/>
        <w:rPr/>
      </w:pPr>
      <w:r>
        <w:rPr/>
        <w:t>​</w:t>
      </w:r>
    </w:p>
    <w:tbl>
      <w:tblPr>
        <w:tblW w:w="9295" w:type="dxa"/>
        <w:jc w:val="left"/>
        <w:tblInd w:w="0" w:type="dxa"/>
        <w:tblLayout w:type="fixed"/>
        <w:tblCellMar>
          <w:top w:w="0" w:type="dxa"/>
          <w:left w:w="0" w:type="dxa"/>
          <w:bottom w:w="0" w:type="dxa"/>
          <w:right w:w="0" w:type="dxa"/>
        </w:tblCellMar>
      </w:tblPr>
      <w:tblGrid>
        <w:gridCol w:w="7711"/>
        <w:gridCol w:w="326"/>
        <w:gridCol w:w="1258"/>
      </w:tblGrid>
      <w:tr>
        <w:trPr/>
        <w:tc>
          <w:tcPr>
            <w:tcW w:w="7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98830" cy="175260"/>
                      <wp:effectExtent l="0" t="0" r="0" b="0"/>
                      <wp:wrapNone/>
                      <wp:docPr id="53" name="Frame53"/>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A, outstanding prior to Business Combination</w:t>
            </w:r>
          </w:p>
        </w:tc>
        <w:tc>
          <w:tcPr>
            <w:tcW w:w="326" w:type="dxa"/>
            <w:tcBorders/>
            <w:shd w:fill="CCEEFF" w:val="clear"/>
            <w:vAlign w:val="center"/>
          </w:tcPr>
          <w:p>
            <w:pPr>
              <w:pStyle w:val="TableContents"/>
              <w:bidi w:val="0"/>
              <w:spacing w:before="0" w:after="1"/>
              <w:ind w:left="0" w:right="0" w:hanging="0"/>
              <w:jc w:val="left"/>
              <w:rPr/>
            </w:pPr>
            <w:r>
              <w:rPr/>
              <w:t>    </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34,500,000</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redemption of SNII Class A ordinary shares</w:t>
            </w:r>
          </w:p>
        </w:tc>
        <w:tc>
          <w:tcPr>
            <w:tcW w:w="326" w:type="dxa"/>
            <w:tcBorders/>
            <w:vAlign w:val="center"/>
          </w:tcPr>
          <w:p>
            <w:pPr>
              <w:pStyle w:val="TableContents"/>
              <w:bidi w:val="0"/>
              <w:spacing w:before="0" w:after="1"/>
              <w:ind w:left="0" w:right="0" w:hanging="0"/>
              <w:jc w:val="left"/>
              <w:rPr/>
            </w:pPr>
            <w:r>
              <w:rPr/>
              <w:t> </w:t>
            </w:r>
          </w:p>
        </w:tc>
        <w:tc>
          <w:tcPr>
            <w:tcW w:w="12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(22,915,538)</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A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11,584,462</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B ordinary shares*</w:t>
            </w:r>
          </w:p>
        </w:tc>
        <w:tc>
          <w:tcPr>
            <w:tcW w:w="326" w:type="dxa"/>
            <w:tcBorders/>
            <w:vAlign w:val="center"/>
          </w:tcPr>
          <w:p>
            <w:pPr>
              <w:pStyle w:val="TableContents"/>
              <w:bidi w:val="0"/>
              <w:spacing w:before="0" w:after="1"/>
              <w:ind w:left="0" w:right="0" w:hanging="0"/>
              <w:jc w:val="left"/>
              <w:rPr/>
            </w:pPr>
            <w:r>
              <w:rPr/>
              <w:t> </w:t>
            </w:r>
          </w:p>
        </w:tc>
        <w:tc>
          <w:tcPr>
            <w:tcW w:w="12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8,625,000</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in PIPE</w:t>
            </w:r>
          </w:p>
        </w:tc>
        <w:tc>
          <w:tcPr>
            <w:tcW w:w="326" w:type="dxa"/>
            <w:tcBorders/>
            <w:shd w:fill="CCEEFF" w:val="clear"/>
            <w:vAlign w:val="center"/>
          </w:tcPr>
          <w:p>
            <w:pPr>
              <w:pStyle w:val="TableContents"/>
              <w:bidi w:val="0"/>
              <w:spacing w:before="0" w:after="1"/>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14,641,244</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and PIPE shares</w:t>
            </w:r>
          </w:p>
        </w:tc>
        <w:tc>
          <w:tcPr>
            <w:tcW w:w="326" w:type="dxa"/>
            <w:tcBorders/>
            <w:vAlign w:val="center"/>
          </w:tcPr>
          <w:p>
            <w:pPr>
              <w:pStyle w:val="TableContents"/>
              <w:bidi w:val="0"/>
              <w:spacing w:before="0" w:after="1"/>
              <w:ind w:left="0" w:right="0" w:hanging="0"/>
              <w:jc w:val="left"/>
              <w:rPr/>
            </w:pPr>
            <w:r>
              <w:rPr/>
              <w:t> </w:t>
            </w:r>
          </w:p>
        </w:tc>
        <w:tc>
          <w:tcPr>
            <w:tcW w:w="12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34,850,706</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Stock—Legacy Rigetti**</w:t>
            </w:r>
          </w:p>
        </w:tc>
        <w:tc>
          <w:tcPr>
            <w:tcW w:w="326" w:type="dxa"/>
            <w:tcBorders/>
            <w:shd w:fill="CCEEFF" w:val="clear"/>
            <w:vAlign w:val="center"/>
          </w:tcPr>
          <w:p>
            <w:pPr>
              <w:pStyle w:val="TableContents"/>
              <w:bidi w:val="0"/>
              <w:spacing w:before="0" w:after="1"/>
              <w:ind w:left="0" w:right="0" w:hanging="0"/>
              <w:jc w:val="left"/>
              <w:rPr/>
            </w:pPr>
            <w:r>
              <w:rPr/>
              <w:t> </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18,221,069</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Stock—exercise of Legacy Rigetti stock options immediately prior to the closing**</w:t>
            </w:r>
          </w:p>
        </w:tc>
        <w:tc>
          <w:tcPr>
            <w:tcW w:w="326" w:type="dxa"/>
            <w:tcBorders/>
            <w:vAlign w:val="center"/>
          </w:tcPr>
          <w:p>
            <w:pPr>
              <w:pStyle w:val="TableContents"/>
              <w:bidi w:val="0"/>
              <w:spacing w:before="0" w:after="1"/>
              <w:ind w:left="0" w:right="0" w:hanging="0"/>
              <w:jc w:val="left"/>
              <w:rPr/>
            </w:pPr>
            <w:r>
              <w:rPr/>
              <w:t> </w:t>
            </w:r>
          </w:p>
        </w:tc>
        <w:tc>
          <w:tcPr>
            <w:tcW w:w="12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1,123,539</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Stock—exercise of Legacy Rigetti warrants immediately prior to the closing**</w:t>
            </w:r>
          </w:p>
        </w:tc>
        <w:tc>
          <w:tcPr>
            <w:tcW w:w="326" w:type="dxa"/>
            <w:tcBorders/>
            <w:shd w:fill="CCEEFF" w:val="clear"/>
            <w:vAlign w:val="center"/>
          </w:tcPr>
          <w:p>
            <w:pPr>
              <w:pStyle w:val="TableContents"/>
              <w:bidi w:val="0"/>
              <w:spacing w:before="0" w:after="1"/>
              <w:ind w:left="0" w:right="0" w:hanging="0"/>
              <w:jc w:val="left"/>
              <w:rPr/>
            </w:pPr>
            <w:r>
              <w:rPr/>
              <w:t> </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2,234,408</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Stock—upon conversion of Legacy Rigetti Series C preferred stock**</w:t>
            </w:r>
          </w:p>
        </w:tc>
        <w:tc>
          <w:tcPr>
            <w:tcW w:w="326" w:type="dxa"/>
            <w:tcBorders/>
            <w:vAlign w:val="center"/>
          </w:tcPr>
          <w:p>
            <w:pPr>
              <w:pStyle w:val="TableContents"/>
              <w:bidi w:val="0"/>
              <w:spacing w:before="0" w:after="1"/>
              <w:ind w:left="0" w:right="0" w:hanging="0"/>
              <w:jc w:val="left"/>
              <w:rPr/>
            </w:pPr>
            <w:r>
              <w:rPr/>
              <w:t> </w:t>
            </w:r>
          </w:p>
        </w:tc>
        <w:tc>
          <w:tcPr>
            <w:tcW w:w="12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54,478,261</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Stock—upon conversion of Legacy Rigetti Series C</w:t>
              <w:noBreakHyphen/>
              <w:t>1 preferred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2,902,302</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of Common Stock immediately after Business Combination</w:t>
            </w:r>
          </w:p>
        </w:tc>
        <w:tc>
          <w:tcPr>
            <w:tcW w:w="326" w:type="dxa"/>
            <w:tcBorders/>
            <w:vAlign w:val="center"/>
          </w:tcPr>
          <w:p>
            <w:pPr>
              <w:pStyle w:val="TableContents"/>
              <w:bidi w:val="0"/>
              <w:spacing w:before="0" w:after="1"/>
              <w:ind w:left="0" w:right="0" w:hanging="0"/>
              <w:jc w:val="left"/>
              <w:rPr/>
            </w:pPr>
            <w:r>
              <w:rPr/>
              <w:t> </w:t>
            </w:r>
          </w:p>
        </w:tc>
        <w:tc>
          <w:tcPr>
            <w:tcW w:w="125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113,810,285</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Includes (i) 2,479,000 shares of “Promote Sponsor Vesting Shares” and (ii) 580,273 shares of “Sponsor Redemption-Based Vesting Shares”.</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outstanding shares of Legacy Rigetti Common Stock as of immediately prior to the Closing (including Legacy Rigetti Common Stock resulting from the Legacy Rigetti Preferred Stock Conversion), were exchanged at an exchange ratio of 0.7870 (the “Exchange Ratio”). The conversion ratio to Legacy Rigetti Common Stock for the Legacy Series C Preferred Stock was one-for-one and for Legacy Series C-1 Preferred Stock was eight-for-one.</w:t>
            </w:r>
          </w:p>
        </w:tc>
      </w:tr>
    </w:tbl>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(4) 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At the closing of the Business Combination, the Sponsor subjected the Sponsor Vesting Shares to forfeiture as of the Closing Date for a five-year period following the Closing, with vesting occurring only if thresholds related to the weighted average price of Common Stock are met as described above in Note 3. Business Combination (the “Earn-Out Triggering Events”). Any such shares held by the Sponsor that have not vested by the fifth anniversary of the Closing will be forfeited.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Sponsor Vesting Shares are accounted for as liability classified instruments because the Earn-Out Triggering Events that determine the number of Sponsor Vesting Shares to be earned back by the Sponsor include outcomes that are not solely indexed to the Common Stock of the Company. The aggregate fair value of the Sponsor Vesting Shares on the Closing Date was estimated using a Monte Carlo simulation model and was determined to be $20.4 million at the Closing Date. The Earn-out liability is adjusted to fair value each reporting period using the Monte Carlo simulation model until such time as the Earn-Out Triggering Events are achieved or the Sponsor Vesting Shares are forfeited.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calculated fair value of the Earn-out liabilities with respect to the Sponsor Vesting Shares at September 30, 2023 and December 31, 2022 was $3.6 million and $1.2 million, respectively. The change in the fair value of the Earn-out liabilities included in the condensed consolidated statements of operations for the three and nine months ended September 30, 2023 was a loss of $1.7 million and $2.4 million, respectively. The change in the fair value of the Earn-out liabilities included in the condensed consolidated statements of operations for the three and nine months ended September 30, 2022 was a gain of $4.9 million and $17.4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452" w:name="Tc_tb3OuqqyDUeYD0XjvzBSzw_6_0"/>
      <w:bookmarkStart w:id="453" w:name="Tc_SWCL1lZqVU2iscViZES1Gg_5_0"/>
      <w:bookmarkStart w:id="454" w:name="Tc_P1nnKg_h6kew9zTSmD8MuQ_4_0"/>
      <w:bookmarkStart w:id="455" w:name="Tc_Ig8WHhJLmEuBYaIlHp80uA_3_0"/>
      <w:bookmarkStart w:id="456" w:name="Tc_mAGUDmWORkSXQgZt5FUBTQ_2_8"/>
      <w:bookmarkStart w:id="457" w:name="Tc_aGui_-utFkWgSrOr1m-WsA_2_5"/>
      <w:bookmarkStart w:id="458" w:name="Tc_ASrSotVeGEKPcR9nLycoqQ_2_2"/>
      <w:bookmarkStart w:id="459" w:name="Tc_-ZyWhMzplECZv_hjISuEAQ_2_0"/>
      <w:bookmarkStart w:id="460" w:name="Tc_EGyjn5HXZkWtnqg4QcGVXw_1_8"/>
      <w:bookmarkStart w:id="461" w:name="Tc_2O1cqssOf0GgXVG6_OUHIA_1_5"/>
      <w:bookmarkStart w:id="462" w:name="Tc_mXWaSL1ee0GA15aEmL6Maw_1_2"/>
      <w:bookmarkStart w:id="463" w:name="Tc_iTkDM_AYKUOEaeheBUxFkg_1_0"/>
      <w:bookmarkEnd w:id="452"/>
      <w:bookmarkEnd w:id="453"/>
      <w:bookmarkEnd w:id="454"/>
      <w:bookmarkEnd w:id="455"/>
      <w:bookmarkEnd w:id="456"/>
      <w:bookmarkEnd w:id="457"/>
      <w:bookmarkEnd w:id="458"/>
      <w:bookmarkEnd w:id="459"/>
      <w:bookmarkEnd w:id="460"/>
      <w:bookmarkEnd w:id="461"/>
      <w:bookmarkEnd w:id="462"/>
      <w:bookmarkEnd w:id="463"/>
      <w:r>
        <w:rPr>
          <w:rFonts w:ascii="Times New Roman;Times;serif" w:hAnsi="Times New Roman;Times;serif"/>
          <w:sz w:val="20"/>
        </w:rPr>
        <w:t>Significant inputs into the Monte Carlo simulation models as of September 30, 2023, December 31, 2022 and March 2, 2022 (the date of initial recognition) are as follows:</w:t>
      </w:r>
    </w:p>
    <w:p>
      <w:pPr>
        <w:pStyle w:val="TextBody"/>
        <w:bidi w:val="0"/>
        <w:spacing w:before="0" w:after="0"/>
        <w:ind w:left="0" w:right="0" w:hanging="0"/>
        <w:jc w:val="left"/>
        <w:rPr/>
      </w:pPr>
      <w:r>
        <w:rPr/>
        <w:t>​</w:t>
      </w:r>
    </w:p>
    <w:tbl>
      <w:tblPr>
        <w:tblW w:w="8576" w:type="dxa"/>
        <w:jc w:val="left"/>
        <w:tblInd w:w="0" w:type="dxa"/>
        <w:tblLayout w:type="fixed"/>
        <w:tblCellMar>
          <w:top w:w="0" w:type="dxa"/>
          <w:left w:w="0" w:type="dxa"/>
          <w:bottom w:w="0" w:type="dxa"/>
          <w:right w:w="0" w:type="dxa"/>
        </w:tblCellMar>
      </w:tblPr>
      <w:tblGrid>
        <w:gridCol w:w="3226"/>
        <w:gridCol w:w="326"/>
        <w:gridCol w:w="367"/>
        <w:gridCol w:w="1179"/>
        <w:gridCol w:w="326"/>
        <w:gridCol w:w="357"/>
        <w:gridCol w:w="1144"/>
        <w:gridCol w:w="326"/>
        <w:gridCol w:w="315"/>
        <w:gridCol w:w="856"/>
        <w:gridCol w:w="154"/>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3045" cy="175260"/>
                      <wp:effectExtent l="0" t="0" r="0" b="0"/>
                      <wp:wrapNone/>
                      <wp:docPr id="55" name="Frame5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48665" cy="175260"/>
                      <wp:effectExtent l="0" t="0" r="0" b="0"/>
                      <wp:wrapNone/>
                      <wp:docPr id="56" name="Frame5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6695" cy="175260"/>
                      <wp:effectExtent l="0" t="0" r="0" b="0"/>
                      <wp:wrapNone/>
                      <wp:docPr id="58" name="Frame5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26440" cy="175260"/>
                      <wp:effectExtent l="0" t="0" r="0" b="0"/>
                      <wp:wrapNone/>
                      <wp:docPr id="59" name="Frame59"/>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0025" cy="175260"/>
                      <wp:effectExtent l="0" t="0" r="0" b="0"/>
                      <wp:wrapNone/>
                      <wp:docPr id="61" name="Frame61"/>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43560" cy="175260"/>
                      <wp:effectExtent l="0" t="0" r="0" b="0"/>
                      <wp:wrapNone/>
                      <wp:docPr id="62" name="Frame6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7790" cy="175260"/>
                      <wp:effectExtent l="0" t="0" r="0" b="0"/>
                      <wp:wrapNone/>
                      <wp:docPr id="63" name="Frame6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2022</w:t>
            </w:r>
          </w:p>
        </w:tc>
        <w:tc>
          <w:tcPr>
            <w:tcW w:w="154" w:type="dxa"/>
            <w:tcBorders/>
            <w:vAlign w:val="center"/>
          </w:tcPr>
          <w:p>
            <w:pPr>
              <w:pStyle w:val="TableContents"/>
              <w:bidi w:val="0"/>
              <w:spacing w:before="0" w:after="0"/>
              <w:ind w:left="0" w:right="0" w:hanging="0"/>
              <w:jc w:val="center"/>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154"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168.90%</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54"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4" w:name="Tc_-vSHxrf2bUmu0do1yc02Zg_14_16"/>
      <w:bookmarkStart w:id="465" w:name="Tc_BXq-4KRvdUuhxqbUzz1CMA_14_13"/>
      <w:bookmarkStart w:id="466" w:name="Tc_4yJYmDcXgEmwN642j0DDqw_14_10"/>
      <w:bookmarkStart w:id="467" w:name="Tc_CepSEqSlgkeUNewieGGFIg_14_7"/>
      <w:bookmarkStart w:id="468" w:name="Tc_6CchZQ5q1UWZPKBGSDoHZA_14_4"/>
      <w:bookmarkStart w:id="469" w:name="Tc_-sFFR5kUQE2avCwDpH2-iw_14_0"/>
      <w:bookmarkStart w:id="470" w:name="Tc_R4v_FkrO2UGjLPz-xir9Mw_13_11"/>
      <w:bookmarkStart w:id="471" w:name="Tc_TtqI0ifoaEaxy8wHUJap4g_13_8"/>
      <w:bookmarkStart w:id="472" w:name="Tc_iY4FlYANMkClYJhiAizvlg_13_5"/>
      <w:bookmarkStart w:id="473" w:name="Tc__2iGLexsgUGOdLnTpz0dYA_13_2"/>
      <w:bookmarkStart w:id="474" w:name="Tc_zKi6cltze0i6O0mLj1PcwQ_13_0"/>
      <w:bookmarkStart w:id="475" w:name="Tc_2lloUEe54Ea7jfcPkX68vQ_12_14"/>
      <w:bookmarkStart w:id="476" w:name="Tc_KXPrIURGjUiUKpsVxSln5w_12_8"/>
      <w:bookmarkStart w:id="477" w:name="Tc_okimrVQgH0W8FsPWSW8C8w_12_5"/>
      <w:bookmarkStart w:id="478" w:name="Tc_ChCUdIyeg0C0fODGIOLHcg_12_2"/>
      <w:bookmarkStart w:id="479" w:name="Tc_RbIrciLufESUVDNKkiEB3w_12_0"/>
      <w:bookmarkStart w:id="480" w:name="Tc_lRBjLsuhOkSazvWToZG-kw_11_14"/>
      <w:bookmarkStart w:id="481" w:name="Tc_rd7P3lV93kesq3O9vdWfkw_11_8"/>
      <w:bookmarkStart w:id="482" w:name="Tc_U8QY16yVTUKqhD-6gHitWg_11_5"/>
      <w:bookmarkStart w:id="483" w:name="Tc_llu9CZhLIkmFM0KQBHr0qA_11_2"/>
      <w:bookmarkStart w:id="484" w:name="Tc_aR_ckmKyIUOrZDb0zvRD6A_11_0"/>
      <w:bookmarkStart w:id="485" w:name="Tc_qJ01O3ssXU68y_J0q2mNLw_10_14"/>
      <w:bookmarkStart w:id="486" w:name="Tc_VPFS-hODEEi8QOCKEXJMGw_10_11"/>
      <w:bookmarkStart w:id="487" w:name="Tc_tYLtK98FJk-ZOQ3FqONpQQ_10_5"/>
      <w:bookmarkStart w:id="488" w:name="Tc_yOVHybpKN0qpADwi0x3-dQ_10_2"/>
      <w:bookmarkStart w:id="489" w:name="Tc_lT-d8Sqjvkuvvr_XFCnGgA_10_0"/>
      <w:bookmarkStart w:id="490" w:name="Tc_q51VEe3lB0mo3eKnfh5Gyg_9_14"/>
      <w:bookmarkStart w:id="491" w:name="Tc_nnkb1rsC3U6kVzI1dFzB0w_9_11"/>
      <w:bookmarkStart w:id="492" w:name="Tc_ovaiGEfCy0W3Z2BPi-Bvsg_9_0"/>
      <w:bookmarkStart w:id="493" w:name="Tc_RLomuXytjUOky5tdDAFTug_8_14"/>
      <w:bookmarkStart w:id="494" w:name="Tc_umgAkpfeT0eW_remvzeLrA_8_11"/>
      <w:bookmarkStart w:id="495" w:name="Tc_fLQrJYM6hU2bBtWU_M3WAQ_8_8"/>
      <w:bookmarkStart w:id="496" w:name="Tc_Cap_LFsSMkCYDyQQp4gaaA_8_5"/>
      <w:bookmarkStart w:id="497" w:name="Tc_jQkdZJzR6EKN_C9oRTPbFQ_8_0"/>
      <w:bookmarkStart w:id="498" w:name="Tc_CrideyjZT0uV6OWz4GtjMg_7_14"/>
      <w:bookmarkStart w:id="499" w:name="Tc_l3imMKUcxEOPbw5v8ZyKrQ_7_11"/>
      <w:bookmarkStart w:id="500" w:name="Tc_qhXfrPfe40mnA8gdDu6aPA_7_5"/>
      <w:bookmarkStart w:id="501" w:name="Tc_jJoEt9foO0GPTi8EEi9s-g_7_0"/>
      <w:bookmarkStart w:id="502" w:name="Tc_i59OaYP8BEqUSBED0SZMkQ_6_14"/>
      <w:bookmarkStart w:id="503" w:name="Tc_wk6v9Lwp50mKo2kS_z7ZxQ_6_11"/>
      <w:bookmarkStart w:id="504" w:name="Tc_c13jtLLCQECn76vqC7uZfg_6_5"/>
      <w:bookmarkStart w:id="505" w:name="Tc_BVaG2UUFykuwYULhlRbCqQ_6_0"/>
      <w:bookmarkStart w:id="506" w:name="Tc_Aq0VxaBGfkiiaVejsx2vSA_5_16"/>
      <w:bookmarkStart w:id="507" w:name="Tc_ZRjxA9cLe0e79nGYSklITA_5_13"/>
      <w:bookmarkStart w:id="508" w:name="Tc_r7WbC7YqMEGLzL3pa3Jt6A_5_10"/>
      <w:bookmarkStart w:id="509" w:name="Tc_66IyGBpT-Ei2lQzLzSFTow_5_7"/>
      <w:bookmarkStart w:id="510" w:name="Tc_KDO97CWGbE2jRy6B2HRcXQ_5_4"/>
      <w:bookmarkStart w:id="511" w:name="Tc_6B0NQyoOzkWjF1DOFuyHoQ_5_0"/>
      <w:bookmarkStart w:id="512" w:name="Tc_wG2metEt1ESrArk96LnHGg_4_16"/>
      <w:bookmarkStart w:id="513" w:name="Tc_4CFbjz-2h0OIQFW6lz8RFQ_4_13"/>
      <w:bookmarkStart w:id="514" w:name="Tc_so-qXKcbGEinqFA1mE5vEg_4_10"/>
      <w:bookmarkStart w:id="515" w:name="Tc_9VT4HU0xU02toHRD0IwnMg_4_7"/>
      <w:bookmarkStart w:id="516" w:name="Tc_POMAFMfHO0WwQbfpBOatvg_4_4"/>
      <w:bookmarkStart w:id="517" w:name="Tc_7xJQSRQpIUOY2v1QdDDo_w_4_2"/>
      <w:bookmarkStart w:id="518" w:name="Tc_1TIooyqgfUOB1aWYQPzpCA_3_16"/>
      <w:bookmarkStart w:id="519" w:name="Tc_iA3bGwa7lkCS6d6gl89kZA_3_13"/>
      <w:bookmarkStart w:id="520" w:name="Tc_vIW4g-L4kUGYn2iavdvNkg_3_10"/>
      <w:bookmarkStart w:id="521" w:name="Tc_0NCfrQrcjU6JiELleOGoJA_3_7"/>
      <w:bookmarkStart w:id="522" w:name="Tc_qvJKgUUCZ0W7w2QU7bIaeA_3_2"/>
      <w:bookmarkStart w:id="523" w:name="Tc_AhfTei-PUUa-SfIHo94_eQ_2_16"/>
      <w:bookmarkStart w:id="524" w:name="Tc_gCqKP0gnAUCASIjDuHpd1w_2_10"/>
      <w:bookmarkStart w:id="525" w:name="Tc_7-Gu6TUzgUaLe-VUgtyPCg_2_7"/>
      <w:bookmarkStart w:id="526" w:name="Tc_qfvhJ2o3-UqHcnWnqKMvZQ_1_10"/>
      <w:bookmarkStart w:id="527" w:name="_912c3776_8561_493c_9f75_46bf45b2819d"/>
      <w:bookmarkStart w:id="528" w:name="Tc_-vSHxrf2bUmu0do1yc02Zg_14_16"/>
      <w:bookmarkStart w:id="529" w:name="Tc_BXq-4KRvdUuhxqbUzz1CMA_14_13"/>
      <w:bookmarkStart w:id="530" w:name="Tc_4yJYmDcXgEmwN642j0DDqw_14_10"/>
      <w:bookmarkStart w:id="531" w:name="Tc_CepSEqSlgkeUNewieGGFIg_14_7"/>
      <w:bookmarkStart w:id="532" w:name="Tc_6CchZQ5q1UWZPKBGSDoHZA_14_4"/>
      <w:bookmarkStart w:id="533" w:name="Tc_-sFFR5kUQE2avCwDpH2-iw_14_0"/>
      <w:bookmarkStart w:id="534" w:name="Tc_R4v_FkrO2UGjLPz-xir9Mw_13_11"/>
      <w:bookmarkStart w:id="535" w:name="Tc_TtqI0ifoaEaxy8wHUJap4g_13_8"/>
      <w:bookmarkStart w:id="536" w:name="Tc_iY4FlYANMkClYJhiAizvlg_13_5"/>
      <w:bookmarkStart w:id="537" w:name="Tc__2iGLexsgUGOdLnTpz0dYA_13_2"/>
      <w:bookmarkStart w:id="538" w:name="Tc_zKi6cltze0i6O0mLj1PcwQ_13_0"/>
      <w:bookmarkStart w:id="539" w:name="Tc_2lloUEe54Ea7jfcPkX68vQ_12_14"/>
      <w:bookmarkStart w:id="540" w:name="Tc_KXPrIURGjUiUKpsVxSln5w_12_8"/>
      <w:bookmarkStart w:id="541" w:name="Tc_okimrVQgH0W8FsPWSW8C8w_12_5"/>
      <w:bookmarkStart w:id="542" w:name="Tc_ChCUdIyeg0C0fODGIOLHcg_12_2"/>
      <w:bookmarkStart w:id="543" w:name="Tc_RbIrciLufESUVDNKkiEB3w_12_0"/>
      <w:bookmarkStart w:id="544" w:name="Tc_lRBjLsuhOkSazvWToZG-kw_11_14"/>
      <w:bookmarkStart w:id="545" w:name="Tc_rd7P3lV93kesq3O9vdWfkw_11_8"/>
      <w:bookmarkStart w:id="546" w:name="Tc_U8QY16yVTUKqhD-6gHitWg_11_5"/>
      <w:bookmarkStart w:id="547" w:name="Tc_llu9CZhLIkmFM0KQBHr0qA_11_2"/>
      <w:bookmarkStart w:id="548" w:name="Tc_aR_ckmKyIUOrZDb0zvRD6A_11_0"/>
      <w:bookmarkStart w:id="549" w:name="Tc_qJ01O3ssXU68y_J0q2mNLw_10_14"/>
      <w:bookmarkStart w:id="550" w:name="Tc_VPFS-hODEEi8QOCKEXJMGw_10_11"/>
      <w:bookmarkStart w:id="551" w:name="Tc_tYLtK98FJk-ZOQ3FqONpQQ_10_5"/>
      <w:bookmarkStart w:id="552" w:name="Tc_yOVHybpKN0qpADwi0x3-dQ_10_2"/>
      <w:bookmarkStart w:id="553" w:name="Tc_lT-d8Sqjvkuvvr_XFCnGgA_10_0"/>
      <w:bookmarkStart w:id="554" w:name="Tc_q51VEe3lB0mo3eKnfh5Gyg_9_14"/>
      <w:bookmarkStart w:id="555" w:name="Tc_nnkb1rsC3U6kVzI1dFzB0w_9_11"/>
      <w:bookmarkStart w:id="556" w:name="Tc_ovaiGEfCy0W3Z2BPi-Bvsg_9_0"/>
      <w:bookmarkStart w:id="557" w:name="Tc_RLomuXytjUOky5tdDAFTug_8_14"/>
      <w:bookmarkStart w:id="558" w:name="Tc_umgAkpfeT0eW_remvzeLrA_8_11"/>
      <w:bookmarkStart w:id="559" w:name="Tc_fLQrJYM6hU2bBtWU_M3WAQ_8_8"/>
      <w:bookmarkStart w:id="560" w:name="Tc_Cap_LFsSMkCYDyQQp4gaaA_8_5"/>
      <w:bookmarkStart w:id="561" w:name="Tc_jQkdZJzR6EKN_C9oRTPbFQ_8_0"/>
      <w:bookmarkStart w:id="562" w:name="Tc_CrideyjZT0uV6OWz4GtjMg_7_14"/>
      <w:bookmarkStart w:id="563" w:name="Tc_l3imMKUcxEOPbw5v8ZyKrQ_7_11"/>
      <w:bookmarkStart w:id="564" w:name="Tc_qhXfrPfe40mnA8gdDu6aPA_7_5"/>
      <w:bookmarkStart w:id="565" w:name="Tc_jJoEt9foO0GPTi8EEi9s-g_7_0"/>
      <w:bookmarkStart w:id="566" w:name="Tc_i59OaYP8BEqUSBED0SZMkQ_6_14"/>
      <w:bookmarkStart w:id="567" w:name="Tc_wk6v9Lwp50mKo2kS_z7ZxQ_6_11"/>
      <w:bookmarkStart w:id="568" w:name="Tc_c13jtLLCQECn76vqC7uZfg_6_5"/>
      <w:bookmarkStart w:id="569" w:name="Tc_BVaG2UUFykuwYULhlRbCqQ_6_0"/>
      <w:bookmarkStart w:id="570" w:name="Tc_Aq0VxaBGfkiiaVejsx2vSA_5_16"/>
      <w:bookmarkStart w:id="571" w:name="Tc_ZRjxA9cLe0e79nGYSklITA_5_13"/>
      <w:bookmarkStart w:id="572" w:name="Tc_r7WbC7YqMEGLzL3pa3Jt6A_5_10"/>
      <w:bookmarkStart w:id="573" w:name="Tc_66IyGBpT-Ei2lQzLzSFTow_5_7"/>
      <w:bookmarkStart w:id="574" w:name="Tc_KDO97CWGbE2jRy6B2HRcXQ_5_4"/>
      <w:bookmarkStart w:id="575" w:name="Tc_6B0NQyoOzkWjF1DOFuyHoQ_5_0"/>
      <w:bookmarkStart w:id="576" w:name="Tc_wG2metEt1ESrArk96LnHGg_4_16"/>
      <w:bookmarkStart w:id="577" w:name="Tc_4CFbjz-2h0OIQFW6lz8RFQ_4_13"/>
      <w:bookmarkStart w:id="578" w:name="Tc_so-qXKcbGEinqFA1mE5vEg_4_10"/>
      <w:bookmarkStart w:id="579" w:name="Tc_9VT4HU0xU02toHRD0IwnMg_4_7"/>
      <w:bookmarkStart w:id="580" w:name="Tc_POMAFMfHO0WwQbfpBOatvg_4_4"/>
      <w:bookmarkStart w:id="581" w:name="Tc_7xJQSRQpIUOY2v1QdDDo_w_4_2"/>
      <w:bookmarkStart w:id="582" w:name="Tc_1TIooyqgfUOB1aWYQPzpCA_3_16"/>
      <w:bookmarkStart w:id="583" w:name="Tc_iA3bGwa7lkCS6d6gl89kZA_3_13"/>
      <w:bookmarkStart w:id="584" w:name="Tc_vIW4g-L4kUGYn2iavdvNkg_3_10"/>
      <w:bookmarkStart w:id="585" w:name="Tc_0NCfrQrcjU6JiELleOGoJA_3_7"/>
      <w:bookmarkStart w:id="586" w:name="Tc_qvJKgUUCZ0W7w2QU7bIaeA_3_2"/>
      <w:bookmarkStart w:id="587" w:name="Tc_AhfTei-PUUa-SfIHo94_eQ_2_16"/>
      <w:bookmarkStart w:id="588" w:name="Tc_gCqKP0gnAUCASIjDuHpd1w_2_10"/>
      <w:bookmarkStart w:id="589" w:name="Tc_7-Gu6TUzgUaLe-VUgtyPCg_2_7"/>
      <w:bookmarkStart w:id="590" w:name="Tc_qfvhJ2o3-UqHcnWnqKMvZQ_1_10"/>
      <w:bookmarkStart w:id="591" w:name="_912c3776_8561_493c_9f75_46bf45b2819d"/>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tbl>
      <w:tblPr>
        <w:tblW w:w="4007" w:type="dxa"/>
        <w:jc w:val="left"/>
        <w:tblInd w:w="0" w:type="dxa"/>
        <w:tblLayout w:type="fixed"/>
        <w:tblCellMar>
          <w:top w:w="0" w:type="dxa"/>
          <w:left w:w="0" w:type="dxa"/>
          <w:bottom w:w="0" w:type="dxa"/>
          <w:right w:w="0" w:type="dxa"/>
        </w:tblCellMar>
      </w:tblPr>
      <w:tblGrid>
        <w:gridCol w:w="346"/>
        <w:gridCol w:w="366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6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Changes in Stockholders’ Equity (Deficit) </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Nine Months Ended September 30, 2023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0"/>
        <w:gridCol w:w="326"/>
        <w:gridCol w:w="781"/>
        <w:gridCol w:w="326"/>
        <w:gridCol w:w="335"/>
        <w:gridCol w:w="356"/>
        <w:gridCol w:w="326"/>
        <w:gridCol w:w="326"/>
        <w:gridCol w:w="781"/>
        <w:gridCol w:w="326"/>
        <w:gridCol w:w="460"/>
        <w:gridCol w:w="756"/>
        <w:gridCol w:w="326"/>
        <w:gridCol w:w="211"/>
        <w:gridCol w:w="850"/>
        <w:gridCol w:w="326"/>
        <w:gridCol w:w="328"/>
        <w:gridCol w:w="905"/>
      </w:tblGrid>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2725" cy="175260"/>
                      <wp:effectExtent l="0" t="0" r="0" b="0"/>
                      <wp:wrapNone/>
                      <wp:docPr id="67" name="Frame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6060" cy="175260"/>
                      <wp:effectExtent l="0" t="0" r="0" b="0"/>
                      <wp:wrapNone/>
                      <wp:docPr id="68" name="Frame6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2100" cy="175260"/>
                      <wp:effectExtent l="0" t="0" r="0" b="0"/>
                      <wp:wrapNone/>
                      <wp:docPr id="73" name="Frame73"/>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80060" cy="175260"/>
                      <wp:effectExtent l="0" t="0" r="0" b="0"/>
                      <wp:wrapNone/>
                      <wp:docPr id="74" name="Frame74"/>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39750" cy="175260"/>
                      <wp:effectExtent l="0" t="0" r="0" b="0"/>
                      <wp:wrapNone/>
                      <wp:docPr id="77" name="Frame77"/>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8280" cy="175260"/>
                      <wp:effectExtent l="0" t="0" r="0" b="0"/>
                      <wp:wrapNone/>
                      <wp:docPr id="79" name="Frame7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4675" cy="175260"/>
                      <wp:effectExtent l="0" t="0" r="0" b="0"/>
                      <wp:wrapNone/>
                      <wp:docPr id="80" name="Frame80"/>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pPr>
            <w:r>
              <w:rPr/>
              <w:t>​</w:t>
            </w:r>
          </w:p>
        </w:tc>
      </w:tr>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132,401</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437,320</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(318,972)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118,362</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through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12,702</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12,703</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w:t>
            </w:r>
          </w:p>
        </w:tc>
        <w:tc>
          <w:tcPr>
            <w:tcW w:w="32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translation gain</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26" w:type="dxa"/>
            <w:tcBorders/>
            <w:shd w:fill="CCEEFF" w:val="clear"/>
            <w:vAlign w:val="center"/>
          </w:tcPr>
          <w:p>
            <w:pPr>
              <w:pStyle w:val="TableContents"/>
              <w:bidi w:val="0"/>
              <w:spacing w:before="0" w:after="0"/>
              <w:ind w:left="0" w:right="0" w:hanging="0"/>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September 30, 2023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140,181</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453,790</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(341,187)</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112,691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592" w:name="Tc_4JEhDz4O0UeZPjt_hqyjVg_15_16"/>
      <w:bookmarkStart w:id="593" w:name="Tc_HmXdFLMME06UWot4vZfZ3w_15_13"/>
      <w:bookmarkStart w:id="594" w:name="Tc_f-VJuv_Uk0eQJkPcKd4tAQ_15_10"/>
      <w:bookmarkStart w:id="595" w:name="Tc_jS6GkiLub0-bLhR419jJ8g_15_7"/>
      <w:bookmarkStart w:id="596" w:name="Tc_n0dCIzLfpUW9mfz32o26-g_15_4"/>
      <w:bookmarkStart w:id="597" w:name="Tc_1gAigCH0YEmQtRZDOkCE-A_15_0"/>
      <w:bookmarkStart w:id="598" w:name="Tc_y-aKNe2ZBUOmYkYz4xLYDg_14_11"/>
      <w:bookmarkStart w:id="599" w:name="Tc_C6YYpBskWkScCqDFRkyyEA_14_8"/>
      <w:bookmarkStart w:id="600" w:name="Tc_du2f1uclw0SZCFDr6KnWuA_14_5"/>
      <w:bookmarkStart w:id="601" w:name="Tc_1jZcrHpAiEyjXCxrWtBs9A_14_2"/>
      <w:bookmarkStart w:id="602" w:name="Tc_XAopYklLDkimrRCf9WLvVQ_14_0"/>
      <w:bookmarkStart w:id="603" w:name="Tc_4UR75OqG2kenHT6zVHZ4sg_13_14"/>
      <w:bookmarkStart w:id="604" w:name="Tc_qGcK94bUBkqZsZ0-KPys7Q_13_8"/>
      <w:bookmarkStart w:id="605" w:name="Tc_g9YO5MHGC0-y_9IyeL7C8g_13_5"/>
      <w:bookmarkStart w:id="606" w:name="Tc_V7hHFkOzSUGeM2T1ga4-Kw_13_2"/>
      <w:bookmarkStart w:id="607" w:name="Tc_m6wHkpnZ1kCqmbaHkJmxTQ_13_0"/>
      <w:bookmarkStart w:id="608" w:name="Tc_-pJZdLXVCkmHI8zyAiGsew_12_14"/>
      <w:bookmarkStart w:id="609" w:name="Tc_H45dbNwm-ESeqlqMkG8S7w_12_8"/>
      <w:bookmarkStart w:id="610" w:name="Tc_V7pTg_7_q02mqSHWFir5-g_12_5"/>
      <w:bookmarkStart w:id="611" w:name="Tc_G_HBX8BKmki_M-cpoBWatg_12_2"/>
      <w:bookmarkStart w:id="612" w:name="Tc_6UlXjNqog0mQzjSM7skqLQ_12_0"/>
      <w:bookmarkStart w:id="613" w:name="Tc_p-P1A4rwBEKVgAb0T1duEw_11_14"/>
      <w:bookmarkStart w:id="614" w:name="Tc_WA_7JbbpwEycG8v9YshKtQ_11_11"/>
      <w:bookmarkStart w:id="615" w:name="Tc_x6BDB4KH3Um2MBI_2t5aDA_11_5"/>
      <w:bookmarkStart w:id="616" w:name="Tc_veYVqs_A30ecCFMH1FqBiQ_11_2"/>
      <w:bookmarkStart w:id="617" w:name="Tc_9bo3p2-pm061my4rlVdHkQ_11_0"/>
      <w:bookmarkStart w:id="618" w:name="Tc_POYp2gj2QkCsGbx4L5BPQQ_10_14"/>
      <w:bookmarkStart w:id="619" w:name="Tc_SGGeISNMtkGHbGZVdLHVyQ_10_11"/>
      <w:bookmarkStart w:id="620" w:name="Tc_VjaTZIYp90yjz-9BbaJXGA_10_5"/>
      <w:bookmarkStart w:id="621" w:name="Tc_M9xSRaIK-EOTHQkS0LFN_w_10_2"/>
      <w:bookmarkStart w:id="622" w:name="Tc_Zl13nyfAz0WVdw9v36y1sg_10_0"/>
      <w:bookmarkStart w:id="623" w:name="Tc_yHkR0k92FUuj7u-S6cT-vQ_9_14"/>
      <w:bookmarkStart w:id="624" w:name="Tc_ZjmTpclIzk6IleU_ZidVLQ_9_11"/>
      <w:bookmarkStart w:id="625" w:name="Tc_4ADffd-YeESDUMQnFPtWhg_9_0"/>
      <w:bookmarkStart w:id="626" w:name="Tc_hFTspt9Lw0aqqBQwxeVHzQ_8_17"/>
      <w:bookmarkStart w:id="627" w:name="Tc_gipPKYyRe021h26rehZlUw_8_14"/>
      <w:bookmarkStart w:id="628" w:name="Tc_NxpCfEG8lkquY7hbb877-A_8_11"/>
      <w:bookmarkStart w:id="629" w:name="Tc_ttRAqE7yZUei9TVpMNToDw_8_8"/>
      <w:bookmarkStart w:id="630" w:name="Tc_mu4YR7TgCk-3Ws0CWXMLuQ_8_5"/>
      <w:bookmarkStart w:id="631" w:name="Tc_tKxGuLhl2E-NalUPZp2j3A_8_0"/>
      <w:bookmarkStart w:id="632" w:name="Tc_PcSPMjudR0KtLSVYpVu6mg_7_14"/>
      <w:bookmarkStart w:id="633" w:name="Tc_FKEpoa1PxkOZzAJXJaih8g_7_11"/>
      <w:bookmarkStart w:id="634" w:name="Tc_8F0yYr_kgkOzkGO4g8bGuQ_7_5"/>
      <w:bookmarkStart w:id="635" w:name="Tc_vasGy8i3zEKQQL7yrph2JA_7_0"/>
      <w:bookmarkStart w:id="636" w:name="Tc_vRVavB8sD0O9Xpm8m5pu2A_6_14"/>
      <w:bookmarkStart w:id="637" w:name="Tc_pHzxGWrlyEy7BnBszH9ylA_6_11"/>
      <w:bookmarkStart w:id="638" w:name="Tc_GFG3jfyNEEy3-Lsj54DqjQ_6_5"/>
      <w:bookmarkStart w:id="639" w:name="Tc_M4H49QFSFEeThTAKphf1hQ_6_0"/>
      <w:bookmarkStart w:id="640" w:name="Tc_T65W_PgQjUeqHQ_n7xECmA_5_16"/>
      <w:bookmarkStart w:id="641" w:name="Tc_aN1FTHIP5UqtiXNbiRcSzA_5_13"/>
      <w:bookmarkStart w:id="642" w:name="Tc_n7jbAca9PkayoGh3N7nneg_5_10"/>
      <w:bookmarkStart w:id="643" w:name="Tc_7ZmWCKzLgkikwdxw28JvOg_5_7"/>
      <w:bookmarkStart w:id="644" w:name="Tc_c_iqRE8-xkuS1Yzmu3DbTg_5_4"/>
      <w:bookmarkStart w:id="645" w:name="Tc_3xhzS1XLjkqiro4MsEg9Ng_5_0"/>
      <w:bookmarkStart w:id="646" w:name="Tc_8vCuwisDvUaGIxnZnK5NAA_4_16"/>
      <w:bookmarkStart w:id="647" w:name="Tc_SE7Limhi5Eiayo_sESHFBA_4_13"/>
      <w:bookmarkStart w:id="648" w:name="Tc_Y_lBrb6wAkOcNrD1vq1UWA_4_10"/>
      <w:bookmarkStart w:id="649" w:name="Tc_7mPaofz_B0-BZwEn4MiIcA_4_7"/>
      <w:bookmarkStart w:id="650" w:name="Tc_mXqdQoOdVkGatKDP_kTJYg_4_4"/>
      <w:bookmarkStart w:id="651" w:name="Tc_sJOvgnCn-0GIlauOcO8bhw_4_2"/>
      <w:bookmarkStart w:id="652" w:name="Tc_0vim9erFk0-NQE9G1WJKDA_3_16"/>
      <w:bookmarkStart w:id="653" w:name="Tc_nPL7l3XHYkigIaqurgFT_A_3_13"/>
      <w:bookmarkStart w:id="654" w:name="Tc_qq-STXscokmyWATmwhjrjA_3_10"/>
      <w:bookmarkStart w:id="655" w:name="Tc_wmb0KvMl-Umk8X4W2mnvRA_3_7"/>
      <w:bookmarkStart w:id="656" w:name="Tc_GjEp39ZY-UKq8KML1wKRgg_3_2"/>
      <w:bookmarkStart w:id="657" w:name="Tc_qDP1RDG3R0GBAQDQnnY7hQ_2_16"/>
      <w:bookmarkStart w:id="658" w:name="Tc_L_sLaps0DkGRVCmsUu7U-A_2_10"/>
      <w:bookmarkStart w:id="659" w:name="Tc_x-IwipwxY0WO6uHpeIVEKQ_2_7"/>
      <w:bookmarkStart w:id="660" w:name="Tc_b5jevImgfUWFJhYwiwHKZw_1_10"/>
      <w:bookmarkStart w:id="661" w:name="_0919634a_e378_466a_be74_fa92620bd45c"/>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t>​</w:t>
      </w:r>
    </w:p>
    <w:tbl>
      <w:tblPr>
        <w:tblW w:w="10205" w:type="dxa"/>
        <w:jc w:val="left"/>
        <w:tblInd w:w="0" w:type="dxa"/>
        <w:tblLayout w:type="fixed"/>
        <w:tblCellMar>
          <w:top w:w="0" w:type="dxa"/>
          <w:left w:w="0" w:type="dxa"/>
          <w:bottom w:w="0" w:type="dxa"/>
          <w:right w:w="0" w:type="dxa"/>
        </w:tblCellMar>
      </w:tblPr>
      <w:tblGrid>
        <w:gridCol w:w="2160"/>
        <w:gridCol w:w="326"/>
        <w:gridCol w:w="781"/>
        <w:gridCol w:w="326"/>
        <w:gridCol w:w="335"/>
        <w:gridCol w:w="356"/>
        <w:gridCol w:w="326"/>
        <w:gridCol w:w="326"/>
        <w:gridCol w:w="781"/>
        <w:gridCol w:w="326"/>
        <w:gridCol w:w="370"/>
        <w:gridCol w:w="846"/>
        <w:gridCol w:w="326"/>
        <w:gridCol w:w="211"/>
        <w:gridCol w:w="850"/>
        <w:gridCol w:w="326"/>
        <w:gridCol w:w="328"/>
        <w:gridCol w:w="905"/>
      </w:tblGrid>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2725" cy="175260"/>
                      <wp:effectExtent l="0" t="0" r="0" b="0"/>
                      <wp:wrapNone/>
                      <wp:docPr id="84" name="Frame8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6060" cy="175260"/>
                      <wp:effectExtent l="0" t="0" r="0" b="0"/>
                      <wp:wrapNone/>
                      <wp:docPr id="85" name="Frame8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34950" cy="175260"/>
                      <wp:effectExtent l="0" t="0" r="0" b="0"/>
                      <wp:wrapNone/>
                      <wp:docPr id="90" name="Frame9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37210" cy="175260"/>
                      <wp:effectExtent l="0" t="0" r="0" b="0"/>
                      <wp:wrapNone/>
                      <wp:docPr id="91" name="Frame9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9750" cy="175260"/>
                      <wp:effectExtent l="0" t="0" r="0" b="0"/>
                      <wp:wrapNone/>
                      <wp:docPr id="94" name="Frame94"/>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8280" cy="175260"/>
                      <wp:effectExtent l="0" t="0" r="0" b="0"/>
                      <wp:wrapNone/>
                      <wp:docPr id="96" name="Frame9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4675" cy="175260"/>
                      <wp:effectExtent l="0" t="0" r="0" b="0"/>
                      <wp:wrapNone/>
                      <wp:docPr id="97" name="Frame97"/>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pPr>
            <w:r>
              <w:rPr/>
              <w:t>​</w:t>
            </w:r>
          </w:p>
        </w:tc>
      </w:tr>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125,257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429,025</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(278,652)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150,224</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through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15,049</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15,051</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2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c>
          <w:tcPr>
            <w:tcW w:w="326" w:type="dxa"/>
            <w:tcBorders/>
            <w:vAlign w:val="center"/>
          </w:tcPr>
          <w:p>
            <w:pPr>
              <w:pStyle w:val="TableContents"/>
              <w:bidi w:val="0"/>
              <w:spacing w:before="0" w:after="0"/>
              <w:ind w:left="0" w:right="0" w:hanging="0"/>
              <w:jc w:val="left"/>
              <w:rPr/>
            </w:pPr>
            <w:r>
              <w:rPr/>
              <w:t> </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r>
      <w:tr>
        <w:trPr/>
        <w:tc>
          <w:tcPr>
            <w:tcW w:w="216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140,181</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453,790</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(341,187)</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112,691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62" w:name="Tc_ORZyKlbt5km2hOQ0XyAcog_15_16"/>
      <w:bookmarkStart w:id="663" w:name="Tc_hCMGpQJXskGwYoyQZGjG1A_15_13"/>
      <w:bookmarkStart w:id="664" w:name="Tc_3iFkAmwUgUGPYczftbu2ag_15_10"/>
      <w:bookmarkStart w:id="665" w:name="Tc_YgbPWIGvJ0KkmPQ6xpXSqg_15_7"/>
      <w:bookmarkStart w:id="666" w:name="Tc_-QeWEAQTA02L1Z-7_wCKMQ_15_4"/>
      <w:bookmarkStart w:id="667" w:name="Tc_9I4VwuBm0ES-AKiJRwWAFQ_15_0"/>
      <w:bookmarkStart w:id="668" w:name="Tc_3x-BMD2ILkeIRm7ppzDLjg_14_11"/>
      <w:bookmarkStart w:id="669" w:name="Tc_aOUEg69nekGM2kcd3aVKeA_14_8"/>
      <w:bookmarkStart w:id="670" w:name="Tc_g7uJPUxu1USQ8fK4aSIAlg_14_5"/>
      <w:bookmarkStart w:id="671" w:name="Tc_6rKNev0lwk28elPqdGdHWA_14_2"/>
      <w:bookmarkStart w:id="672" w:name="Tc_riXABl26T0iC9-4oCPF2kQ_14_0"/>
      <w:bookmarkStart w:id="673" w:name="Tc_0icF1-Rxm0uJpm7ybcQhHQ_13_14"/>
      <w:bookmarkStart w:id="674" w:name="Tc_2XFa5Sk3tka8JBw3i20nVA_13_8"/>
      <w:bookmarkStart w:id="675" w:name="Tc_01XzaMTmPkWqTf-1GXGPYw_13_5"/>
      <w:bookmarkStart w:id="676" w:name="Tc_H2nqD9DSXEWqZbz7hf8ioA_13_2"/>
      <w:bookmarkStart w:id="677" w:name="Tc_QnQjmsx2tUSqALPuMFNsjg_13_0"/>
      <w:bookmarkStart w:id="678" w:name="Tc_q1r1i00oXE6zabc1_eAEhg_12_14"/>
      <w:bookmarkStart w:id="679" w:name="Tc_V7qrqAD1TkWA8G_ETZFzBg_12_8"/>
      <w:bookmarkStart w:id="680" w:name="Tc_agR99YhhaUKiWQi9OwajMQ_12_5"/>
      <w:bookmarkStart w:id="681" w:name="Tc_p9nw8Fy7p0ekJ-PwwBZKfA_12_2"/>
      <w:bookmarkStart w:id="682" w:name="Tc_TEUzmDryAU6A9RBqZDIilA_12_0"/>
      <w:bookmarkStart w:id="683" w:name="Tc_p4dNBH3Dc0WxyW80KgTbew_11_14"/>
      <w:bookmarkStart w:id="684" w:name="Tc_uZS3YMHjwEud3i4DCfcIcA_11_11"/>
      <w:bookmarkStart w:id="685" w:name="Tc_P9ayleDKXk-msxow3DKyHg_11_5"/>
      <w:bookmarkStart w:id="686" w:name="Tc_USLiO15VlEGilvAAWfC9vQ_11_2"/>
      <w:bookmarkStart w:id="687" w:name="Tc_CgO7dHluKU-cO6k2pyAaRQ_11_0"/>
      <w:bookmarkStart w:id="688" w:name="Tc_IBo2AvI3bUqnsTaEgT8FrQ_10_14"/>
      <w:bookmarkStart w:id="689" w:name="Tc_4atjisYS5U6Xg38uR_FpMg_10_11"/>
      <w:bookmarkStart w:id="690" w:name="Tc_harWiknSc0Kjk89K4GbOjA_10_5"/>
      <w:bookmarkStart w:id="691" w:name="Tc_XVkqhrp5jUG32RmRLMEoHw_10_2"/>
      <w:bookmarkStart w:id="692" w:name="Tc_kTGi2kpdIkaqQRVOGVIBxA_10_0"/>
      <w:bookmarkStart w:id="693" w:name="Tc_r5wzqzjOe0ixUI4DToqa8Q_9_8"/>
      <w:bookmarkStart w:id="694" w:name="Tc_26NKMEEryEyof_otkkTuBg_9_0"/>
      <w:bookmarkStart w:id="695" w:name="Tc_xNIDap6ivUybCoKq2kHIAA_8_17"/>
      <w:bookmarkStart w:id="696" w:name="Tc_ZC5u-vxB_0KULb5YkUvUcg_8_14"/>
      <w:bookmarkStart w:id="697" w:name="Tc_Y7pBfQzMF0WWHe0Xe4HsYQ_8_11"/>
      <w:bookmarkStart w:id="698" w:name="Tc_3IanFs9-pEi39JYjstYYdw_8_8"/>
      <w:bookmarkStart w:id="699" w:name="Tc_QufEQXsFekWo_2n3-S01tA_8_5"/>
      <w:bookmarkStart w:id="700" w:name="Tc_MEFgaTRzrkG2ssOSHdmxfw_8_0"/>
      <w:bookmarkStart w:id="701" w:name="Tc_hZ2I5oyoMkGBxwKhBgI77Q_7_14"/>
      <w:bookmarkStart w:id="702" w:name="Tc_2XTQGlHZ8kuCMM_nQ_SWFA_7_11"/>
      <w:bookmarkStart w:id="703" w:name="Tc_lVoCG3bAHkSAkuDvXPUDNw_7_5"/>
      <w:bookmarkStart w:id="704" w:name="Tc_HNy-9B-a0k6txB3fMAnSGw_7_0"/>
      <w:bookmarkStart w:id="705" w:name="Tc_AasY1-iXJ0-X2orqc90KRQ_6_14"/>
      <w:bookmarkStart w:id="706" w:name="Tc_zzvDTvtMzk-JpkSmaeF19g_6_11"/>
      <w:bookmarkStart w:id="707" w:name="Tc_m0HYKn_KVEWHpHkp7AtSHg_6_0"/>
      <w:bookmarkStart w:id="708" w:name="Tc_ylrQzVjfmkSZsyWgr1sihQ_5_16"/>
      <w:bookmarkStart w:id="709" w:name="Tc_bZz8FEXQSU26q_VazZxqhg_5_13"/>
      <w:bookmarkStart w:id="710" w:name="Tc_M-IY9BJjLUqjh0ZYwFX1CQ_5_10"/>
      <w:bookmarkStart w:id="711" w:name="Tc_f-jG6H9C20OSdCkLQ6n-1g_5_7"/>
      <w:bookmarkStart w:id="712" w:name="Tc_kwsMt8CdOU2BSXbk3DerTg_5_4"/>
      <w:bookmarkStart w:id="713" w:name="Tc_xaTmzUSN80WyYBDxcRcsgg_5_0"/>
      <w:bookmarkStart w:id="714" w:name="Tc_XnL80T1ACEyZaIBlPkyqaw_4_16"/>
      <w:bookmarkStart w:id="715" w:name="Tc_sr-LEq8hgkSKyZoWbkrcYg_4_13"/>
      <w:bookmarkStart w:id="716" w:name="Tc_cQid6YJTRkGvUL9ynD377w_4_10"/>
      <w:bookmarkStart w:id="717" w:name="Tc_lK-MKAI-L0SLKuw7c_XCGw_4_7"/>
      <w:bookmarkStart w:id="718" w:name="Tc_L9qZBPef6kWghezjvnuLFQ_4_4"/>
      <w:bookmarkStart w:id="719" w:name="Tc_OxQz_CpwGkaEBH_pkM9tPQ_4_2"/>
      <w:bookmarkStart w:id="720" w:name="Tc_gNNziNx4RkKyVD9KS7A2Wg_3_16"/>
      <w:bookmarkStart w:id="721" w:name="Tc_fc98rEicEkCXGuegCgWGtg_3_13"/>
      <w:bookmarkStart w:id="722" w:name="Tc_hVUvs9kKn064kgqzUTI0jA_3_10"/>
      <w:bookmarkStart w:id="723" w:name="Tc_-wVcFGxd7kuwgy08RglgrA_3_7"/>
      <w:bookmarkStart w:id="724" w:name="Tc_i_L5ZgpStkeso8tXBmA7HA_3_2"/>
      <w:bookmarkStart w:id="725" w:name="Tc_u1mdoNKLxEibQLr2Q9vVJw_2_16"/>
      <w:bookmarkStart w:id="726" w:name="Tc_kT-3RoRfkkWPQVF6qTsNSg_2_10"/>
      <w:bookmarkStart w:id="727" w:name="Tc_nyUl7a6XuUq4PAKBvItW4A_2_7"/>
      <w:bookmarkStart w:id="728" w:name="Tc_oogOxg2iyEefpz6bWST4rg_1_10"/>
      <w:bookmarkStart w:id="729" w:name="_f336b59f_50c8_4c33_a943_65e678648670"/>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Pr>
          <w:rFonts w:ascii="Times New Roman;Times;serif" w:hAnsi="Times New Roman;Times;serif"/>
          <w:b/>
          <w:sz w:val="20"/>
        </w:rPr>
        <w:t>Three and Nine Months Ended September 30, 2022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5"/>
        <w:gridCol w:w="326"/>
        <w:gridCol w:w="781"/>
        <w:gridCol w:w="326"/>
        <w:gridCol w:w="335"/>
        <w:gridCol w:w="356"/>
        <w:gridCol w:w="326"/>
        <w:gridCol w:w="326"/>
        <w:gridCol w:w="781"/>
        <w:gridCol w:w="326"/>
        <w:gridCol w:w="370"/>
        <w:gridCol w:w="846"/>
        <w:gridCol w:w="326"/>
        <w:gridCol w:w="211"/>
        <w:gridCol w:w="847"/>
        <w:gridCol w:w="326"/>
        <w:gridCol w:w="327"/>
        <w:gridCol w:w="904"/>
      </w:tblGrid>
      <w:tr>
        <w:trPr/>
        <w:tc>
          <w:tcPr>
            <w:tcW w:w="21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2725" cy="175260"/>
                      <wp:effectExtent l="0" t="0" r="0" b="0"/>
                      <wp:wrapNone/>
                      <wp:docPr id="101" name="Frame10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6060" cy="175260"/>
                      <wp:effectExtent l="0" t="0" r="0" b="0"/>
                      <wp:wrapNone/>
                      <wp:docPr id="102" name="Frame10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34950" cy="175260"/>
                      <wp:effectExtent l="0" t="0" r="0" b="0"/>
                      <wp:wrapNone/>
                      <wp:docPr id="107" name="Frame10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37210" cy="175260"/>
                      <wp:effectExtent l="0" t="0" r="0" b="0"/>
                      <wp:wrapNone/>
                      <wp:docPr id="108" name="Frame10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7845" cy="175260"/>
                      <wp:effectExtent l="0" t="0" r="0" b="0"/>
                      <wp:wrapNone/>
                      <wp:docPr id="111" name="Frame111"/>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645" cy="175260"/>
                      <wp:effectExtent l="0" t="0" r="0" b="0"/>
                      <wp:wrapNone/>
                      <wp:docPr id="113" name="Frame11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4040" cy="175260"/>
                      <wp:effectExtent l="0" t="0" r="0" b="0"/>
                      <wp:wrapNone/>
                      <wp:docPr id="114" name="Frame114"/>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7"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center"/>
              <w:rPr/>
            </w:pPr>
            <w:r>
              <w:rPr/>
              <w:t>​</w:t>
            </w:r>
          </w:p>
        </w:tc>
      </w:tr>
      <w:tr>
        <w:trPr/>
        <w:tc>
          <w:tcPr>
            <w:tcW w:w="21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1"/>
              <w:ind w:left="0" w:right="0" w:hanging="0"/>
              <w:jc w:val="left"/>
              <w:rPr/>
            </w:pPr>
            <w:r>
              <w:rPr/>
              <w:t>​</w:t>
            </w:r>
          </w:p>
        </w:tc>
        <w:tc>
          <w:tcPr>
            <w:tcW w:w="10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117,103</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407,015</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(237,025)</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170,100</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pursuant to the Common Stock Purchase Agreement - B.Riley</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15,121</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15,121</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(18,755)</w:t>
            </w:r>
          </w:p>
        </w:tc>
        <w:tc>
          <w:tcPr>
            <w:tcW w:w="326" w:type="dxa"/>
            <w:tcBorders/>
            <w:vAlign w:val="center"/>
          </w:tcPr>
          <w:p>
            <w:pPr>
              <w:pStyle w:val="TableContents"/>
              <w:bidi w:val="0"/>
              <w:spacing w:before="0" w:after="1"/>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(18,755)</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September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122,740</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422,200</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(255,780)</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165,905</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30" w:name="Tc_ZpkhM9osB0yK8gSI3qheJQ_19_21"/>
      <w:bookmarkStart w:id="731" w:name="Tc_2-bHxPbsJkG7LMx2DKML6g_19_18"/>
      <w:bookmarkStart w:id="732" w:name="Tc_Wydc9ZkVY0WrEe47BiNuvw_19_15"/>
      <w:bookmarkStart w:id="733" w:name="Tc_cnflYcGK2kSiaSoYFQOTTw_19_12"/>
      <w:bookmarkStart w:id="734" w:name="Tc_5VDlt00Wy0uJ4Qma3qkdTg_19_9"/>
      <w:bookmarkStart w:id="735" w:name="Tc_Rm9fjx0jrUq0nd4RoVkSIw_19_5"/>
      <w:bookmarkStart w:id="736" w:name="Tc_G1qegiUzpE2CpBXoBbXLPQ_19_4"/>
      <w:bookmarkStart w:id="737" w:name="Tc_RC1yTej5B0uLW5LjZZLlBg_19_2"/>
      <w:bookmarkStart w:id="738" w:name="Tc_vicHczRmrEeLukNFnGnVrQ_19_0"/>
      <w:bookmarkStart w:id="739" w:name="Tc_mmYrs1SNR0W-el8XRW138A_18_16"/>
      <w:bookmarkStart w:id="740" w:name="Tc_mDQ8XAC0q0OhhnHf_e-_EA_18_13"/>
      <w:bookmarkStart w:id="741" w:name="Tc_SaoNuWYDlUSSKdk0JB9alQ_18_10"/>
      <w:bookmarkStart w:id="742" w:name="Tc_u0jkOxk0O0ecrzJsJQIrlA_18_7"/>
      <w:bookmarkStart w:id="743" w:name="Tc_iWiAEFxR-k6r5WJ0nvwvKg_18_5"/>
      <w:bookmarkStart w:id="744" w:name="Tc_hlB__dXvkkyzrJ-2ebE6-w_18_2"/>
      <w:bookmarkStart w:id="745" w:name="Tc_rBsto9onmkOPJQeTGTT4gw_18_0"/>
      <w:bookmarkStart w:id="746" w:name="Tc_zo8J0qwNfE66n2DpuMaBoA_17_19"/>
      <w:bookmarkStart w:id="747" w:name="Tc_-kNLOHHLOEK_05dL4mrffw_17_13"/>
      <w:bookmarkStart w:id="748" w:name="Tc_97pnWLTcd0yHdtNkUyhVgQ_17_10"/>
      <w:bookmarkStart w:id="749" w:name="Tc_ieG6I91Vj0C3b5-qMeus2g_17_7"/>
      <w:bookmarkStart w:id="750" w:name="Tc_8AiukRbz0U2f9ApNterRuA_17_5"/>
      <w:bookmarkStart w:id="751" w:name="Tc_g3WMK9bkq0u4NW5qgrYFeA_17_2"/>
      <w:bookmarkStart w:id="752" w:name="Tc_7ikaz0JW9kaLGPLQjexkUQ_17_0"/>
      <w:bookmarkStart w:id="753" w:name="Tc_vvk88gu8E0aOILZvFTgzrA_16_19"/>
      <w:bookmarkStart w:id="754" w:name="Tc_dmsNANez5kmlzOTOmjouBA_16_13"/>
      <w:bookmarkStart w:id="755" w:name="Tc_bHGeyfh1ak2om7ORYbSKvg_16_10"/>
      <w:bookmarkStart w:id="756" w:name="Tc_pd-6lOlnAUuYZl6AGotAHw_16_7"/>
      <w:bookmarkStart w:id="757" w:name="Tc_wQdQTFjrJ0-tPKa_ymmb3A_16_5"/>
      <w:bookmarkStart w:id="758" w:name="Tc_1cKFfHFbP0yh5bKKofGmEQ_16_2"/>
      <w:bookmarkStart w:id="759" w:name="Tc_L3n4Z92CqkCrHlSN-_uVCA_16_0"/>
      <w:bookmarkStart w:id="760" w:name="Tc_NgLy8bxrLU-V2FjBcYT15Q_15_19"/>
      <w:bookmarkStart w:id="761" w:name="Tc_CkkwLEgnq0eso6KUEDQCaw_15_16"/>
      <w:bookmarkStart w:id="762" w:name="Tc_k1O51FkxykCepfeCorSGRQ_15_10"/>
      <w:bookmarkStart w:id="763" w:name="Tc_jknqJ-C_L0C4QzkU0y82lg_15_7"/>
      <w:bookmarkStart w:id="764" w:name="Tc_VwZezafwRkiSH9QgQYPJMQ_15_5"/>
      <w:bookmarkStart w:id="765" w:name="Tc_hOQ_eifpF0yPeqd55NwYbg_15_2"/>
      <w:bookmarkStart w:id="766" w:name="Tc_OCfLc-vvfkiZpKhALHkPSA_15_0"/>
      <w:bookmarkStart w:id="767" w:name="Tc_Gnyq2lY73UC8V2Mq8M_KtQ_14_19"/>
      <w:bookmarkStart w:id="768" w:name="Tc__lxz-TbhQEiu6gedt0L-Sg_14_16"/>
      <w:bookmarkStart w:id="769" w:name="Tc_A-lTyGPx-US5jpKewbI8kw_14_10"/>
      <w:bookmarkStart w:id="770" w:name="Tc_xx4Q92BCsku8LwtTKHCTug_14_7"/>
      <w:bookmarkStart w:id="771" w:name="Tc_Hu5gfoFZdEqGXd1Sw7To7g_14_5"/>
      <w:bookmarkStart w:id="772" w:name="Tc_dHFGjJB8xkydOhssMu9q_g_14_2"/>
      <w:bookmarkStart w:id="773" w:name="Tc_cUO1m4Gbx0WKzkvdmNJa-w_14_0"/>
      <w:bookmarkStart w:id="774" w:name="Tc_AJ5ODTUlwUa-9_6a4rgiLA_13_19"/>
      <w:bookmarkStart w:id="775" w:name="Tc__ZpZ7_pSlUSiN76Z_OMykg_13_16"/>
      <w:bookmarkStart w:id="776" w:name="Tc_SXrgLweGY02PPHVEtfEEng_13_10"/>
      <w:bookmarkStart w:id="777" w:name="Tc_HmuOotNmoUyKy5MbhZd7Zg_13_7"/>
      <w:bookmarkStart w:id="778" w:name="Tc_yrgFjQaNf0CPnQSHIMByFg_13_5"/>
      <w:bookmarkStart w:id="779" w:name="Tc_xqj15E6-O06jA9ORCs41Hw_13_2"/>
      <w:bookmarkStart w:id="780" w:name="Tc_E3cQ_VJnBE-QT_UzCMjGLQ_13_0"/>
      <w:bookmarkStart w:id="781" w:name="Tc_NLhzGXCMEkyRslinyxaIuw_12_19"/>
      <w:bookmarkStart w:id="782" w:name="Tc_4omYfpZm9EK3ILqIKW6xLg_12_16"/>
      <w:bookmarkStart w:id="783" w:name="Tc_o_YY7XVarEqvXb4ajeD1SA_12_10"/>
      <w:bookmarkStart w:id="784" w:name="Tc_rpQsDF_z_0mxpenX5UBdsg_12_7"/>
      <w:bookmarkStart w:id="785" w:name="Tc_pwg4NBfvzU-1C9QnDYuynw_12_5"/>
      <w:bookmarkStart w:id="786" w:name="Tc_HXBcPqw5YkGCYs98yT2rZg_12_2"/>
      <w:bookmarkStart w:id="787" w:name="Tc_bIL0YI1xVUiRT0ZjSQAUgQ_12_0"/>
      <w:bookmarkStart w:id="788" w:name="Tc_rfxuU-CifUOZxodKEq4Jxg_11_22"/>
      <w:bookmarkStart w:id="789" w:name="Tc_UQTo6I03-06J2UR4VWQDfA_11_19"/>
      <w:bookmarkStart w:id="790" w:name="Tc_JeyXA9m8BEuyYakj0EyeYg_11_16"/>
      <w:bookmarkStart w:id="791" w:name="Tc_QGTAcfr_8k-sxWXudDLrFQ_11_13"/>
      <w:bookmarkStart w:id="792" w:name="Tc_lh24hhZHXUOriMqHiHXWdQ_11_10"/>
      <w:bookmarkStart w:id="793" w:name="Tc_aleEQGRfKE6EQeBo7t8Obg_11_5"/>
      <w:bookmarkStart w:id="794" w:name="Tc_CE26UeflVUKdRxfRQAGFxQ_11_2"/>
      <w:bookmarkStart w:id="795" w:name="Tc_-gO5lMbCFE67OQhaNlJh1w_11_0"/>
      <w:bookmarkStart w:id="796" w:name="Tc_vY0P3ra4cEmObVlFDn9KYQ_10_22"/>
      <w:bookmarkStart w:id="797" w:name="Tc_UMty5SkeY0W7tWJ5SnHn1A_10_19"/>
      <w:bookmarkStart w:id="798" w:name="Tc_HxOL3weQ4k61CbR6LSkz3Q_10_16"/>
      <w:bookmarkStart w:id="799" w:name="Tc_yMW0haVHSUePxu-IvTQf0w_10_13"/>
      <w:bookmarkStart w:id="800" w:name="Tc_C7iAMzktnECENSIKbUE0xA_10_10"/>
      <w:bookmarkStart w:id="801" w:name="Tc_PjXksT1_x0i53nRfpNg6DQ_10_5"/>
      <w:bookmarkStart w:id="802" w:name="Tc_GVtON26a-UO4CJZxYyDiFg_10_2"/>
      <w:bookmarkStart w:id="803" w:name="Tc_uG8iC5i9bU2ijV2HXNGcNA_10_0"/>
      <w:bookmarkStart w:id="804" w:name="Tc_0GKNpLB3EEq1rZCO8BcubQ_9_19"/>
      <w:bookmarkStart w:id="805" w:name="Tc_lBSLWw87E0WBMWDX_GaT5A_9_16"/>
      <w:bookmarkStart w:id="806" w:name="Tc_r6x_gRul70OEQy6wHUspXQ_9_10"/>
      <w:bookmarkStart w:id="807" w:name="Tc_0T06F9p6IEe60G18AwAL3A_9_5"/>
      <w:bookmarkStart w:id="808" w:name="Tc_CrXdLNtve0aHobNaI84C9Q_9_2"/>
      <w:bookmarkStart w:id="809" w:name="Tc_WLZGzCPLY0aj6yOXLFvo1A_9_0"/>
      <w:bookmarkStart w:id="810" w:name="Tc_0WcUubAdd0-8tNvwWu-ugA_8_19"/>
      <w:bookmarkStart w:id="811" w:name="Tc_J8NtPEgCqEK87XO6W-OiLg_8_16"/>
      <w:bookmarkStart w:id="812" w:name="Tc_kLbw_myLEE29EQQOQhmYag_8_5"/>
      <w:bookmarkStart w:id="813" w:name="Tc_efHfv6a6Vkq9N9-rOp1raA_8_2"/>
      <w:bookmarkStart w:id="814" w:name="Tc_lsLuymD_C0qhYGe_EIvinQ_8_0"/>
      <w:bookmarkStart w:id="815" w:name="Tc_EH65HfDyzUa2ynppY_B2yw_7_19"/>
      <w:bookmarkStart w:id="816" w:name="Tc_9yYUrN1VrEqZvk2S7zbKnw_7_16"/>
      <w:bookmarkStart w:id="817" w:name="Tc_vGzCarXUuE2aC48nwqJCpA_7_5"/>
      <w:bookmarkStart w:id="818" w:name="Tc_8CkB2OCWM0WnGvtv3yhybg_7_2"/>
      <w:bookmarkStart w:id="819" w:name="Tc_SBChF33rh0mtegaS2ZK04A_7_0"/>
      <w:bookmarkStart w:id="820" w:name="Tc_Q-0m6a3SpECIbavogp8Y4A_6_19"/>
      <w:bookmarkStart w:id="821" w:name="Tc_13CG0n-l3UuJRQXKn_Z76w_6_16"/>
      <w:bookmarkStart w:id="822" w:name="Tc_gTLpd3eKHkWR-S3GIouQvA_6_0"/>
      <w:bookmarkStart w:id="823" w:name="Tc_68uffuNRUEGCwqdQwMvGSw_5_21"/>
      <w:bookmarkStart w:id="824" w:name="Tc_128U2AF14Ei6Zo6drz5jhg_5_18"/>
      <w:bookmarkStart w:id="825" w:name="Tc_FCBxykTfT0SDWFYvcN6kfg_5_15"/>
      <w:bookmarkStart w:id="826" w:name="Tc_2JQykPnqq0Sf-e76cWOC9g_5_12"/>
      <w:bookmarkStart w:id="827" w:name="Tc_-7CT8BZZrUS_BzYO37jF3Q_5_9"/>
      <w:bookmarkStart w:id="828" w:name="Tc_NnTIXiK7NE2edTWHfKSecw_5_4"/>
      <w:bookmarkStart w:id="829" w:name="Tc_A2b3BO3FnUKyef5PTgXFWA_5_0"/>
      <w:bookmarkStart w:id="830" w:name="Tc_WvMoyPy-wEycM6sHWmvPiA_4_21"/>
      <w:bookmarkStart w:id="831" w:name="Tc_mEeoypPAg02AG7wQXVrU9Q_4_18"/>
      <w:bookmarkStart w:id="832" w:name="Tc_tFjIqtaHr0mZgcv2r-K3iQ_4_15"/>
      <w:bookmarkStart w:id="833" w:name="Tc_AC77R1E7VEOC_mfGjXzArw_4_12"/>
      <w:bookmarkStart w:id="834" w:name="Tc_04L6u5h3WEyjlGhmtIkaOQ_4_9"/>
      <w:bookmarkStart w:id="835" w:name="Tc_r_bn-DI-L0iSKcqZG2YA2Q_4_7"/>
      <w:bookmarkStart w:id="836" w:name="Tc_j9rpoiw9xUSuONu3N9lPiw_4_4"/>
      <w:bookmarkStart w:id="837" w:name="Tc_j18kDy2b5US3rm0U7bxvfQ_4_2"/>
      <w:bookmarkStart w:id="838" w:name="Tc_bTRrMiBH_EKmT-YjtyKWpg_3_21"/>
      <w:bookmarkStart w:id="839" w:name="Tc_h8TMVRh8TkCZ8PmErZ_C2g_3_18"/>
      <w:bookmarkStart w:id="840" w:name="Tc_pB9YKWRDzEyYlEG2MVyxsQ_3_15"/>
      <w:bookmarkStart w:id="841" w:name="Tc_rzxEWT0x3UOY-Z1Vp2RIYA_3_12"/>
      <w:bookmarkStart w:id="842" w:name="Tc_CtTfv7znGkWcll3a4sE5HA_3_7"/>
      <w:bookmarkStart w:id="843" w:name="Tc_DUvmQlp6KU65GtrJgeRmrQ_3_2"/>
      <w:bookmarkStart w:id="844" w:name="Tc_eeEdkOaVOkGhXlAnemtWuA_2_21"/>
      <w:bookmarkStart w:id="845" w:name="Tc_wyXzG7nt5kKIirgrZj4GXw_2_15"/>
      <w:bookmarkStart w:id="846" w:name="Tc_CFtJfoqtQU-rmxLEXrLMUw_2_12"/>
      <w:bookmarkStart w:id="847" w:name="Tc_x_a-bPT7T0ytrGiwOwMFTQ_2_2"/>
      <w:bookmarkStart w:id="848" w:name="Tc_cqmSaaOcPESVLCAo7zKyRQ_1_15"/>
      <w:bookmarkStart w:id="849" w:name="_ca17f7fa_8b4f_48e4_89cf_bcb4b1c67fe0"/>
      <w:bookmarkStart w:id="850" w:name="Tc_ZpkhM9osB0yK8gSI3qheJQ_19_21"/>
      <w:bookmarkStart w:id="851" w:name="Tc_2-bHxPbsJkG7LMx2DKML6g_19_18"/>
      <w:bookmarkStart w:id="852" w:name="Tc_Wydc9ZkVY0WrEe47BiNuvw_19_15"/>
      <w:bookmarkStart w:id="853" w:name="Tc_cnflYcGK2kSiaSoYFQOTTw_19_12"/>
      <w:bookmarkStart w:id="854" w:name="Tc_5VDlt00Wy0uJ4Qma3qkdTg_19_9"/>
      <w:bookmarkStart w:id="855" w:name="Tc_Rm9fjx0jrUq0nd4RoVkSIw_19_5"/>
      <w:bookmarkStart w:id="856" w:name="Tc_G1qegiUzpE2CpBXoBbXLPQ_19_4"/>
      <w:bookmarkStart w:id="857" w:name="Tc_RC1yTej5B0uLW5LjZZLlBg_19_2"/>
      <w:bookmarkStart w:id="858" w:name="Tc_vicHczRmrEeLukNFnGnVrQ_19_0"/>
      <w:bookmarkStart w:id="859" w:name="Tc_mmYrs1SNR0W-el8XRW138A_18_16"/>
      <w:bookmarkStart w:id="860" w:name="Tc_mDQ8XAC0q0OhhnHf_e-_EA_18_13"/>
      <w:bookmarkStart w:id="861" w:name="Tc_SaoNuWYDlUSSKdk0JB9alQ_18_10"/>
      <w:bookmarkStart w:id="862" w:name="Tc_u0jkOxk0O0ecrzJsJQIrlA_18_7"/>
      <w:bookmarkStart w:id="863" w:name="Tc_iWiAEFxR-k6r5WJ0nvwvKg_18_5"/>
      <w:bookmarkStart w:id="864" w:name="Tc_hlB__dXvkkyzrJ-2ebE6-w_18_2"/>
      <w:bookmarkStart w:id="865" w:name="Tc_rBsto9onmkOPJQeTGTT4gw_18_0"/>
      <w:bookmarkStart w:id="866" w:name="Tc_zo8J0qwNfE66n2DpuMaBoA_17_19"/>
      <w:bookmarkStart w:id="867" w:name="Tc_-kNLOHHLOEK_05dL4mrffw_17_13"/>
      <w:bookmarkStart w:id="868" w:name="Tc_97pnWLTcd0yHdtNkUyhVgQ_17_10"/>
      <w:bookmarkStart w:id="869" w:name="Tc_ieG6I91Vj0C3b5-qMeus2g_17_7"/>
      <w:bookmarkStart w:id="870" w:name="Tc_8AiukRbz0U2f9ApNterRuA_17_5"/>
      <w:bookmarkStart w:id="871" w:name="Tc_g3WMK9bkq0u4NW5qgrYFeA_17_2"/>
      <w:bookmarkStart w:id="872" w:name="Tc_7ikaz0JW9kaLGPLQjexkUQ_17_0"/>
      <w:bookmarkStart w:id="873" w:name="Tc_vvk88gu8E0aOILZvFTgzrA_16_19"/>
      <w:bookmarkStart w:id="874" w:name="Tc_dmsNANez5kmlzOTOmjouBA_16_13"/>
      <w:bookmarkStart w:id="875" w:name="Tc_bHGeyfh1ak2om7ORYbSKvg_16_10"/>
      <w:bookmarkStart w:id="876" w:name="Tc_pd-6lOlnAUuYZl6AGotAHw_16_7"/>
      <w:bookmarkStart w:id="877" w:name="Tc_wQdQTFjrJ0-tPKa_ymmb3A_16_5"/>
      <w:bookmarkStart w:id="878" w:name="Tc_1cKFfHFbP0yh5bKKofGmEQ_16_2"/>
      <w:bookmarkStart w:id="879" w:name="Tc_L3n4Z92CqkCrHlSN-_uVCA_16_0"/>
      <w:bookmarkStart w:id="880" w:name="Tc_NgLy8bxrLU-V2FjBcYT15Q_15_19"/>
      <w:bookmarkStart w:id="881" w:name="Tc_CkkwLEgnq0eso6KUEDQCaw_15_16"/>
      <w:bookmarkStart w:id="882" w:name="Tc_k1O51FkxykCepfeCorSGRQ_15_10"/>
      <w:bookmarkStart w:id="883" w:name="Tc_jknqJ-C_L0C4QzkU0y82lg_15_7"/>
      <w:bookmarkStart w:id="884" w:name="Tc_VwZezafwRkiSH9QgQYPJMQ_15_5"/>
      <w:bookmarkStart w:id="885" w:name="Tc_hOQ_eifpF0yPeqd55NwYbg_15_2"/>
      <w:bookmarkStart w:id="886" w:name="Tc_OCfLc-vvfkiZpKhALHkPSA_15_0"/>
      <w:bookmarkStart w:id="887" w:name="Tc_Gnyq2lY73UC8V2Mq8M_KtQ_14_19"/>
      <w:bookmarkStart w:id="888" w:name="Tc__lxz-TbhQEiu6gedt0L-Sg_14_16"/>
      <w:bookmarkStart w:id="889" w:name="Tc_A-lTyGPx-US5jpKewbI8kw_14_10"/>
      <w:bookmarkStart w:id="890" w:name="Tc_xx4Q92BCsku8LwtTKHCTug_14_7"/>
      <w:bookmarkStart w:id="891" w:name="Tc_Hu5gfoFZdEqGXd1Sw7To7g_14_5"/>
      <w:bookmarkStart w:id="892" w:name="Tc_dHFGjJB8xkydOhssMu9q_g_14_2"/>
      <w:bookmarkStart w:id="893" w:name="Tc_cUO1m4Gbx0WKzkvdmNJa-w_14_0"/>
      <w:bookmarkStart w:id="894" w:name="Tc_AJ5ODTUlwUa-9_6a4rgiLA_13_19"/>
      <w:bookmarkStart w:id="895" w:name="Tc__ZpZ7_pSlUSiN76Z_OMykg_13_16"/>
      <w:bookmarkStart w:id="896" w:name="Tc_SXrgLweGY02PPHVEtfEEng_13_10"/>
      <w:bookmarkStart w:id="897" w:name="Tc_HmuOotNmoUyKy5MbhZd7Zg_13_7"/>
      <w:bookmarkStart w:id="898" w:name="Tc_yrgFjQaNf0CPnQSHIMByFg_13_5"/>
      <w:bookmarkStart w:id="899" w:name="Tc_xqj15E6-O06jA9ORCs41Hw_13_2"/>
      <w:bookmarkStart w:id="900" w:name="Tc_E3cQ_VJnBE-QT_UzCMjGLQ_13_0"/>
      <w:bookmarkStart w:id="901" w:name="Tc_NLhzGXCMEkyRslinyxaIuw_12_19"/>
      <w:bookmarkStart w:id="902" w:name="Tc_4omYfpZm9EK3ILqIKW6xLg_12_16"/>
      <w:bookmarkStart w:id="903" w:name="Tc_o_YY7XVarEqvXb4ajeD1SA_12_10"/>
      <w:bookmarkStart w:id="904" w:name="Tc_rpQsDF_z_0mxpenX5UBdsg_12_7"/>
      <w:bookmarkStart w:id="905" w:name="Tc_pwg4NBfvzU-1C9QnDYuynw_12_5"/>
      <w:bookmarkStart w:id="906" w:name="Tc_HXBcPqw5YkGCYs98yT2rZg_12_2"/>
      <w:bookmarkStart w:id="907" w:name="Tc_bIL0YI1xVUiRT0ZjSQAUgQ_12_0"/>
      <w:bookmarkStart w:id="908" w:name="Tc_rfxuU-CifUOZxodKEq4Jxg_11_22"/>
      <w:bookmarkStart w:id="909" w:name="Tc_UQTo6I03-06J2UR4VWQDfA_11_19"/>
      <w:bookmarkStart w:id="910" w:name="Tc_JeyXA9m8BEuyYakj0EyeYg_11_16"/>
      <w:bookmarkStart w:id="911" w:name="Tc_QGTAcfr_8k-sxWXudDLrFQ_11_13"/>
      <w:bookmarkStart w:id="912" w:name="Tc_lh24hhZHXUOriMqHiHXWdQ_11_10"/>
      <w:bookmarkStart w:id="913" w:name="Tc_aleEQGRfKE6EQeBo7t8Obg_11_5"/>
      <w:bookmarkStart w:id="914" w:name="Tc_CE26UeflVUKdRxfRQAGFxQ_11_2"/>
      <w:bookmarkStart w:id="915" w:name="Tc_-gO5lMbCFE67OQhaNlJh1w_11_0"/>
      <w:bookmarkStart w:id="916" w:name="Tc_vY0P3ra4cEmObVlFDn9KYQ_10_22"/>
      <w:bookmarkStart w:id="917" w:name="Tc_UMty5SkeY0W7tWJ5SnHn1A_10_19"/>
      <w:bookmarkStart w:id="918" w:name="Tc_HxOL3weQ4k61CbR6LSkz3Q_10_16"/>
      <w:bookmarkStart w:id="919" w:name="Tc_yMW0haVHSUePxu-IvTQf0w_10_13"/>
      <w:bookmarkStart w:id="920" w:name="Tc_C7iAMzktnECENSIKbUE0xA_10_10"/>
      <w:bookmarkStart w:id="921" w:name="Tc_PjXksT1_x0i53nRfpNg6DQ_10_5"/>
      <w:bookmarkStart w:id="922" w:name="Tc_GVtON26a-UO4CJZxYyDiFg_10_2"/>
      <w:bookmarkStart w:id="923" w:name="Tc_uG8iC5i9bU2ijV2HXNGcNA_10_0"/>
      <w:bookmarkStart w:id="924" w:name="Tc_0GKNpLB3EEq1rZCO8BcubQ_9_19"/>
      <w:bookmarkStart w:id="925" w:name="Tc_lBSLWw87E0WBMWDX_GaT5A_9_16"/>
      <w:bookmarkStart w:id="926" w:name="Tc_r6x_gRul70OEQy6wHUspXQ_9_10"/>
      <w:bookmarkStart w:id="927" w:name="Tc_0T06F9p6IEe60G18AwAL3A_9_5"/>
      <w:bookmarkStart w:id="928" w:name="Tc_CrXdLNtve0aHobNaI84C9Q_9_2"/>
      <w:bookmarkStart w:id="929" w:name="Tc_WLZGzCPLY0aj6yOXLFvo1A_9_0"/>
      <w:bookmarkStart w:id="930" w:name="Tc_0WcUubAdd0-8tNvwWu-ugA_8_19"/>
      <w:bookmarkStart w:id="931" w:name="Tc_J8NtPEgCqEK87XO6W-OiLg_8_16"/>
      <w:bookmarkStart w:id="932" w:name="Tc_kLbw_myLEE29EQQOQhmYag_8_5"/>
      <w:bookmarkStart w:id="933" w:name="Tc_efHfv6a6Vkq9N9-rOp1raA_8_2"/>
      <w:bookmarkStart w:id="934" w:name="Tc_lsLuymD_C0qhYGe_EIvinQ_8_0"/>
      <w:bookmarkStart w:id="935" w:name="Tc_EH65HfDyzUa2ynppY_B2yw_7_19"/>
      <w:bookmarkStart w:id="936" w:name="Tc_9yYUrN1VrEqZvk2S7zbKnw_7_16"/>
      <w:bookmarkStart w:id="937" w:name="Tc_vGzCarXUuE2aC48nwqJCpA_7_5"/>
      <w:bookmarkStart w:id="938" w:name="Tc_8CkB2OCWM0WnGvtv3yhybg_7_2"/>
      <w:bookmarkStart w:id="939" w:name="Tc_SBChF33rh0mtegaS2ZK04A_7_0"/>
      <w:bookmarkStart w:id="940" w:name="Tc_Q-0m6a3SpECIbavogp8Y4A_6_19"/>
      <w:bookmarkStart w:id="941" w:name="Tc_13CG0n-l3UuJRQXKn_Z76w_6_16"/>
      <w:bookmarkStart w:id="942" w:name="Tc_gTLpd3eKHkWR-S3GIouQvA_6_0"/>
      <w:bookmarkStart w:id="943" w:name="Tc_68uffuNRUEGCwqdQwMvGSw_5_21"/>
      <w:bookmarkStart w:id="944" w:name="Tc_128U2AF14Ei6Zo6drz5jhg_5_18"/>
      <w:bookmarkStart w:id="945" w:name="Tc_FCBxykTfT0SDWFYvcN6kfg_5_15"/>
      <w:bookmarkStart w:id="946" w:name="Tc_2JQykPnqq0Sf-e76cWOC9g_5_12"/>
      <w:bookmarkStart w:id="947" w:name="Tc_-7CT8BZZrUS_BzYO37jF3Q_5_9"/>
      <w:bookmarkStart w:id="948" w:name="Tc_NnTIXiK7NE2edTWHfKSecw_5_4"/>
      <w:bookmarkStart w:id="949" w:name="Tc_A2b3BO3FnUKyef5PTgXFWA_5_0"/>
      <w:bookmarkStart w:id="950" w:name="Tc_WvMoyPy-wEycM6sHWmvPiA_4_21"/>
      <w:bookmarkStart w:id="951" w:name="Tc_mEeoypPAg02AG7wQXVrU9Q_4_18"/>
      <w:bookmarkStart w:id="952" w:name="Tc_tFjIqtaHr0mZgcv2r-K3iQ_4_15"/>
      <w:bookmarkStart w:id="953" w:name="Tc_AC77R1E7VEOC_mfGjXzArw_4_12"/>
      <w:bookmarkStart w:id="954" w:name="Tc_04L6u5h3WEyjlGhmtIkaOQ_4_9"/>
      <w:bookmarkStart w:id="955" w:name="Tc_r_bn-DI-L0iSKcqZG2YA2Q_4_7"/>
      <w:bookmarkStart w:id="956" w:name="Tc_j9rpoiw9xUSuONu3N9lPiw_4_4"/>
      <w:bookmarkStart w:id="957" w:name="Tc_j18kDy2b5US3rm0U7bxvfQ_4_2"/>
      <w:bookmarkStart w:id="958" w:name="Tc_bTRrMiBH_EKmT-YjtyKWpg_3_21"/>
      <w:bookmarkStart w:id="959" w:name="Tc_h8TMVRh8TkCZ8PmErZ_C2g_3_18"/>
      <w:bookmarkStart w:id="960" w:name="Tc_pB9YKWRDzEyYlEG2MVyxsQ_3_15"/>
      <w:bookmarkStart w:id="961" w:name="Tc_rzxEWT0x3UOY-Z1Vp2RIYA_3_12"/>
      <w:bookmarkStart w:id="962" w:name="Tc_CtTfv7znGkWcll3a4sE5HA_3_7"/>
      <w:bookmarkStart w:id="963" w:name="Tc_DUvmQlp6KU65GtrJgeRmrQ_3_2"/>
      <w:bookmarkStart w:id="964" w:name="Tc_eeEdkOaVOkGhXlAnemtWuA_2_21"/>
      <w:bookmarkStart w:id="965" w:name="Tc_wyXzG7nt5kKIirgrZj4GXw_2_15"/>
      <w:bookmarkStart w:id="966" w:name="Tc_CFtJfoqtQU-rmxLEXrLMUw_2_12"/>
      <w:bookmarkStart w:id="967" w:name="Tc_x_a-bPT7T0ytrGiwOwMFTQ_2_2"/>
      <w:bookmarkStart w:id="968" w:name="Tc_cqmSaaOcPESVLCAo7zKyRQ_1_15"/>
      <w:bookmarkStart w:id="969" w:name="_ca17f7fa_8b4f_48e4_89cf_bcb4b1c67fe0"/>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tbl>
      <w:tblPr>
        <w:tblW w:w="11589" w:type="dxa"/>
        <w:jc w:val="left"/>
        <w:tblInd w:w="0" w:type="dxa"/>
        <w:tblLayout w:type="fixed"/>
        <w:tblCellMar>
          <w:top w:w="0" w:type="dxa"/>
          <w:left w:w="0" w:type="dxa"/>
          <w:bottom w:w="0" w:type="dxa"/>
          <w:right w:w="0" w:type="dxa"/>
        </w:tblCellMar>
      </w:tblPr>
      <w:tblGrid>
        <w:gridCol w:w="1531"/>
        <w:gridCol w:w="326"/>
        <w:gridCol w:w="661"/>
        <w:gridCol w:w="326"/>
        <w:gridCol w:w="326"/>
        <w:gridCol w:w="661"/>
        <w:gridCol w:w="326"/>
        <w:gridCol w:w="691"/>
        <w:gridCol w:w="326"/>
        <w:gridCol w:w="335"/>
        <w:gridCol w:w="356"/>
        <w:gridCol w:w="326"/>
        <w:gridCol w:w="326"/>
        <w:gridCol w:w="691"/>
        <w:gridCol w:w="326"/>
        <w:gridCol w:w="376"/>
        <w:gridCol w:w="840"/>
        <w:gridCol w:w="326"/>
        <w:gridCol w:w="326"/>
        <w:gridCol w:w="751"/>
        <w:gridCol w:w="326"/>
        <w:gridCol w:w="326"/>
        <w:gridCol w:w="784"/>
      </w:tblGrid>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19735" cy="175260"/>
                      <wp:effectExtent l="0" t="0" r="0" b="0"/>
                      <wp:wrapNone/>
                      <wp:docPr id="116" name="Frame11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19735" cy="175260"/>
                      <wp:effectExtent l="0" t="0" r="0" b="0"/>
                      <wp:wrapNone/>
                      <wp:docPr id="119" name="Frame11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8785" cy="175260"/>
                      <wp:effectExtent l="0" t="0" r="0" b="0"/>
                      <wp:wrapNone/>
                      <wp:docPr id="121" name="Frame1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2725" cy="175260"/>
                      <wp:effectExtent l="0" t="0" r="0" b="0"/>
                      <wp:wrapNone/>
                      <wp:docPr id="123" name="Frame12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26060" cy="175260"/>
                      <wp:effectExtent l="0" t="0" r="0" b="0"/>
                      <wp:wrapNone/>
                      <wp:docPr id="124" name="Frame124"/>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38785" cy="175260"/>
                      <wp:effectExtent l="0" t="0" r="0" b="0"/>
                      <wp:wrapNone/>
                      <wp:docPr id="127" name="Frame1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8760" cy="175260"/>
                      <wp:effectExtent l="0" t="0" r="0" b="0"/>
                      <wp:wrapNone/>
                      <wp:docPr id="129" name="Frame12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33400" cy="175260"/>
                      <wp:effectExtent l="0" t="0" r="0" b="0"/>
                      <wp:wrapNone/>
                      <wp:docPr id="130" name="Frame13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76885" cy="175260"/>
                      <wp:effectExtent l="0" t="0" r="0" b="0"/>
                      <wp:wrapNone/>
                      <wp:docPr id="133" name="Frame13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7840" cy="175260"/>
                      <wp:effectExtent l="0" t="0" r="0" b="0"/>
                      <wp:wrapNone/>
                      <wp:docPr id="136" name="Frame13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center"/>
              <w:rPr/>
            </w:pPr>
            <w:r>
              <w:rPr/>
              <w:t>​</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7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 Convertible</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0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1"/>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531"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Balance,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77,697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81,523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18,221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135,549</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(207,131)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(71,528)</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conversion of Legacy Series C and C-1 preferred stock in connection with the Business Combination (Note3)</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(77,697)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(81,523)</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57,380</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81,517</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81,523</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through Business Combination and PIPE Financing, net of transaction costs and derivative liabilities (Note 3)</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34,851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159,535</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159,538</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2,479</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941</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942</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4,797</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5,048</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5,048</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4,841</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pursuant to the Common Stock Purchase Agreement - B. Riley</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loan and security agreement warrants to equity</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6,370</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6,370</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Settlement of the first tranche of forward contract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(3,305)</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(3,305)</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37,643</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37,643</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Capitalization of deferred costs to equity upon share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(1,098)</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(1,098)</w:t>
            </w:r>
          </w:p>
        </w:tc>
      </w:tr>
      <w:tr>
        <w:trPr/>
        <w:tc>
          <w:tcPr>
            <w:tcW w:w="15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w:t>
            </w:r>
          </w:p>
        </w:tc>
      </w:tr>
      <w:tr>
        <w:trPr/>
        <w:tc>
          <w:tcPr>
            <w:tcW w:w="153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(48,649)</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(48,649)</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September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122,740</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422,200</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(255,780)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165,905</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Shares of legacy Redeemable Convertible Series C Preferred Stock, Redeemable Convertible Series C-1 Preferred Stock, legacy Class A Common Stock, and legacy Class B Common Stock have been retroactively restated to give effect to the Business Combination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70" w:name="Tc_aZueRofg_kKakSUHHgjwow_6_5"/>
      <w:bookmarkStart w:id="971" w:name="Tc_w55rO-vpIkOKBshcKviPXQ_6_2"/>
      <w:bookmarkStart w:id="972" w:name="Tc_-bfn45EytUON6-vfoXlSrA_6_0"/>
      <w:bookmarkStart w:id="973" w:name="Tc_y11bXbx7H0WyVopC6kSBpA_5_0"/>
      <w:bookmarkStart w:id="974" w:name="Tc_kRrHkfyOxk6ghmrZ9nTH6A_4_0"/>
      <w:bookmarkStart w:id="975" w:name="Tc__DfWttPMNUugCzc5rU1_xg_3_5"/>
      <w:bookmarkStart w:id="976" w:name="Tc_dNiKFuRMAkCWhDG6GM5jyA_3_2"/>
      <w:bookmarkStart w:id="977" w:name="Tc_52x_VvkSmUirIw456-ER2A_3_0"/>
      <w:bookmarkStart w:id="978" w:name="Tc_dUDFWaMUCU-p0SoJ6Bnmvw_2_5"/>
      <w:bookmarkStart w:id="979" w:name="Tc_FzUALL-LRU2MSVGQUp_NFw_2_2"/>
      <w:bookmarkStart w:id="980" w:name="Tc_AB0S7OSq906nCosBoYmwzA_1_2"/>
      <w:bookmarkStart w:id="981" w:name="Tc_yMo-eZYnhUSfpBbaw67ggg_4_8"/>
      <w:bookmarkStart w:id="982" w:name="Tc_W9DyHjllUU28SiiZw4aMAQ_4_5"/>
      <w:bookmarkStart w:id="983" w:name="Tc_NoPNh_vnzEq3z7Dc6jsz6A_4_2"/>
      <w:bookmarkStart w:id="984" w:name="Tc_chExm0p9c0WQ83DuZn2KyA_4_0"/>
      <w:bookmarkStart w:id="985" w:name="Tc_EPowL8kx10aUsyE8C9AVHw_3_8"/>
      <w:bookmarkStart w:id="986" w:name="Tc_PN0TChEb7Uei8--UDipUQg_3_5"/>
      <w:bookmarkStart w:id="987" w:name="Tc_Xz8ptUwl0kqjetzjAb9K3A_3_2"/>
      <w:bookmarkStart w:id="988" w:name="Tc_JiI-EabwyUyz-tXMN895tQ_3_0"/>
      <w:bookmarkStart w:id="989" w:name="Tc_lJdx-vbFwkCErT_RBLUYeQ_2_8"/>
      <w:bookmarkStart w:id="990" w:name="Tc_RMvCisWQeEygjiMfw0kEJQ_2_5"/>
      <w:bookmarkStart w:id="991" w:name="Tc_vUxTXldI3EGcx-hi4P3T9Q_2_2"/>
      <w:bookmarkStart w:id="992" w:name="Tc_MfH_UexIe0KrH82qpGWVPQ_2_0"/>
      <w:bookmarkStart w:id="993" w:name="Tc_866to5a8aEOu-mFXE6fH7A_1_8"/>
      <w:bookmarkStart w:id="994" w:name="Tc_WXWKKokf9ke_THDUlwiv9w_1_5"/>
      <w:bookmarkStart w:id="995" w:name="Tc_jZ6CQnhdSUateVP7zaCJew_1_2"/>
      <w:bookmarkStart w:id="996" w:name="_1141a5a0_9a0c_4fed_99f5_df96cf13625d"/>
      <w:bookmarkStart w:id="997" w:name="Tc_4i4vwk-p40SODPscs9fj4w_5_11"/>
      <w:bookmarkStart w:id="998" w:name="Tc_Y2_9J22ue0erZiQp3inbxg_5_8"/>
      <w:bookmarkStart w:id="999" w:name="Tc_44jVduiV_Ue_IoOvW4_eKg_5_5"/>
      <w:bookmarkStart w:id="1000" w:name="Tc_HRHsdzhCNEG40ZTtJlQt_Q_5_2"/>
      <w:bookmarkStart w:id="1001" w:name="Tc_x2fws5gqSkyB7DnEGZNb9Q_4_0"/>
      <w:bookmarkStart w:id="1002" w:name="Tc_WYMsW7dkM0aP38vq6U2rIw_3_12"/>
      <w:bookmarkStart w:id="1003" w:name="Tc_LnK_LsXanUqg0FQI_ghnTQ_3_11"/>
      <w:bookmarkStart w:id="1004" w:name="Tc_ljtX9v9Mi0m0pnmJapopmA_3_8"/>
      <w:bookmarkStart w:id="1005" w:name="Tc_vOBU8Dg8NkaDKfC0e66-Xg_3_6"/>
      <w:bookmarkStart w:id="1006" w:name="Tc_vgFieWTgXk-w-OFXJvHHqA_3_5"/>
      <w:bookmarkStart w:id="1007" w:name="Tc_L5rjYg-Pp0KXxDpK9lRPqQ_3_2"/>
      <w:bookmarkStart w:id="1008" w:name="Tc_D1LJEVpn1kanqkYbKheG8g_3_0"/>
      <w:bookmarkStart w:id="1009" w:name="Tc_9vJNv91fYk-K7sq7KZnuBg_2_11"/>
      <w:bookmarkStart w:id="1010" w:name="Tc_KoiORgdMLE-vBB_vi_Bw4g_2_8"/>
      <w:bookmarkStart w:id="1011" w:name="Tc_v3QXHy1SWk22ABEBirRNHw_2_5"/>
      <w:bookmarkStart w:id="1012" w:name="Tc_ALd42njjG0OlXvwCLMNO7w_2_2"/>
      <w:bookmarkStart w:id="1013" w:name="Tc_UE1qGmLVFUaFgZrcI3AH1g_1_8"/>
      <w:bookmarkStart w:id="1014" w:name="Tc_8Um1HqKGDUev-9xF9dgcog_1_2"/>
      <w:bookmarkStart w:id="1015" w:name="_2444c5a9_4001_4a20_be59_721cfc9c92b3"/>
      <w:bookmarkStart w:id="1016" w:name="Tc_gMyfSQMIfEOqookvp4qhnA_5_11"/>
      <w:bookmarkStart w:id="1017" w:name="Tc_gX7okoMYi0mWACvs4uJs_w_5_8"/>
      <w:bookmarkStart w:id="1018" w:name="Tc_frEiYeueDESdwcrpwZX7XQ_5_5"/>
      <w:bookmarkStart w:id="1019" w:name="Tc_vFQyitG_DUGQsJFuFJNa6Q_5_2"/>
      <w:bookmarkStart w:id="1020" w:name="Tc_Vul2Vu-740C7KpcjXao5qA_4_0"/>
      <w:bookmarkStart w:id="1021" w:name="Tc_GBp6Yxao-06Qa5Jvr124Yw_3_11"/>
      <w:bookmarkStart w:id="1022" w:name="Tc_YQfHUQT7C0SA_m6ScO0Feg_3_8"/>
      <w:bookmarkStart w:id="1023" w:name="Tc_ysL8eLiuDkigr7RIeE8Wzg_3_5"/>
      <w:bookmarkStart w:id="1024" w:name="Tc_eJwLE1uLIkWiegTtFcT_yg_3_2"/>
      <w:bookmarkStart w:id="1025" w:name="Tc_SsMV26OjcUSMECFopiWTTA_3_0"/>
      <w:bookmarkStart w:id="1026" w:name="Tc_oDbzkj1s2E6jbmZpnTJyvA_2_11"/>
      <w:bookmarkStart w:id="1027" w:name="Tc_DIIE08AUq0-wf_8l6Gj8zw_2_8"/>
      <w:bookmarkStart w:id="1028" w:name="Tc_ns2I0QShGUWeOfbZiKjccw_2_5"/>
      <w:bookmarkStart w:id="1029" w:name="Tc_2SU-FJZkbUuLR2ryi6c5Wg_2_2"/>
      <w:bookmarkStart w:id="1030" w:name="Tc_I80tdO7lm0StZfw0iSUO0Q_1_8"/>
      <w:bookmarkStart w:id="1031" w:name="Tc_oa_Jw86-pkKs_rpUuRiEYg_1_2"/>
      <w:bookmarkStart w:id="1032" w:name="_23d537bb_4b6a_4e7f_8dc6_32696836f7a0"/>
      <w:bookmarkStart w:id="1033" w:name="Tc_aZueRofg_kKakSUHHgjwow_6_5"/>
      <w:bookmarkStart w:id="1034" w:name="Tc_w55rO-vpIkOKBshcKviPXQ_6_2"/>
      <w:bookmarkStart w:id="1035" w:name="Tc_-bfn45EytUON6-vfoXlSrA_6_0"/>
      <w:bookmarkStart w:id="1036" w:name="Tc_y11bXbx7H0WyVopC6kSBpA_5_0"/>
      <w:bookmarkStart w:id="1037" w:name="Tc_kRrHkfyOxk6ghmrZ9nTH6A_4_0"/>
      <w:bookmarkStart w:id="1038" w:name="Tc__DfWttPMNUugCzc5rU1_xg_3_5"/>
      <w:bookmarkStart w:id="1039" w:name="Tc_dNiKFuRMAkCWhDG6GM5jyA_3_2"/>
      <w:bookmarkStart w:id="1040" w:name="Tc_52x_VvkSmUirIw456-ER2A_3_0"/>
      <w:bookmarkStart w:id="1041" w:name="Tc_dUDFWaMUCU-p0SoJ6Bnmvw_2_5"/>
      <w:bookmarkStart w:id="1042" w:name="Tc_FzUALL-LRU2MSVGQUp_NFw_2_2"/>
      <w:bookmarkStart w:id="1043" w:name="Tc_AB0S7OSq906nCosBoYmwzA_1_2"/>
      <w:bookmarkStart w:id="1044" w:name="Tc_yMo-eZYnhUSfpBbaw67ggg_4_8"/>
      <w:bookmarkStart w:id="1045" w:name="Tc_W9DyHjllUU28SiiZw4aMAQ_4_5"/>
      <w:bookmarkStart w:id="1046" w:name="Tc_NoPNh_vnzEq3z7Dc6jsz6A_4_2"/>
      <w:bookmarkStart w:id="1047" w:name="Tc_chExm0p9c0WQ83DuZn2KyA_4_0"/>
      <w:bookmarkStart w:id="1048" w:name="Tc_EPowL8kx10aUsyE8C9AVHw_3_8"/>
      <w:bookmarkStart w:id="1049" w:name="Tc_PN0TChEb7Uei8--UDipUQg_3_5"/>
      <w:bookmarkStart w:id="1050" w:name="Tc_Xz8ptUwl0kqjetzjAb9K3A_3_2"/>
      <w:bookmarkStart w:id="1051" w:name="Tc_JiI-EabwyUyz-tXMN895tQ_3_0"/>
      <w:bookmarkStart w:id="1052" w:name="Tc_lJdx-vbFwkCErT_RBLUYeQ_2_8"/>
      <w:bookmarkStart w:id="1053" w:name="Tc_RMvCisWQeEygjiMfw0kEJQ_2_5"/>
      <w:bookmarkStart w:id="1054" w:name="Tc_vUxTXldI3EGcx-hi4P3T9Q_2_2"/>
      <w:bookmarkStart w:id="1055" w:name="Tc_MfH_UexIe0KrH82qpGWVPQ_2_0"/>
      <w:bookmarkStart w:id="1056" w:name="Tc_866to5a8aEOu-mFXE6fH7A_1_8"/>
      <w:bookmarkStart w:id="1057" w:name="Tc_WXWKKokf9ke_THDUlwiv9w_1_5"/>
      <w:bookmarkStart w:id="1058" w:name="Tc_jZ6CQnhdSUateVP7zaCJew_1_2"/>
      <w:bookmarkStart w:id="1059" w:name="_1141a5a0_9a0c_4fed_99f5_df96cf13625d"/>
      <w:bookmarkStart w:id="1060" w:name="Tc_4i4vwk-p40SODPscs9fj4w_5_11"/>
      <w:bookmarkStart w:id="1061" w:name="Tc_Y2_9J22ue0erZiQp3inbxg_5_8"/>
      <w:bookmarkStart w:id="1062" w:name="Tc_44jVduiV_Ue_IoOvW4_eKg_5_5"/>
      <w:bookmarkStart w:id="1063" w:name="Tc_HRHsdzhCNEG40ZTtJlQt_Q_5_2"/>
      <w:bookmarkStart w:id="1064" w:name="Tc_x2fws5gqSkyB7DnEGZNb9Q_4_0"/>
      <w:bookmarkStart w:id="1065" w:name="Tc_WYMsW7dkM0aP38vq6U2rIw_3_12"/>
      <w:bookmarkStart w:id="1066" w:name="Tc_LnK_LsXanUqg0FQI_ghnTQ_3_11"/>
      <w:bookmarkStart w:id="1067" w:name="Tc_ljtX9v9Mi0m0pnmJapopmA_3_8"/>
      <w:bookmarkStart w:id="1068" w:name="Tc_vOBU8Dg8NkaDKfC0e66-Xg_3_6"/>
      <w:bookmarkStart w:id="1069" w:name="Tc_vgFieWTgXk-w-OFXJvHHqA_3_5"/>
      <w:bookmarkStart w:id="1070" w:name="Tc_L5rjYg-Pp0KXxDpK9lRPqQ_3_2"/>
      <w:bookmarkStart w:id="1071" w:name="Tc_D1LJEVpn1kanqkYbKheG8g_3_0"/>
      <w:bookmarkStart w:id="1072" w:name="Tc_9vJNv91fYk-K7sq7KZnuBg_2_11"/>
      <w:bookmarkStart w:id="1073" w:name="Tc_KoiORgdMLE-vBB_vi_Bw4g_2_8"/>
      <w:bookmarkStart w:id="1074" w:name="Tc_v3QXHy1SWk22ABEBirRNHw_2_5"/>
      <w:bookmarkStart w:id="1075" w:name="Tc_ALd42njjG0OlXvwCLMNO7w_2_2"/>
      <w:bookmarkStart w:id="1076" w:name="Tc_UE1qGmLVFUaFgZrcI3AH1g_1_8"/>
      <w:bookmarkStart w:id="1077" w:name="Tc_8Um1HqKGDUev-9xF9dgcog_1_2"/>
      <w:bookmarkStart w:id="1078" w:name="_2444c5a9_4001_4a20_be59_721cfc9c92b3"/>
      <w:bookmarkStart w:id="1079" w:name="Tc_gMyfSQMIfEOqookvp4qhnA_5_11"/>
      <w:bookmarkStart w:id="1080" w:name="Tc_gX7okoMYi0mWACvs4uJs_w_5_8"/>
      <w:bookmarkStart w:id="1081" w:name="Tc_frEiYeueDESdwcrpwZX7XQ_5_5"/>
      <w:bookmarkStart w:id="1082" w:name="Tc_vFQyitG_DUGQsJFuFJNa6Q_5_2"/>
      <w:bookmarkStart w:id="1083" w:name="Tc_Vul2Vu-740C7KpcjXao5qA_4_0"/>
      <w:bookmarkStart w:id="1084" w:name="Tc_GBp6Yxao-06Qa5Jvr124Yw_3_11"/>
      <w:bookmarkStart w:id="1085" w:name="Tc_YQfHUQT7C0SA_m6ScO0Feg_3_8"/>
      <w:bookmarkStart w:id="1086" w:name="Tc_ysL8eLiuDkigr7RIeE8Wzg_3_5"/>
      <w:bookmarkStart w:id="1087" w:name="Tc_eJwLE1uLIkWiegTtFcT_yg_3_2"/>
      <w:bookmarkStart w:id="1088" w:name="Tc_SsMV26OjcUSMECFopiWTTA_3_0"/>
      <w:bookmarkStart w:id="1089" w:name="Tc_oDbzkj1s2E6jbmZpnTJyvA_2_11"/>
      <w:bookmarkStart w:id="1090" w:name="Tc_DIIE08AUq0-wf_8l6Gj8zw_2_8"/>
      <w:bookmarkStart w:id="1091" w:name="Tc_ns2I0QShGUWeOfbZiKjccw_2_5"/>
      <w:bookmarkStart w:id="1092" w:name="Tc_2SU-FJZkbUuLR2ryi6c5Wg_2_2"/>
      <w:bookmarkStart w:id="1093" w:name="Tc_I80tdO7lm0StZfw0iSUO0Q_1_8"/>
      <w:bookmarkStart w:id="1094" w:name="Tc_oa_Jw86-pkKs_rpUuRiEYg_1_2"/>
      <w:bookmarkStart w:id="1095" w:name="_23d537bb_4b6a_4e7f_8dc6_32696836f7a0"/>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p>
    <w:tbl>
      <w:tblPr>
        <w:tblW w:w="2327" w:type="dxa"/>
        <w:jc w:val="left"/>
        <w:tblInd w:w="0" w:type="dxa"/>
        <w:tblLayout w:type="fixed"/>
        <w:tblCellMar>
          <w:top w:w="0" w:type="dxa"/>
          <w:left w:w="0" w:type="dxa"/>
          <w:bottom w:w="0" w:type="dxa"/>
          <w:right w:w="0" w:type="dxa"/>
        </w:tblCellMar>
      </w:tblPr>
      <w:tblGrid>
        <w:gridCol w:w="346"/>
        <w:gridCol w:w="19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9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and nine months ended September 30, 2023 and 2022, respectively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74"/>
        <w:gridCol w:w="326"/>
        <w:gridCol w:w="277"/>
        <w:gridCol w:w="752"/>
        <w:gridCol w:w="429"/>
        <w:gridCol w:w="277"/>
        <w:gridCol w:w="752"/>
        <w:gridCol w:w="326"/>
        <w:gridCol w:w="261"/>
        <w:gridCol w:w="708"/>
        <w:gridCol w:w="404"/>
        <w:gridCol w:w="261"/>
        <w:gridCol w:w="858"/>
      </w:tblGrid>
      <w:tr>
        <w:trPr/>
        <w:tc>
          <w:tcPr>
            <w:tcW w:w="45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5895" cy="175260"/>
                      <wp:effectExtent l="0" t="0" r="0" b="0"/>
                      <wp:wrapNone/>
                      <wp:docPr id="138" name="Frame13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77520" cy="175260"/>
                      <wp:effectExtent l="0" t="0" r="0" b="0"/>
                      <wp:wrapNone/>
                      <wp:docPr id="139" name="Frame13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72415" cy="175260"/>
                      <wp:effectExtent l="0" t="0" r="0" b="0"/>
                      <wp:wrapNone/>
                      <wp:docPr id="140" name="Frame140"/>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5895" cy="175260"/>
                      <wp:effectExtent l="0" t="0" r="0" b="0"/>
                      <wp:wrapNone/>
                      <wp:docPr id="141" name="Frame14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77520" cy="175260"/>
                      <wp:effectExtent l="0" t="0" r="0" b="0"/>
                      <wp:wrapNone/>
                      <wp:docPr id="142" name="Frame142"/>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65735" cy="175260"/>
                      <wp:effectExtent l="0" t="0" r="0" b="0"/>
                      <wp:wrapNone/>
                      <wp:docPr id="144" name="Frame14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49580" cy="175260"/>
                      <wp:effectExtent l="0" t="0" r="0" b="0"/>
                      <wp:wrapNone/>
                      <wp:docPr id="145" name="Frame145"/>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6540" cy="175260"/>
                      <wp:effectExtent l="0" t="0" r="0" b="0"/>
                      <wp:wrapNone/>
                      <wp:docPr id="146" name="Frame14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5735" cy="175260"/>
                      <wp:effectExtent l="0" t="0" r="0" b="0"/>
                      <wp:wrapNone/>
                      <wp:docPr id="147" name="Frame14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44830" cy="175260"/>
                      <wp:effectExtent l="0" t="0" r="0" b="0"/>
                      <wp:wrapNone/>
                      <wp:docPr id="148" name="Frame148"/>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4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5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9" w:type="dxa"/>
            <w:tcBorders/>
            <w:vAlign w:val="center"/>
          </w:tcPr>
          <w:p>
            <w:pPr>
              <w:pStyle w:val="TableContents"/>
              <w:bidi w:val="0"/>
              <w:spacing w:before="0" w:after="1"/>
              <w:ind w:left="0" w:right="0" w:hanging="0"/>
              <w:jc w:val="left"/>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4" w:type="dxa"/>
            <w:tcBorders/>
            <w:vAlign w:val="center"/>
          </w:tcPr>
          <w:p>
            <w:pPr>
              <w:pStyle w:val="TableContents"/>
              <w:bidi w:val="0"/>
              <w:spacing w:before="0" w:after="1"/>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other professional services and related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w:t>
            </w:r>
          </w:p>
        </w:tc>
        <w:tc>
          <w:tcPr>
            <w:tcW w:w="42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6,560</w:t>
            </w:r>
          </w:p>
        </w:tc>
        <w:tc>
          <w:tcPr>
            <w:tcW w:w="404"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4,982</w:t>
            </w:r>
          </w:p>
        </w:tc>
      </w:tr>
      <w:tr>
        <w:trPr/>
        <w:tc>
          <w:tcPr>
            <w:tcW w:w="45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w:t>
            </w:r>
          </w:p>
        </w:tc>
        <w:tc>
          <w:tcPr>
            <w:tcW w:w="429"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c>
          <w:tcPr>
            <w:tcW w:w="404"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r>
      <w:tr>
        <w:trPr/>
        <w:tc>
          <w:tcPr>
            <w:tcW w:w="45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3,105</w:t>
            </w:r>
          </w:p>
        </w:tc>
        <w:tc>
          <w:tcPr>
            <w:tcW w:w="429"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8,632</w:t>
            </w:r>
          </w:p>
        </w:tc>
        <w:tc>
          <w:tcPr>
            <w:tcW w:w="404"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7,042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9276" w:type="dxa"/>
        <w:jc w:val="left"/>
        <w:tblInd w:w="0" w:type="dxa"/>
        <w:tblLayout w:type="fixed"/>
        <w:tblCellMar>
          <w:top w:w="0" w:type="dxa"/>
          <w:left w:w="0" w:type="dxa"/>
          <w:bottom w:w="0" w:type="dxa"/>
          <w:right w:w="0" w:type="dxa"/>
        </w:tblCellMar>
      </w:tblPr>
      <w:tblGrid>
        <w:gridCol w:w="3211"/>
        <w:gridCol w:w="326"/>
        <w:gridCol w:w="304"/>
        <w:gridCol w:w="825"/>
        <w:gridCol w:w="471"/>
        <w:gridCol w:w="304"/>
        <w:gridCol w:w="825"/>
        <w:gridCol w:w="326"/>
        <w:gridCol w:w="282"/>
        <w:gridCol w:w="764"/>
        <w:gridCol w:w="436"/>
        <w:gridCol w:w="282"/>
        <w:gridCol w:w="920"/>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38985" cy="175260"/>
                      <wp:effectExtent l="0" t="0" r="0" b="0"/>
                      <wp:wrapNone/>
                      <wp:docPr id="149" name="Frame14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3040" cy="175260"/>
                      <wp:effectExtent l="0" t="0" r="0" b="0"/>
                      <wp:wrapNone/>
                      <wp:docPr id="151" name="Frame15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3875" cy="175260"/>
                      <wp:effectExtent l="0" t="0" r="0" b="0"/>
                      <wp:wrapNone/>
                      <wp:docPr id="152" name="Frame15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99085" cy="175260"/>
                      <wp:effectExtent l="0" t="0" r="0" b="0"/>
                      <wp:wrapNone/>
                      <wp:docPr id="153" name="Frame153"/>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93040" cy="175260"/>
                      <wp:effectExtent l="0" t="0" r="0" b="0"/>
                      <wp:wrapNone/>
                      <wp:docPr id="154" name="Frame15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3875" cy="175260"/>
                      <wp:effectExtent l="0" t="0" r="0" b="0"/>
                      <wp:wrapNone/>
                      <wp:docPr id="155" name="Frame155"/>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79070" cy="175260"/>
                      <wp:effectExtent l="0" t="0" r="0" b="0"/>
                      <wp:wrapNone/>
                      <wp:docPr id="157" name="Frame15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85140" cy="175260"/>
                      <wp:effectExtent l="0" t="0" r="0" b="0"/>
                      <wp:wrapNone/>
                      <wp:docPr id="158" name="Frame15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76860" cy="175260"/>
                      <wp:effectExtent l="0" t="0" r="0" b="0"/>
                      <wp:wrapNone/>
                      <wp:docPr id="159" name="Frame15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79070" cy="175260"/>
                      <wp:effectExtent l="0" t="0" r="0" b="0"/>
                      <wp:wrapNone/>
                      <wp:docPr id="160" name="Frame16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84200" cy="175260"/>
                      <wp:effectExtent l="0" t="0" r="0" b="0"/>
                      <wp:wrapNone/>
                      <wp:docPr id="161" name="Frame161"/>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1"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43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2,693</w:t>
            </w:r>
          </w:p>
        </w:tc>
        <w:tc>
          <w:tcPr>
            <w:tcW w:w="471"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w:t>
            </w:r>
          </w:p>
        </w:tc>
        <w:tc>
          <w:tcPr>
            <w:tcW w:w="436" w:type="dxa"/>
            <w:tcBorders/>
            <w:vAlign w:val="center"/>
          </w:tcPr>
          <w:p>
            <w:pPr>
              <w:pStyle w:val="TableContents"/>
              <w:bidi w:val="0"/>
              <w:spacing w:before="0" w:after="0"/>
              <w:ind w:left="0" w:right="0" w:hanging="0"/>
              <w:jc w:val="left"/>
              <w:rPr/>
            </w:pPr>
            <w:r>
              <w:rPr/>
              <w:t> </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w:t>
            </w:r>
          </w:p>
        </w:tc>
        <w:tc>
          <w:tcPr>
            <w:tcW w:w="43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7,042</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Selected condensed consolidated balance sheet line items that reflect accounts receivable, contract assets and liabilities as of September 30, 2023, December 31, 2022 and December 31, 2021 were as follows (in thousands):</w:t>
      </w:r>
    </w:p>
    <w:tbl>
      <w:tblPr>
        <w:tblW w:w="7155" w:type="dxa"/>
        <w:jc w:val="left"/>
        <w:tblInd w:w="0" w:type="dxa"/>
        <w:tblLayout w:type="fixed"/>
        <w:tblCellMar>
          <w:top w:w="0" w:type="dxa"/>
          <w:left w:w="0" w:type="dxa"/>
          <w:bottom w:w="0" w:type="dxa"/>
          <w:right w:w="0" w:type="dxa"/>
        </w:tblCellMar>
      </w:tblPr>
      <w:tblGrid>
        <w:gridCol w:w="1801"/>
        <w:gridCol w:w="326"/>
        <w:gridCol w:w="417"/>
        <w:gridCol w:w="1129"/>
        <w:gridCol w:w="326"/>
        <w:gridCol w:w="405"/>
        <w:gridCol w:w="1096"/>
        <w:gridCol w:w="109"/>
        <w:gridCol w:w="442"/>
        <w:gridCol w:w="1104"/>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143635" cy="175260"/>
                      <wp:effectExtent l="0" t="0" r="0" b="0"/>
                      <wp:wrapNone/>
                      <wp:docPr id="162" name="Frame16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64795" cy="175260"/>
                      <wp:effectExtent l="0" t="0" r="0" b="0"/>
                      <wp:wrapNone/>
                      <wp:docPr id="164" name="Frame164"/>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16915" cy="175260"/>
                      <wp:effectExtent l="0" t="0" r="0" b="0"/>
                      <wp:wrapNone/>
                      <wp:docPr id="165" name="Frame165"/>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57175" cy="175260"/>
                      <wp:effectExtent l="0" t="0" r="0" b="0"/>
                      <wp:wrapNone/>
                      <wp:docPr id="167" name="Frame16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5960" cy="175260"/>
                      <wp:effectExtent l="0" t="0" r="0" b="0"/>
                      <wp:wrapNone/>
                      <wp:docPr id="168" name="Frame16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80670" cy="175260"/>
                      <wp:effectExtent l="0" t="0" r="0" b="0"/>
                      <wp:wrapNone/>
                      <wp:docPr id="170" name="Frame17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01040" cy="175260"/>
                      <wp:effectExtent l="0" t="0" r="0" b="0"/>
                      <wp:wrapNone/>
                      <wp:docPr id="171" name="Frame171"/>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w:t>
            </w:r>
          </w:p>
        </w:tc>
        <w:tc>
          <w:tcPr>
            <w:tcW w:w="10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10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6280" w:type="dxa"/>
        <w:jc w:val="left"/>
        <w:tblInd w:w="0" w:type="dxa"/>
        <w:tblLayout w:type="fixed"/>
        <w:tblCellMar>
          <w:top w:w="0" w:type="dxa"/>
          <w:left w:w="0" w:type="dxa"/>
          <w:bottom w:w="0" w:type="dxa"/>
          <w:right w:w="0" w:type="dxa"/>
        </w:tblCellMar>
      </w:tblPr>
      <w:tblGrid>
        <w:gridCol w:w="3271"/>
        <w:gridCol w:w="326"/>
        <w:gridCol w:w="279"/>
        <w:gridCol w:w="916"/>
        <w:gridCol w:w="432"/>
        <w:gridCol w:w="279"/>
        <w:gridCol w:w="777"/>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77165" cy="175260"/>
                      <wp:effectExtent l="0" t="0" r="0" b="0"/>
                      <wp:wrapNone/>
                      <wp:docPr id="173" name="Frame17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81660" cy="175260"/>
                      <wp:effectExtent l="0" t="0" r="0" b="0"/>
                      <wp:wrapNone/>
                      <wp:docPr id="174" name="Frame17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74320" cy="175260"/>
                      <wp:effectExtent l="0" t="0" r="0" b="0"/>
                      <wp:wrapNone/>
                      <wp:docPr id="175" name="Frame175"/>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77165" cy="175260"/>
                      <wp:effectExtent l="0" t="0" r="0" b="0"/>
                      <wp:wrapNone/>
                      <wp:docPr id="176" name="Frame176"/>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3395" cy="175260"/>
                      <wp:effectExtent l="0" t="0" r="0" b="0"/>
                      <wp:wrapNone/>
                      <wp:docPr id="177" name="Frame177"/>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2"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432"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r>
    </w:tbl>
    <w:p>
      <w:pPr>
        <w:pStyle w:val="TextBody"/>
        <w:bidi w:val="0"/>
        <w:spacing w:before="0" w:after="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Amounts recognized as revenue from beginning contract liabilities during the three and nine months ended September 30, 2023 totaled $0.6 million and $0.8 million, respectively. Amounts recognized as revenue from beginning contract liabilities during the three and nine months ended September 30, 2022 totaled $0.7 million and $0.6 million, respectively. Remaining performance obligations represent the portion of the transaction price that has not yet been satisfied or achieved. As of September 30, 2023, the aggregate amount of the transaction price allocated to remaining performance obligations was approximately $6.0 million. The Company expects to recognize estimated revenues related to performance obligations that are unsatisfied (or partially satisfied) during the next twelve months.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in accordance with ASC 340-40. Incremental costs incurred to fulfill the Company’s contracts that meet the capitalization criteria in ASC 340-40 have historically been immaterial. Accordingly, the Company has not capitalized any contract fulfillment costs as of September 30, 2023 and December 31,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96" w:name="Tc_Bw2tYjwRiE2XQ54vIsOEyw_10_11"/>
      <w:bookmarkStart w:id="1097" w:name="Tc_HBSrVWi8k0KDNZX_tz184Q_10_8"/>
      <w:bookmarkStart w:id="1098" w:name="Tc_y44lp429BkSyIbfCvhKcag_10_6"/>
      <w:bookmarkStart w:id="1099" w:name="Tc_6gqJNVUjokCQHHGEY557cQ_10_5"/>
      <w:bookmarkStart w:id="1100" w:name="Tc_jJw1IdzSTUehkvQdTbdmBg_10_2"/>
      <w:bookmarkStart w:id="1101" w:name="Tc_qNdd_knyyky6-k3SgewKPQ_10_0"/>
      <w:bookmarkStart w:id="1102" w:name="Tc_5fOn_tVaYkS4ne7LcvBcWg_9_9"/>
      <w:bookmarkStart w:id="1103" w:name="Tc_1zKvvYyAUEexKtq-XsuSBw_9_6"/>
      <w:bookmarkStart w:id="1104" w:name="Tc_V62k4OTd1U-ai0wUwGBu9Q_9_0"/>
      <w:bookmarkStart w:id="1105" w:name="Tc_ENREaJ0KxkuNSilqxCFnFQ_8_6"/>
      <w:bookmarkStart w:id="1106" w:name="Tc_D6u3qHt41E6WzciFYxs_Qg_8_0"/>
      <w:bookmarkStart w:id="1107" w:name="Tc_5OiN1Nzmf02sFDST9mFFtg_7_6"/>
      <w:bookmarkStart w:id="1108" w:name="Tc_ogaaZxdYN0eO7V-FvwpV2Q_7_0"/>
      <w:bookmarkStart w:id="1109" w:name="Tc_MHQPtgwyEEyuN5bGcTDQNQ_6_0"/>
      <w:bookmarkStart w:id="1110" w:name="Tc_Wh14MbCXVUOo0bVFX_S7zQ_5_11"/>
      <w:bookmarkStart w:id="1111" w:name="Tc_C3NFdXZxokeGtuiMZ3b0hw_5_9"/>
      <w:bookmarkStart w:id="1112" w:name="Tc_jQC28iOWVU6TjyGc3aK2xg_5_8"/>
      <w:bookmarkStart w:id="1113" w:name="Tc_IPYX8cd4okmzZMzM-LolCg_5_6"/>
      <w:bookmarkStart w:id="1114" w:name="Tc_MJH4M_Ci80eA_HZSVgljzg_5_5"/>
      <w:bookmarkStart w:id="1115" w:name="Tc_BHPo7tD_BUGVYABgP_gEwQ_5_2"/>
      <w:bookmarkStart w:id="1116" w:name="Tc_tagnHCEi706Bk9KPd8ertA_5_0"/>
      <w:bookmarkStart w:id="1117" w:name="Tc_t3GjVNzBZkaynbvqYreCww_4_0"/>
      <w:bookmarkStart w:id="1118" w:name="Tc_WfQOcgHSpkm9F7Ap179GpA_3_11"/>
      <w:bookmarkStart w:id="1119" w:name="Tc_vvh_VUyWXU6lwJJ87OXYNA_3_8"/>
      <w:bookmarkStart w:id="1120" w:name="Tc_4RQSJwVKjke5aFLxUK0x1A_3_5"/>
      <w:bookmarkStart w:id="1121" w:name="Tc_Ne24D2GMpUCVxDTLiP_M8A_3_2"/>
      <w:bookmarkStart w:id="1122" w:name="Tc_1auBZZkNH0eQCKuWzfY6hA_2_11"/>
      <w:bookmarkStart w:id="1123" w:name="Tc__rQTxSMS_E2O2FtIUvAJpw_2_8"/>
      <w:bookmarkStart w:id="1124" w:name="Tc_gyA9jkSjbUW3iplchos0mw_2_5"/>
      <w:bookmarkStart w:id="1125" w:name="Tc_MAIZeCb7e0qm1NHSVQA4Gw_2_2"/>
      <w:bookmarkStart w:id="1126" w:name="Tc_DGnSvSi1U0eKv_4zs8001A_1_2"/>
      <w:bookmarkStart w:id="1127" w:name="_34ae83b5_5fc0_4896_912e_dd0979131730"/>
      <w:bookmarkStart w:id="1128" w:name="Tc_aprN8b4mj0C-iA9h9_pI6A_11_11"/>
      <w:bookmarkStart w:id="1129" w:name="Tc_bYQvpmelk0mVzc-uv-5jfQ_11_8"/>
      <w:bookmarkStart w:id="1130" w:name="Tc_ToKn85Wcc0yk2TRqe_tGbg_11_5"/>
      <w:bookmarkStart w:id="1131" w:name="Tc_Fj5K4wySMEicrDBHePs5ZQ_11_2"/>
      <w:bookmarkStart w:id="1132" w:name="Tc_W6gyi-UXhU2CGQgKBl0xng_11_0"/>
      <w:bookmarkStart w:id="1133" w:name="Tc_q5pw2YLvv0yOHcjfwPWxQg_10_6"/>
      <w:bookmarkStart w:id="1134" w:name="Tc_uLEoTPkVa0m7RwVtS07NhQ_10_0"/>
      <w:bookmarkStart w:id="1135" w:name="Tc_PVYgYR8GQ0OKQ3WIleL1vA_9_0"/>
      <w:bookmarkStart w:id="1136" w:name="Tc_wi4zVxnf80iC4iOf5t_OxQ_8_9"/>
      <w:bookmarkStart w:id="1137" w:name="Tc_rpB-dBFhkk2ID66uJ1_WtA_8_0"/>
      <w:bookmarkStart w:id="1138" w:name="Tc_qyA4t86MNEKZCqZfBHRQKw_7_0"/>
      <w:bookmarkStart w:id="1139" w:name="Tc_o_fBLcKPwEe74uWte_dMzQ_6_9"/>
      <w:bookmarkStart w:id="1140" w:name="Tc__9itREJ0MU2tfQLzAZIvnQ_6_0"/>
      <w:bookmarkStart w:id="1141" w:name="Tc_uoGXVVsGpEah43PG6EszoA_5_11"/>
      <w:bookmarkStart w:id="1142" w:name="Tc_tlIWA2Nu7kW4p3AzXnr-ng_5_9"/>
      <w:bookmarkStart w:id="1143" w:name="Tc_MGsa1-f-dEWAki7mm-LeTA_5_8"/>
      <w:bookmarkStart w:id="1144" w:name="Tc_-pHeW-fB2EG4HeERhTwY9w_5_6"/>
      <w:bookmarkStart w:id="1145" w:name="Tc_RcSwK4adHUu_q5F1NRkiZg_5_5"/>
      <w:bookmarkStart w:id="1146" w:name="Tc_5G2B5FysAEmlgovqQrNhbQ_5_2"/>
      <w:bookmarkStart w:id="1147" w:name="Tc_1goxZm0ylUSytekbBvfhxw_5_0"/>
      <w:bookmarkStart w:id="1148" w:name="Tc_tM5FVgvgO0OElx4CgmVfLg_4_0"/>
      <w:bookmarkStart w:id="1149" w:name="Tc_OXFp7B6FRU-V27V_50ulOQ_3_11"/>
      <w:bookmarkStart w:id="1150" w:name="Tc_zVCxLFVVnEG9X1KjC8sZUQ_3_8"/>
      <w:bookmarkStart w:id="1151" w:name="Tc_rsWsbiUlZkatPJSOBp3iGQ_3_5"/>
      <w:bookmarkStart w:id="1152" w:name="Tc_728N_if7DUGCXkaP2vtJlA_3_2"/>
      <w:bookmarkStart w:id="1153" w:name="Tc_NTyp5gVYqEOR7a4qQJ2hQw_2_11"/>
      <w:bookmarkStart w:id="1154" w:name="Tc_B9YKiVjz4kueFeHQIyhCvw_2_8"/>
      <w:bookmarkStart w:id="1155" w:name="Tc_ZfzTt-jpY0eJ1UBhEXnksA_2_5"/>
      <w:bookmarkStart w:id="1156" w:name="Tc_7ty5T15QvEKwoiwSLc0WSA_2_2"/>
      <w:bookmarkStart w:id="1157" w:name="Tc_5vP5QR04ukelzS0NRvjAEw_1_2"/>
      <w:bookmarkStart w:id="1158" w:name="_1e4d5122_7d71_4397_96b1_61a4c47b722b"/>
      <w:bookmarkStart w:id="1159" w:name="Tc_Bw2tYjwRiE2XQ54vIsOEyw_10_11"/>
      <w:bookmarkStart w:id="1160" w:name="Tc_HBSrVWi8k0KDNZX_tz184Q_10_8"/>
      <w:bookmarkStart w:id="1161" w:name="Tc_y44lp429BkSyIbfCvhKcag_10_6"/>
      <w:bookmarkStart w:id="1162" w:name="Tc_6gqJNVUjokCQHHGEY557cQ_10_5"/>
      <w:bookmarkStart w:id="1163" w:name="Tc_jJw1IdzSTUehkvQdTbdmBg_10_2"/>
      <w:bookmarkStart w:id="1164" w:name="Tc_qNdd_knyyky6-k3SgewKPQ_10_0"/>
      <w:bookmarkStart w:id="1165" w:name="Tc_5fOn_tVaYkS4ne7LcvBcWg_9_9"/>
      <w:bookmarkStart w:id="1166" w:name="Tc_1zKvvYyAUEexKtq-XsuSBw_9_6"/>
      <w:bookmarkStart w:id="1167" w:name="Tc_V62k4OTd1U-ai0wUwGBu9Q_9_0"/>
      <w:bookmarkStart w:id="1168" w:name="Tc_ENREaJ0KxkuNSilqxCFnFQ_8_6"/>
      <w:bookmarkStart w:id="1169" w:name="Tc_D6u3qHt41E6WzciFYxs_Qg_8_0"/>
      <w:bookmarkStart w:id="1170" w:name="Tc_5OiN1Nzmf02sFDST9mFFtg_7_6"/>
      <w:bookmarkStart w:id="1171" w:name="Tc_ogaaZxdYN0eO7V-FvwpV2Q_7_0"/>
      <w:bookmarkStart w:id="1172" w:name="Tc_MHQPtgwyEEyuN5bGcTDQNQ_6_0"/>
      <w:bookmarkStart w:id="1173" w:name="Tc_Wh14MbCXVUOo0bVFX_S7zQ_5_11"/>
      <w:bookmarkStart w:id="1174" w:name="Tc_C3NFdXZxokeGtuiMZ3b0hw_5_9"/>
      <w:bookmarkStart w:id="1175" w:name="Tc_jQC28iOWVU6TjyGc3aK2xg_5_8"/>
      <w:bookmarkStart w:id="1176" w:name="Tc_IPYX8cd4okmzZMzM-LolCg_5_6"/>
      <w:bookmarkStart w:id="1177" w:name="Tc_MJH4M_Ci80eA_HZSVgljzg_5_5"/>
      <w:bookmarkStart w:id="1178" w:name="Tc_BHPo7tD_BUGVYABgP_gEwQ_5_2"/>
      <w:bookmarkStart w:id="1179" w:name="Tc_tagnHCEi706Bk9KPd8ertA_5_0"/>
      <w:bookmarkStart w:id="1180" w:name="Tc_t3GjVNzBZkaynbvqYreCww_4_0"/>
      <w:bookmarkStart w:id="1181" w:name="Tc_WfQOcgHSpkm9F7Ap179GpA_3_11"/>
      <w:bookmarkStart w:id="1182" w:name="Tc_vvh_VUyWXU6lwJJ87OXYNA_3_8"/>
      <w:bookmarkStart w:id="1183" w:name="Tc_4RQSJwVKjke5aFLxUK0x1A_3_5"/>
      <w:bookmarkStart w:id="1184" w:name="Tc_Ne24D2GMpUCVxDTLiP_M8A_3_2"/>
      <w:bookmarkStart w:id="1185" w:name="Tc_1auBZZkNH0eQCKuWzfY6hA_2_11"/>
      <w:bookmarkStart w:id="1186" w:name="Tc__rQTxSMS_E2O2FtIUvAJpw_2_8"/>
      <w:bookmarkStart w:id="1187" w:name="Tc_gyA9jkSjbUW3iplchos0mw_2_5"/>
      <w:bookmarkStart w:id="1188" w:name="Tc_MAIZeCb7e0qm1NHSVQA4Gw_2_2"/>
      <w:bookmarkStart w:id="1189" w:name="Tc_DGnSvSi1U0eKv_4zs8001A_1_2"/>
      <w:bookmarkStart w:id="1190" w:name="_34ae83b5_5fc0_4896_912e_dd0979131730"/>
      <w:bookmarkStart w:id="1191" w:name="Tc_aprN8b4mj0C-iA9h9_pI6A_11_11"/>
      <w:bookmarkStart w:id="1192" w:name="Tc_bYQvpmelk0mVzc-uv-5jfQ_11_8"/>
      <w:bookmarkStart w:id="1193" w:name="Tc_ToKn85Wcc0yk2TRqe_tGbg_11_5"/>
      <w:bookmarkStart w:id="1194" w:name="Tc_Fj5K4wySMEicrDBHePs5ZQ_11_2"/>
      <w:bookmarkStart w:id="1195" w:name="Tc_W6gyi-UXhU2CGQgKBl0xng_11_0"/>
      <w:bookmarkStart w:id="1196" w:name="Tc_q5pw2YLvv0yOHcjfwPWxQg_10_6"/>
      <w:bookmarkStart w:id="1197" w:name="Tc_uLEoTPkVa0m7RwVtS07NhQ_10_0"/>
      <w:bookmarkStart w:id="1198" w:name="Tc_PVYgYR8GQ0OKQ3WIleL1vA_9_0"/>
      <w:bookmarkStart w:id="1199" w:name="Tc_wi4zVxnf80iC4iOf5t_OxQ_8_9"/>
      <w:bookmarkStart w:id="1200" w:name="Tc_rpB-dBFhkk2ID66uJ1_WtA_8_0"/>
      <w:bookmarkStart w:id="1201" w:name="Tc_qyA4t86MNEKZCqZfBHRQKw_7_0"/>
      <w:bookmarkStart w:id="1202" w:name="Tc_o_fBLcKPwEe74uWte_dMzQ_6_9"/>
      <w:bookmarkStart w:id="1203" w:name="Tc__9itREJ0MU2tfQLzAZIvnQ_6_0"/>
      <w:bookmarkStart w:id="1204" w:name="Tc_uoGXVVsGpEah43PG6EszoA_5_11"/>
      <w:bookmarkStart w:id="1205" w:name="Tc_tlIWA2Nu7kW4p3AzXnr-ng_5_9"/>
      <w:bookmarkStart w:id="1206" w:name="Tc_MGsa1-f-dEWAki7mm-LeTA_5_8"/>
      <w:bookmarkStart w:id="1207" w:name="Tc_-pHeW-fB2EG4HeERhTwY9w_5_6"/>
      <w:bookmarkStart w:id="1208" w:name="Tc_RcSwK4adHUu_q5F1NRkiZg_5_5"/>
      <w:bookmarkStart w:id="1209" w:name="Tc_5G2B5FysAEmlgovqQrNhbQ_5_2"/>
      <w:bookmarkStart w:id="1210" w:name="Tc_1goxZm0ylUSytekbBvfhxw_5_0"/>
      <w:bookmarkStart w:id="1211" w:name="Tc_tM5FVgvgO0OElx4CgmVfLg_4_0"/>
      <w:bookmarkStart w:id="1212" w:name="Tc_OXFp7B6FRU-V27V_50ulOQ_3_11"/>
      <w:bookmarkStart w:id="1213" w:name="Tc_zVCxLFVVnEG9X1KjC8sZUQ_3_8"/>
      <w:bookmarkStart w:id="1214" w:name="Tc_rsWsbiUlZkatPJSOBp3iGQ_3_5"/>
      <w:bookmarkStart w:id="1215" w:name="Tc_728N_if7DUGCXkaP2vtJlA_3_2"/>
      <w:bookmarkStart w:id="1216" w:name="Tc_NTyp5gVYqEOR7a4qQJ2hQw_2_11"/>
      <w:bookmarkStart w:id="1217" w:name="Tc_B9YKiVjz4kueFeHQIyhCvw_2_8"/>
      <w:bookmarkStart w:id="1218" w:name="Tc_ZfzTt-jpY0eJ1UBhEXnksA_2_5"/>
      <w:bookmarkStart w:id="1219" w:name="Tc_7ty5T15QvEKwoiwSLc0WSA_2_2"/>
      <w:bookmarkStart w:id="1220" w:name="Tc_5vP5QR04ukelzS0NRvjAEw_1_2"/>
      <w:bookmarkStart w:id="1221" w:name="_1e4d5122_7d71_4397_96b1_61a4c47b722b"/>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p>
    <w:tbl>
      <w:tblPr>
        <w:tblW w:w="1502" w:type="dxa"/>
        <w:jc w:val="left"/>
        <w:tblInd w:w="0" w:type="dxa"/>
        <w:tblLayout w:type="fixed"/>
        <w:tblCellMar>
          <w:top w:w="0" w:type="dxa"/>
          <w:left w:w="0" w:type="dxa"/>
          <w:bottom w:w="0" w:type="dxa"/>
          <w:right w:w="0" w:type="dxa"/>
        </w:tblCellMar>
      </w:tblPr>
      <w:tblGrid>
        <w:gridCol w:w="346"/>
        <w:gridCol w:w="115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1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Money market funds and U.S. treasury securities with remaining maturities at the date of purchase of three months or less are classified as cash equivalents. All other investments in fixed income securities are classified as available-for-sale in the consolidated balance sheets. Fixed income securities are recorded at their estimated fair value. The amortized cost, gross unrealized holding gains and losses included in other comprehensive income (loss) and the fair value of the fixed income securities at September 30, 2023 and December 31, 2022 are presented in the tables below (in thousands):</w:t>
      </w:r>
    </w:p>
    <w:p>
      <w:pPr>
        <w:pStyle w:val="TextBody"/>
        <w:bidi w:val="0"/>
        <w:spacing w:before="0" w:after="0"/>
        <w:ind w:left="0" w:right="0" w:hanging="0"/>
        <w:jc w:val="left"/>
        <w:rPr/>
      </w:pPr>
      <w:r>
        <w:rPr/>
        <w:t>​</w:t>
      </w:r>
    </w:p>
    <w:tbl>
      <w:tblPr>
        <w:tblW w:w="8583"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318"/>
        <w:gridCol w:w="568"/>
        <w:gridCol w:w="326"/>
        <w:gridCol w:w="211"/>
        <w:gridCol w:w="793"/>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 cy="175260"/>
                      <wp:effectExtent l="0" t="0" r="0" b="0"/>
                      <wp:wrapNone/>
                      <wp:docPr id="180"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2725" cy="175260"/>
                      <wp:effectExtent l="0" t="0" r="0" b="0"/>
                      <wp:wrapNone/>
                      <wp:docPr id="182" name="Frame18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49885" cy="175260"/>
                      <wp:effectExtent l="0" t="0" r="0" b="0"/>
                      <wp:wrapNone/>
                      <wp:docPr id="183" name="Frame18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1930" cy="175260"/>
                      <wp:effectExtent l="0" t="0" r="0" b="0"/>
                      <wp:wrapNone/>
                      <wp:docPr id="185" name="Frame18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0680" cy="175260"/>
                      <wp:effectExtent l="0" t="0" r="0" b="0"/>
                      <wp:wrapNone/>
                      <wp:docPr id="186" name="Frame186"/>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3555" cy="175260"/>
                      <wp:effectExtent l="0" t="0" r="0" b="0"/>
                      <wp:wrapNone/>
                      <wp:docPr id="189" name="Frame18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15,614</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11,898</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14,687</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35,602</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35,589</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18,224</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18,194</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68,512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68,470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tbl>
      <w:tblPr>
        <w:tblW w:w="8583"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270"/>
        <w:gridCol w:w="616"/>
        <w:gridCol w:w="326"/>
        <w:gridCol w:w="211"/>
        <w:gridCol w:w="793"/>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29260" cy="175260"/>
                      <wp:effectExtent l="0" t="0" r="0" b="0"/>
                      <wp:wrapNone/>
                      <wp:docPr id="192" name="Frame1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2725" cy="175260"/>
                      <wp:effectExtent l="0" t="0" r="0" b="0"/>
                      <wp:wrapNone/>
                      <wp:docPr id="194" name="Frame19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49885" cy="175260"/>
                      <wp:effectExtent l="0" t="0" r="0" b="0"/>
                      <wp:wrapNone/>
                      <wp:docPr id="195" name="Frame19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1450" cy="175260"/>
                      <wp:effectExtent l="0" t="0" r="0" b="0"/>
                      <wp:wrapNone/>
                      <wp:docPr id="197" name="Frame19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91160" cy="175260"/>
                      <wp:effectExtent l="0" t="0" r="0" b="0"/>
                      <wp:wrapNone/>
                      <wp:docPr id="198" name="Frame19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03555" cy="175260"/>
                      <wp:effectExtent l="0" t="0" r="0" b="0"/>
                      <wp:wrapNone/>
                      <wp:docPr id="201" name="Frame20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58,514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85,237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84,923</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invests in highly rated investment grade debt securities. All of the Company’s available-for-sale 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September 30, 2023 or December 31, 2022. 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 Accordingly, the Company determined that none of the unrealized losses were other-than-temporary, and that recognition of an impairment charge was not required as of September 30, 2023, and December 31, 2022. As of September 30, 2023, there were 12 securities that were in an unrealized loss position with a market value of $44.8 million, with the largest loss for any single security being inconsequential. None of the Company’s available-for-sale securities have been in an unrealized loss position for more than one year. No available-for-sale security was sold during the three and nine months ended September 30, 2023 and 2022, respectively.</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8 for additional information regarding the fair value of the Company’s investments.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22" w:name="Tc_NVBa9jEm4USE8DlPTnfLvA_16_8"/>
      <w:bookmarkStart w:id="1223" w:name="Tc_etW6EHMiSUuNuUpjFibhDw_16_6"/>
      <w:bookmarkStart w:id="1224" w:name="Tc_fhFhb3RH402aawTf2CvUcQ_16_5"/>
      <w:bookmarkStart w:id="1225" w:name="Tc_4ii_RBglU0aBndZ0PQPZNw_16_2"/>
      <w:bookmarkStart w:id="1226" w:name="Tc_pW5xK6SjiEKn019pK5dvZQ_16_0"/>
      <w:bookmarkStart w:id="1227" w:name="Tc_P-ohBgZhQk2nzyg99B67oA_15_6"/>
      <w:bookmarkStart w:id="1228" w:name="Tc_W2YvZ8auW0WQKhs_18SM9g_15_3"/>
      <w:bookmarkStart w:id="1229" w:name="Tc_kyk71hvHcUSg4iSSNv3blA_15_0"/>
      <w:bookmarkStart w:id="1230" w:name="Tc_Ol5gjz6zkkGYwjziq1H7DQ_14_6"/>
      <w:bookmarkStart w:id="1231" w:name="Tc_aeqUVw0r9EGKbLUc-yGokQ_14_3"/>
      <w:bookmarkStart w:id="1232" w:name="Tc_91xI4yuCtkCUzIUuV-ys_A_14_0"/>
      <w:bookmarkStart w:id="1233" w:name="Tc_ecSbQp-QXEakQ-OyeBLElQ_13_9"/>
      <w:bookmarkStart w:id="1234" w:name="Tc_qETHeRwiaEW1dY9_ynu1eA_13_6"/>
      <w:bookmarkStart w:id="1235" w:name="Tc_wSSniseXUEeC9QxWf-O6nQ_13_0"/>
      <w:bookmarkStart w:id="1236" w:name="Tc_fuhfB1QbuUqTOWCBPa52yA_12_0"/>
      <w:bookmarkStart w:id="1237" w:name="Tc_0piUPdJPPESQijQKG8KLhw_11_9"/>
      <w:bookmarkStart w:id="1238" w:name="Tc_wfodqLhc4EuUKrItZsZAQw_11_8"/>
      <w:bookmarkStart w:id="1239" w:name="Tc_KjHartHo00OkiUOQNt0LwA_11_5"/>
      <w:bookmarkStart w:id="1240" w:name="Tc_oc4p5BiFKE2U2334-xalXg_11_2"/>
      <w:bookmarkStart w:id="1241" w:name="Tc_93x7humPlEmgNH9jJAEoGw_11_0"/>
      <w:bookmarkStart w:id="1242" w:name="Tc_e36ZwWi-W0qd8HEXXM7qVg_10_9"/>
      <w:bookmarkStart w:id="1243" w:name="Tc_RfiJaZ_8zESNFy4NK_FwKA_10_3"/>
      <w:bookmarkStart w:id="1244" w:name="Tc_PsjioyZ-HkqnFUtIIJSNdQ_10_0"/>
      <w:bookmarkStart w:id="1245" w:name="Tc_OXdUjN31dkquGlayfQq5pA_9_9"/>
      <w:bookmarkStart w:id="1246" w:name="Tc_FUCg6OXo-UeQOJ-09PQzEg_9_3"/>
      <w:bookmarkStart w:id="1247" w:name="Tc_d7eNNYFo6EOvNSpTfERUaQ_9_0"/>
      <w:bookmarkStart w:id="1248" w:name="Tc_80ldegN1Ck-mJRxBYqFBRQ_8_9"/>
      <w:bookmarkStart w:id="1249" w:name="Tc_8FSzgRvLw0KkY8zCKsM0Kg_8_6"/>
      <w:bookmarkStart w:id="1250" w:name="Tc_PEr7p2cexEydER5WbHcXKQ_8_0"/>
      <w:bookmarkStart w:id="1251" w:name="Tc_4bfg9wtCikmIolRXrF3_Kw_7_0"/>
      <w:bookmarkStart w:id="1252" w:name="Tc_Eed4ZykP00u4b8LFVqo0hg_6_9"/>
      <w:bookmarkStart w:id="1253" w:name="Tc_jm7ec-qfq0iHVg2jSOM5eA_6_6"/>
      <w:bookmarkStart w:id="1254" w:name="Tc_u_gFgh3e30OyNSugGbkldg_6_0"/>
      <w:bookmarkStart w:id="1255" w:name="Tc_kj1e5YaJ6E6J6QJqXVg5fg_5_9"/>
      <w:bookmarkStart w:id="1256" w:name="Tc_CpxfVHOrK0Kq5hFCtqAaQw_5_8"/>
      <w:bookmarkStart w:id="1257" w:name="Tc_tH74p9i4Cke7sJ0u9jl3fg_5_6"/>
      <w:bookmarkStart w:id="1258" w:name="Tc_MMcNW2FDK0KKVk6YfeAplA_5_5"/>
      <w:bookmarkStart w:id="1259" w:name="Tc_Pc9wJYyc0EGgQPcJJeDgNw_5_2"/>
      <w:bookmarkStart w:id="1260" w:name="Tc_oT8Iv2F3ekKSWAUxBDTaIQ_5_0"/>
      <w:bookmarkStart w:id="1261" w:name="Tc_sOtLyaHxNU2eP-G_AQJF1w_4_0"/>
      <w:bookmarkStart w:id="1262" w:name="Tc_xCOL3I8epkGIg6ydX2tWLg_3_0"/>
      <w:bookmarkStart w:id="1263" w:name="Tc_KaQGoD6-gkuOhMwlYCIqHQ_2_8"/>
      <w:bookmarkStart w:id="1264" w:name="Tc_OsTGUoq58Em8SWixJRVIYA_2_5"/>
      <w:bookmarkStart w:id="1265" w:name="Tc_hTECqR6jdkimasKa4LbZzA_2_2"/>
      <w:bookmarkStart w:id="1266" w:name="Tc_SXeLxtpaNEin6A5MQqt3hQ_1_2"/>
      <w:bookmarkStart w:id="1267" w:name="_795cc3c0_ac8c_44a3_9511_86db4026b985"/>
      <w:bookmarkStart w:id="1268" w:name="Tc_NVBa9jEm4USE8DlPTnfLvA_16_8"/>
      <w:bookmarkStart w:id="1269" w:name="Tc_etW6EHMiSUuNuUpjFibhDw_16_6"/>
      <w:bookmarkStart w:id="1270" w:name="Tc_fhFhb3RH402aawTf2CvUcQ_16_5"/>
      <w:bookmarkStart w:id="1271" w:name="Tc_4ii_RBglU0aBndZ0PQPZNw_16_2"/>
      <w:bookmarkStart w:id="1272" w:name="Tc_pW5xK6SjiEKn019pK5dvZQ_16_0"/>
      <w:bookmarkStart w:id="1273" w:name="Tc_P-ohBgZhQk2nzyg99B67oA_15_6"/>
      <w:bookmarkStart w:id="1274" w:name="Tc_W2YvZ8auW0WQKhs_18SM9g_15_3"/>
      <w:bookmarkStart w:id="1275" w:name="Tc_kyk71hvHcUSg4iSSNv3blA_15_0"/>
      <w:bookmarkStart w:id="1276" w:name="Tc_Ol5gjz6zkkGYwjziq1H7DQ_14_6"/>
      <w:bookmarkStart w:id="1277" w:name="Tc_aeqUVw0r9EGKbLUc-yGokQ_14_3"/>
      <w:bookmarkStart w:id="1278" w:name="Tc_91xI4yuCtkCUzIUuV-ys_A_14_0"/>
      <w:bookmarkStart w:id="1279" w:name="Tc_ecSbQp-QXEakQ-OyeBLElQ_13_9"/>
      <w:bookmarkStart w:id="1280" w:name="Tc_qETHeRwiaEW1dY9_ynu1eA_13_6"/>
      <w:bookmarkStart w:id="1281" w:name="Tc_wSSniseXUEeC9QxWf-O6nQ_13_0"/>
      <w:bookmarkStart w:id="1282" w:name="Tc_fuhfB1QbuUqTOWCBPa52yA_12_0"/>
      <w:bookmarkStart w:id="1283" w:name="Tc_0piUPdJPPESQijQKG8KLhw_11_9"/>
      <w:bookmarkStart w:id="1284" w:name="Tc_wfodqLhc4EuUKrItZsZAQw_11_8"/>
      <w:bookmarkStart w:id="1285" w:name="Tc_KjHartHo00OkiUOQNt0LwA_11_5"/>
      <w:bookmarkStart w:id="1286" w:name="Tc_oc4p5BiFKE2U2334-xalXg_11_2"/>
      <w:bookmarkStart w:id="1287" w:name="Tc_93x7humPlEmgNH9jJAEoGw_11_0"/>
      <w:bookmarkStart w:id="1288" w:name="Tc_e36ZwWi-W0qd8HEXXM7qVg_10_9"/>
      <w:bookmarkStart w:id="1289" w:name="Tc_RfiJaZ_8zESNFy4NK_FwKA_10_3"/>
      <w:bookmarkStart w:id="1290" w:name="Tc_PsjioyZ-HkqnFUtIIJSNdQ_10_0"/>
      <w:bookmarkStart w:id="1291" w:name="Tc_OXdUjN31dkquGlayfQq5pA_9_9"/>
      <w:bookmarkStart w:id="1292" w:name="Tc_FUCg6OXo-UeQOJ-09PQzEg_9_3"/>
      <w:bookmarkStart w:id="1293" w:name="Tc_d7eNNYFo6EOvNSpTfERUaQ_9_0"/>
      <w:bookmarkStart w:id="1294" w:name="Tc_80ldegN1Ck-mJRxBYqFBRQ_8_9"/>
      <w:bookmarkStart w:id="1295" w:name="Tc_8FSzgRvLw0KkY8zCKsM0Kg_8_6"/>
      <w:bookmarkStart w:id="1296" w:name="Tc_PEr7p2cexEydER5WbHcXKQ_8_0"/>
      <w:bookmarkStart w:id="1297" w:name="Tc_4bfg9wtCikmIolRXrF3_Kw_7_0"/>
      <w:bookmarkStart w:id="1298" w:name="Tc_Eed4ZykP00u4b8LFVqo0hg_6_9"/>
      <w:bookmarkStart w:id="1299" w:name="Tc_jm7ec-qfq0iHVg2jSOM5eA_6_6"/>
      <w:bookmarkStart w:id="1300" w:name="Tc_u_gFgh3e30OyNSugGbkldg_6_0"/>
      <w:bookmarkStart w:id="1301" w:name="Tc_kj1e5YaJ6E6J6QJqXVg5fg_5_9"/>
      <w:bookmarkStart w:id="1302" w:name="Tc_CpxfVHOrK0Kq5hFCtqAaQw_5_8"/>
      <w:bookmarkStart w:id="1303" w:name="Tc_tH74p9i4Cke7sJ0u9jl3fg_5_6"/>
      <w:bookmarkStart w:id="1304" w:name="Tc_MMcNW2FDK0KKVk6YfeAplA_5_5"/>
      <w:bookmarkStart w:id="1305" w:name="Tc_Pc9wJYyc0EGgQPcJJeDgNw_5_2"/>
      <w:bookmarkStart w:id="1306" w:name="Tc_oT8Iv2F3ekKSWAUxBDTaIQ_5_0"/>
      <w:bookmarkStart w:id="1307" w:name="Tc_sOtLyaHxNU2eP-G_AQJF1w_4_0"/>
      <w:bookmarkStart w:id="1308" w:name="Tc_xCOL3I8epkGIg6ydX2tWLg_3_0"/>
      <w:bookmarkStart w:id="1309" w:name="Tc_KaQGoD6-gkuOhMwlYCIqHQ_2_8"/>
      <w:bookmarkStart w:id="1310" w:name="Tc_OsTGUoq58Em8SWixJRVIYA_2_5"/>
      <w:bookmarkStart w:id="1311" w:name="Tc_hTECqR6jdkimasKa4LbZzA_2_2"/>
      <w:bookmarkStart w:id="1312" w:name="Tc_SXeLxtpaNEin6A5MQqt3hQ_1_2"/>
      <w:bookmarkStart w:id="1313" w:name="_795cc3c0_ac8c_44a3_9511_86db4026b985"/>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September 30, 2023 and December 31, 2022, respectively (in thousands):</w:t>
      </w:r>
    </w:p>
    <w:tbl>
      <w:tblPr>
        <w:tblW w:w="750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88"/>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7" name="Frame2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6880" cy="175260"/>
                      <wp:effectExtent l="0" t="0" r="0" b="0"/>
                      <wp:wrapNone/>
                      <wp:docPr id="210" name="Frame21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7,379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14" w:name="Tc_wUmFjoTULEeOhlbgmiZyTA_16_8"/>
      <w:bookmarkStart w:id="1315" w:name="Tc_P8WfvfwChE-qzJG1seiArQ_16_6"/>
      <w:bookmarkStart w:id="1316" w:name="Tc_1R3Z79skU0mMTZ5lGv37sw_16_5"/>
      <w:bookmarkStart w:id="1317" w:name="Tc_6kw04DNQIEGcnzQruOGMLw_16_2"/>
      <w:bookmarkStart w:id="1318" w:name="Tc_YfCXrg-X30aDN2RN_WTBzA_16_0"/>
      <w:bookmarkStart w:id="1319" w:name="Tc_lmEzs5WP3UaNRkOf7jFiTQ_15_6"/>
      <w:bookmarkStart w:id="1320" w:name="Tc_TbMzJjMiY0usLvioXjCGDg_15_3"/>
      <w:bookmarkStart w:id="1321" w:name="Tc_q15dOxQ4CEG1toAG1BJ7BQ_15_0"/>
      <w:bookmarkStart w:id="1322" w:name="Tc_M-SXFDPtfE-sNywX7uNaiQ_14_6"/>
      <w:bookmarkStart w:id="1323" w:name="Tc_2C1U1WWfBE-ZjsKFnTcRqg_14_3"/>
      <w:bookmarkStart w:id="1324" w:name="Tc_kBxQMYZttU6jFHSHET9Aow_14_0"/>
      <w:bookmarkStart w:id="1325" w:name="Tc_JFo6lP1kM0iEpesluq_1LQ_13_9"/>
      <w:bookmarkStart w:id="1326" w:name="Tc_tQ3e1APp6EKeHVrQ016_Iw_13_6"/>
      <w:bookmarkStart w:id="1327" w:name="Tc_EqQB2BFPE067NTokaVTuFg_13_0"/>
      <w:bookmarkStart w:id="1328" w:name="Tc_V3V1lzKjsES0jWgzy6L4Ng_12_0"/>
      <w:bookmarkStart w:id="1329" w:name="Tc_8-NsyxXx6EuJjDcm8Gur6A_11_8"/>
      <w:bookmarkStart w:id="1330" w:name="Tc_rKpF4Kgom0CDtLwXPleY1Q_11_5"/>
      <w:bookmarkStart w:id="1331" w:name="Tc_RGQcqWwDk0Cay4pXMKPTJw_11_2"/>
      <w:bookmarkStart w:id="1332" w:name="Tc_fHXznnnP-EunwRUciBjrqQ_11_0"/>
      <w:bookmarkStart w:id="1333" w:name="Tc_91w1EgkmEU2KTvgf6kxDqQ_10_6"/>
      <w:bookmarkStart w:id="1334" w:name="Tc_2uOIJGoFMk-7ZNV4PnN_sg_10_3"/>
      <w:bookmarkStart w:id="1335" w:name="Tc_rnmPc_bbSkanYgRZwC_9jg_10_0"/>
      <w:bookmarkStart w:id="1336" w:name="Tc_5C2NizxhpEmlNSfdZPisdA_9_9"/>
      <w:bookmarkStart w:id="1337" w:name="Tc__aNH50iWfU2gBWY7lkKLUQ_9_3"/>
      <w:bookmarkStart w:id="1338" w:name="Tc_Q2W0YNv4LEGS3rj2kujLUw_9_0"/>
      <w:bookmarkStart w:id="1339" w:name="Tc_pQs5zKzTO0SAWSEYlq1erQ_8_9"/>
      <w:bookmarkStart w:id="1340" w:name="Tc_QBDY5GcbrUWUtvzpFClfHA_8_3"/>
      <w:bookmarkStart w:id="1341" w:name="Tc_29r8hv5yJkylqB6SY4OwbA_8_0"/>
      <w:bookmarkStart w:id="1342" w:name="Tc_V0iYr5cbVE26gS3PmHteQg_7_9"/>
      <w:bookmarkStart w:id="1343" w:name="Tc_v3-tOUTHyEqqc8G6jF8pzw_7_6"/>
      <w:bookmarkStart w:id="1344" w:name="Tc_Vci6ZiXZkUeBXH56jvFdGw_7_0"/>
      <w:bookmarkStart w:id="1345" w:name="Tc_JlrUCdfYWUmRSZlXCLHRUQ_6_0"/>
      <w:bookmarkStart w:id="1346" w:name="Tc_KChlv9lAik2-eBrbcli3Og_5_9"/>
      <w:bookmarkStart w:id="1347" w:name="Tc_slKORhcMXUa5sx_tcYWKBA_5_6"/>
      <w:bookmarkStart w:id="1348" w:name="Tc_0gyigXU5D0C1dGxlTEcBlw_5_5"/>
      <w:bookmarkStart w:id="1349" w:name="Tc_lNqY_zqgYUi8n5qtAB0IaQ_5_2"/>
      <w:bookmarkStart w:id="1350" w:name="Tc_BBea2JkhuUG6f-_0ei9Ggw_5_0"/>
      <w:bookmarkStart w:id="1351" w:name="Tc_dsxWQsr3GEi2e8bYtsFW6g_4_0"/>
      <w:bookmarkStart w:id="1352" w:name="Tc_1DvgKtJ-f02bMrWLKSCExA_3_0"/>
      <w:bookmarkStart w:id="1353" w:name="Tc_Mt4O_7Ln6UWENqSNf35zPQ_2_8"/>
      <w:bookmarkStart w:id="1354" w:name="Tc_JGO3tvpAPUiU_G9U-i7ggA_2_5"/>
      <w:bookmarkStart w:id="1355" w:name="Tc_vPFF5rVKCU6LASRxkStmQA_2_2"/>
      <w:bookmarkStart w:id="1356" w:name="Tc_74o606cpQkmGJ5iBOLnIrA_1_2"/>
      <w:bookmarkStart w:id="1357" w:name="_42d2fb24_d8fd_4d3c_a49d_5b5eba6b87c8"/>
      <w:bookmarkStart w:id="1358" w:name="Tc_wUmFjoTULEeOhlbgmiZyTA_16_8"/>
      <w:bookmarkStart w:id="1359" w:name="Tc_P8WfvfwChE-qzJG1seiArQ_16_6"/>
      <w:bookmarkStart w:id="1360" w:name="Tc_1R3Z79skU0mMTZ5lGv37sw_16_5"/>
      <w:bookmarkStart w:id="1361" w:name="Tc_6kw04DNQIEGcnzQruOGMLw_16_2"/>
      <w:bookmarkStart w:id="1362" w:name="Tc_YfCXrg-X30aDN2RN_WTBzA_16_0"/>
      <w:bookmarkStart w:id="1363" w:name="Tc_lmEzs5WP3UaNRkOf7jFiTQ_15_6"/>
      <w:bookmarkStart w:id="1364" w:name="Tc_TbMzJjMiY0usLvioXjCGDg_15_3"/>
      <w:bookmarkStart w:id="1365" w:name="Tc_q15dOxQ4CEG1toAG1BJ7BQ_15_0"/>
      <w:bookmarkStart w:id="1366" w:name="Tc_M-SXFDPtfE-sNywX7uNaiQ_14_6"/>
      <w:bookmarkStart w:id="1367" w:name="Tc_2C1U1WWfBE-ZjsKFnTcRqg_14_3"/>
      <w:bookmarkStart w:id="1368" w:name="Tc_kBxQMYZttU6jFHSHET9Aow_14_0"/>
      <w:bookmarkStart w:id="1369" w:name="Tc_JFo6lP1kM0iEpesluq_1LQ_13_9"/>
      <w:bookmarkStart w:id="1370" w:name="Tc_tQ3e1APp6EKeHVrQ016_Iw_13_6"/>
      <w:bookmarkStart w:id="1371" w:name="Tc_EqQB2BFPE067NTokaVTuFg_13_0"/>
      <w:bookmarkStart w:id="1372" w:name="Tc_V3V1lzKjsES0jWgzy6L4Ng_12_0"/>
      <w:bookmarkStart w:id="1373" w:name="Tc_8-NsyxXx6EuJjDcm8Gur6A_11_8"/>
      <w:bookmarkStart w:id="1374" w:name="Tc_rKpF4Kgom0CDtLwXPleY1Q_11_5"/>
      <w:bookmarkStart w:id="1375" w:name="Tc_RGQcqWwDk0Cay4pXMKPTJw_11_2"/>
      <w:bookmarkStart w:id="1376" w:name="Tc_fHXznnnP-EunwRUciBjrqQ_11_0"/>
      <w:bookmarkStart w:id="1377" w:name="Tc_91w1EgkmEU2KTvgf6kxDqQ_10_6"/>
      <w:bookmarkStart w:id="1378" w:name="Tc_2uOIJGoFMk-7ZNV4PnN_sg_10_3"/>
      <w:bookmarkStart w:id="1379" w:name="Tc_rnmPc_bbSkanYgRZwC_9jg_10_0"/>
      <w:bookmarkStart w:id="1380" w:name="Tc_5C2NizxhpEmlNSfdZPisdA_9_9"/>
      <w:bookmarkStart w:id="1381" w:name="Tc__aNH50iWfU2gBWY7lkKLUQ_9_3"/>
      <w:bookmarkStart w:id="1382" w:name="Tc_Q2W0YNv4LEGS3rj2kujLUw_9_0"/>
      <w:bookmarkStart w:id="1383" w:name="Tc_pQs5zKzTO0SAWSEYlq1erQ_8_9"/>
      <w:bookmarkStart w:id="1384" w:name="Tc_QBDY5GcbrUWUtvzpFClfHA_8_3"/>
      <w:bookmarkStart w:id="1385" w:name="Tc_29r8hv5yJkylqB6SY4OwbA_8_0"/>
      <w:bookmarkStart w:id="1386" w:name="Tc_V0iYr5cbVE26gS3PmHteQg_7_9"/>
      <w:bookmarkStart w:id="1387" w:name="Tc_v3-tOUTHyEqqc8G6jF8pzw_7_6"/>
      <w:bookmarkStart w:id="1388" w:name="Tc_Vci6ZiXZkUeBXH56jvFdGw_7_0"/>
      <w:bookmarkStart w:id="1389" w:name="Tc_JlrUCdfYWUmRSZlXCLHRUQ_6_0"/>
      <w:bookmarkStart w:id="1390" w:name="Tc_KChlv9lAik2-eBrbcli3Og_5_9"/>
      <w:bookmarkStart w:id="1391" w:name="Tc_slKORhcMXUa5sx_tcYWKBA_5_6"/>
      <w:bookmarkStart w:id="1392" w:name="Tc_0gyigXU5D0C1dGxlTEcBlw_5_5"/>
      <w:bookmarkStart w:id="1393" w:name="Tc_lNqY_zqgYUi8n5qtAB0IaQ_5_2"/>
      <w:bookmarkStart w:id="1394" w:name="Tc_BBea2JkhuUG6f-_0ei9Ggw_5_0"/>
      <w:bookmarkStart w:id="1395" w:name="Tc_dsxWQsr3GEi2e8bYtsFW6g_4_0"/>
      <w:bookmarkStart w:id="1396" w:name="Tc_1DvgKtJ-f02bMrWLKSCExA_3_0"/>
      <w:bookmarkStart w:id="1397" w:name="Tc_Mt4O_7Ln6UWENqSNf35zPQ_2_8"/>
      <w:bookmarkStart w:id="1398" w:name="Tc_JGO3tvpAPUiU_G9U-i7ggA_2_5"/>
      <w:bookmarkStart w:id="1399" w:name="Tc_vPFF5rVKCU6LASRxkStmQA_2_2"/>
      <w:bookmarkStart w:id="1400" w:name="Tc_74o606cpQkmGJ5iBOLnIrA_1_2"/>
      <w:bookmarkStart w:id="1401" w:name="_42d2fb24_d8fd_4d3c_a49d_5b5eba6b87c8"/>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p>
    <w:tbl>
      <w:tblPr>
        <w:tblW w:w="750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88"/>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29260" cy="175260"/>
                      <wp:effectExtent l="0" t="0" r="0" b="0"/>
                      <wp:wrapNone/>
                      <wp:docPr id="213" name="Frame2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6880" cy="175260"/>
                      <wp:effectExtent l="0" t="0" r="0" b="0"/>
                      <wp:wrapNone/>
                      <wp:docPr id="219" name="Frame21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Warrant Agreement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2,274</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September 30, 2023 and December 31, 2022, the Company has recorded the following financial instruments subject to fair value measurements: 1) Derivative warrant liabilities—Public Warrants and Private Warrants, 2) Forward Warrant Agreement, and 3) Earn-out liabilities. The Company also has long-term debt and a line of credit that provides for variable interest, and therefore, the carrying value approximates the fair value. The carrying values of the long-term debt and line of credit as of September 30, 2023 and December 31, 2022 represent the original principal amounts borrowed less principal payments and debt issuance costs.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the Public Warrants has been measured based on the observable listed prices for such warrants, a Level 1 measurement. The Company’s money market funds and U.S. Treasury securities are classified within Level 1 due to the highly liquid nature of these assets with quoted prices in active markets. The fair value of the investments in available-for-sale securities (i.e., U.S government agency bonds, corporate bonds and commercial paper) and long-term debt and a line of credit issued by the Company are classified within Level 2. The fair value of the Company’s Level 2 financial assets is determined by using inputs based on quoted market prices for similar instruments. All other financial instruments are classified as Level 3 liabilities as they all include unobservable inputs.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Private Warrants are measured at fair value using a Black Scholes model. The Company estimated the fair value of the Forward Warrant Agreement using a forward analysis with unobservable inputs which included selected risk-free rate and probability outcomes. The Forward Warrant Agreement probability has been reduced to 0% and thus has no value. The Company has further discussed the key aspects of the fair value measurements described above in Notes 12 and 13 to the condensed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the Earn-out liabilities is estimated using a Monte Carlo simulation model. The Company has further discussed the key aspects of the valuation inputs in Note 4 to the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December 31, 2021, the Company recorded a derivative warrant liability for the Trinity Warrants (as defined below) at fair value using a Black- Scholes option model with unobservable inputs including volatility. The Company estimates the volatility of its ordinary share warrants based on implied volatility from the Company’s publicly traded warrants and from historical volatility of select peer company’s ordinary shares that matches the expected remaining life of the warrants. On June 2, 2022, all outstanding Trinity Warrants were exercised into shares of the Company’s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402" w:name="Tc_exHnQrX1E0Kg8_CCyzyhdw_18_11"/>
      <w:bookmarkStart w:id="1403" w:name="Tc_Z5cPh-Q9OEmkCmVlM1osXA_18_8"/>
      <w:bookmarkStart w:id="1404" w:name="Tc_0Ct8jP-so0qFJhL4f4w29w_18_5"/>
      <w:bookmarkStart w:id="1405" w:name="Tc_fKSCyWj7jUi61I0UOR3OzA_18_3"/>
      <w:bookmarkStart w:id="1406" w:name="Tc_zWHKTXFgUU-9QpyJhcpncw_18_2"/>
      <w:bookmarkStart w:id="1407" w:name="Tc_BVP76U6JdUavEJliFObvyw_18_0"/>
      <w:bookmarkStart w:id="1408" w:name="Tc_4b_9eUeCs068UlCkw6NBoA_17_3"/>
      <w:bookmarkStart w:id="1409" w:name="Tc_f-JnIxOBpkq6juECu0nVnA_17_0"/>
      <w:bookmarkStart w:id="1410" w:name="Tc_I2uvDwtS9UqD92wf6XQLqQ_16_12"/>
      <w:bookmarkStart w:id="1411" w:name="Tc_xwSKMtfFv0yV4bcIl8GWvg_16_6"/>
      <w:bookmarkStart w:id="1412" w:name="Tc_J7tmbF6lKUas0PDz1x8p2Q_16_0"/>
      <w:bookmarkStart w:id="1413" w:name="Tc_RzqDOwtzjkaG_YE8W8Cn5w_15_0"/>
      <w:bookmarkStart w:id="1414" w:name="Tc_vq8GvVbu0EGiVc3Z32vjmg_14_0"/>
      <w:bookmarkStart w:id="1415" w:name="Tc_Xj2rmCDtqEKmBHs_FNNKcg_13_9"/>
      <w:bookmarkStart w:id="1416" w:name="Tc_TQCpwTjYRU6s2sQpNtspeQ_13_3"/>
      <w:bookmarkStart w:id="1417" w:name="Tc_q_F0jzX79EKIDxgCesgi-Q_13_0"/>
      <w:bookmarkStart w:id="1418" w:name="Tc_fjBXGCvCN0CpamKHgldKdg_12_12"/>
      <w:bookmarkStart w:id="1419" w:name="Tc_sPEa23gUsUqUfbkYuuj5uA_12_11"/>
      <w:bookmarkStart w:id="1420" w:name="Tc_mbxMLfszkEW_qneYPqYsHQ_12_8"/>
      <w:bookmarkStart w:id="1421" w:name="Tc_VlsdoaBl2EKpXCVXQ9gBBw_12_6"/>
      <w:bookmarkStart w:id="1422" w:name="Tc_F60JYczbxUqRQ4GBtOsYwg_12_5"/>
      <w:bookmarkStart w:id="1423" w:name="Tc_zFvXMKkR6EeqHeMI1iDx7A_12_2"/>
      <w:bookmarkStart w:id="1424" w:name="Tc_HixSaERBUkKcRyRJ0PU33Q_12_0"/>
      <w:bookmarkStart w:id="1425" w:name="Tc_KZxoOl6Fe0SW2llrgJaTHA_10_11"/>
      <w:bookmarkStart w:id="1426" w:name="Tc_ucukh9-TekOx5mWZSKNZ3A_10_9"/>
      <w:bookmarkStart w:id="1427" w:name="Tc_PRYhnwjJLk62OLTKHGqUCA_10_8"/>
      <w:bookmarkStart w:id="1428" w:name="Tc_475e1cGSp0q74HmnOOPcnA_10_5"/>
      <w:bookmarkStart w:id="1429" w:name="Tc_YDMdYazT8E6hwbkIYfzycA_10_3"/>
      <w:bookmarkStart w:id="1430" w:name="Tc_jYy3IvqjnkatsuuaCYU3tA_10_2"/>
      <w:bookmarkStart w:id="1431" w:name="Tc_txDbbXfvQEuNHVKLOI1J5Q_10_0"/>
      <w:bookmarkStart w:id="1432" w:name="Tc_qcDh7y546EGvcjspSh0f2A_9_3"/>
      <w:bookmarkStart w:id="1433" w:name="Tc_L1Yp1nkWIkuFqo4xv5_MZw_9_0"/>
      <w:bookmarkStart w:id="1434" w:name="Tc_6KhCA3ABeEWIxoA3zVha9w_8_12"/>
      <w:bookmarkStart w:id="1435" w:name="Tc_DCWVFftN2UCGT3OpUq9w4Q_8_9"/>
      <w:bookmarkStart w:id="1436" w:name="Tc_j_AlJjfCfE2yKyhYOGaBxQ_8_3"/>
      <w:bookmarkStart w:id="1437" w:name="Tc_9E5uGOGuQUGIKP7lj817IA_8_0"/>
      <w:bookmarkStart w:id="1438" w:name="Tc_pdpNGTsH2kabsfEmXOm5mw_7_3"/>
      <w:bookmarkStart w:id="1439" w:name="Tc_9ki3wpY_RE2LAHvnF2xIpw_7_0"/>
      <w:bookmarkStart w:id="1440" w:name="Tc_UNbd8TAfiUilTwwA3ruy0Q_6_12"/>
      <w:bookmarkStart w:id="1441" w:name="Tc_KednsgXqwkup9BjGixPpYg_6_9"/>
      <w:bookmarkStart w:id="1442" w:name="Tc_9pAeUu1Y2EaKLuLRGV1GUA_6_3"/>
      <w:bookmarkStart w:id="1443" w:name="Tc_hYQxGzbJ8UiEGRiEUe5Hew_6_0"/>
      <w:bookmarkStart w:id="1444" w:name="Tc_sYYxBWAwJE2vuNTUHkRk6Q_5_3"/>
      <w:bookmarkStart w:id="1445" w:name="Tc_kGhZ8gRKUEeYjAW4JcDAaw_5_0"/>
      <w:bookmarkStart w:id="1446" w:name="Tc_ohHkHYa9xUWOCE1n3jq1Ig_4_11"/>
      <w:bookmarkStart w:id="1447" w:name="Tc_0uDcwKAbW0i9y5gaog8WdA_4_8"/>
      <w:bookmarkStart w:id="1448" w:name="Tc_-KC_j5KEYUKDHRzs1a1uBA_4_5"/>
      <w:bookmarkStart w:id="1449" w:name="Tc_dRBnaBGAs02j2A8DRmFM3w_4_3"/>
      <w:bookmarkStart w:id="1450" w:name="Tc_0KIXckwsUUuxPh8JGtl5Cg_4_2"/>
      <w:bookmarkStart w:id="1451" w:name="Tc_wV_pHJoGnEq_6Sfp6Wx-uA_4_0"/>
      <w:bookmarkStart w:id="1452" w:name="Tc_VCCWCZE6wUGIWjH7hBU_Iw_3_11"/>
      <w:bookmarkStart w:id="1453" w:name="Tc_erw5yG7GnUen9OW_rVulNg_3_8"/>
      <w:bookmarkStart w:id="1454" w:name="Tc_mRS61md2TUqYsNWsA3N1gQ_3_5"/>
      <w:bookmarkStart w:id="1455" w:name="Tc_1PfhiTSi_EqyMjB0pJ0mfg_3_2"/>
      <w:bookmarkStart w:id="1456" w:name="Tc_K3NUkY-NXUWyEJxOvcSNDA_2_11"/>
      <w:bookmarkStart w:id="1457" w:name="Tc_qxCukF7aY06zkNpMZ6mUiQ_2_8"/>
      <w:bookmarkStart w:id="1458" w:name="Tc_KvMvo7sTiEWNs67zYGdm9A_2_5"/>
      <w:bookmarkStart w:id="1459" w:name="Tc_i6khAHDgpk-I8cXb-4-kmA_2_2"/>
      <w:bookmarkStart w:id="1460" w:name="Tc_Xn_pMWNtQUuEL9s88JsIWg_1_8"/>
      <w:bookmarkStart w:id="1461" w:name="Tc_lUEJ4dUc7U6d_JRdZ3NmJg_1_5"/>
      <w:bookmarkStart w:id="1462" w:name="Tc_Z-f3_MckZ0-DFGV0b0dKkg_1_2"/>
      <w:bookmarkStart w:id="1463" w:name="_cf66f3f5_b9b9_48d5_95d5_e01294a9e4ea"/>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r>
        <w:rPr>
          <w:rFonts w:ascii="Times New Roman;Times;serif" w:hAnsi="Times New Roman;Times;serif"/>
          <w:sz w:val="20"/>
        </w:rPr>
        <w:t>During the nine months ended September 30, 2023, the Company reduced the estimated probability of occurrence for the forward warrant agreement from 50% to 0% because the Company determined that the forward warrant agreement would expire (see Note 13). There were no other changes in fair value measurement techniques during the nine months ended September 30, 2023 and the year ended December 31, 2022 (other than the change in valuation assumptions described in Note 1). There were no transfers between Level 1 or Level 2 of the fair value hierarchy during the nine months ended September 30, 2023 and the year ended December 31, 2022. There were no transfers in or out of Level 3 of the fair value hierarchy during the nine months ended September 30, 2023 and the year ended December 31, 2022, except that in the nine months ended September 30, 2023, the derivative liability for 480,273 warrants was transferred from Level 3 to Level 1 of the fair value hierarchy because the warrants were converted from Private to Public warrants. The transfer had a $0.1 million favorable impact on the Company’s net loss. Although management is not aware of any factors, other than those noted above, that would significantly affect the estimated fair value amounts, such amounts have not been comprehensively revalued for the purpose of these financial statements. Current estimates of fair value may differ from the amounts presented.</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nine months ended September 30, 2023, and 2022 respectively, is as follows (in thousands):</w:t>
      </w:r>
    </w:p>
    <w:p>
      <w:pPr>
        <w:pStyle w:val="TextBody"/>
        <w:bidi w:val="0"/>
        <w:spacing w:before="0" w:after="240"/>
        <w:ind w:left="0" w:right="0" w:firstLine="540"/>
        <w:jc w:val="both"/>
        <w:rPr/>
      </w:pPr>
      <w:r>
        <w:rPr/>
        <w:t>​</w:t>
      </w:r>
    </w:p>
    <w:tbl>
      <w:tblPr>
        <w:tblW w:w="10205" w:type="dxa"/>
        <w:jc w:val="left"/>
        <w:tblInd w:w="0" w:type="dxa"/>
        <w:tblLayout w:type="fixed"/>
        <w:tblCellMar>
          <w:top w:w="0" w:type="dxa"/>
          <w:left w:w="0" w:type="dxa"/>
          <w:bottom w:w="0" w:type="dxa"/>
          <w:right w:w="0" w:type="dxa"/>
        </w:tblCellMar>
      </w:tblPr>
      <w:tblGrid>
        <w:gridCol w:w="4236"/>
        <w:gridCol w:w="326"/>
        <w:gridCol w:w="341"/>
        <w:gridCol w:w="1070"/>
        <w:gridCol w:w="326"/>
        <w:gridCol w:w="341"/>
        <w:gridCol w:w="1070"/>
        <w:gridCol w:w="326"/>
        <w:gridCol w:w="211"/>
        <w:gridCol w:w="690"/>
        <w:gridCol w:w="326"/>
        <w:gridCol w:w="211"/>
        <w:gridCol w:w="731"/>
      </w:tblGrid>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6535" cy="175260"/>
                      <wp:effectExtent l="0" t="0" r="0" b="0"/>
                      <wp:wrapNone/>
                      <wp:docPr id="221" name="Frame221"/>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79450" cy="175260"/>
                      <wp:effectExtent l="0" t="0" r="0" b="0"/>
                      <wp:wrapNone/>
                      <wp:docPr id="222" name="Frame222"/>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6535" cy="175260"/>
                      <wp:effectExtent l="0" t="0" r="0" b="0"/>
                      <wp:wrapNone/>
                      <wp:docPr id="224" name="Frame22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79450" cy="175260"/>
                      <wp:effectExtent l="0" t="0" r="0" b="0"/>
                      <wp:wrapNone/>
                      <wp:docPr id="225" name="Frame225"/>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38150" cy="175260"/>
                      <wp:effectExtent l="0" t="0" r="0" b="0"/>
                      <wp:wrapNone/>
                      <wp:docPr id="228" name="Frame22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64185" cy="175260"/>
                      <wp:effectExtent l="0" t="0" r="0" b="0"/>
                      <wp:wrapNone/>
                      <wp:docPr id="231" name="Frame231"/>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left"/>
              <w:rPr/>
            </w:pPr>
            <w:r>
              <w:rPr/>
              <w:t>    </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Forward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center"/>
              <w:rPr/>
            </w:pPr>
            <w:r>
              <w:rPr/>
              <w:t>​</w:t>
            </w:r>
          </w:p>
        </w:tc>
      </w:tr>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left"/>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left"/>
              <w:rPr/>
            </w:pPr>
            <w:r>
              <w:rPr/>
              <w:t>​</w:t>
            </w:r>
          </w:p>
        </w:tc>
        <w:tc>
          <w:tcPr>
            <w:tcW w:w="9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Trinity Warrants</w:t>
            </w:r>
          </w:p>
        </w:tc>
        <w:tc>
          <w:tcPr>
            <w:tcW w:w="326" w:type="dxa"/>
            <w:tcBorders/>
            <w:vAlign w:val="center"/>
          </w:tcPr>
          <w:p>
            <w:pPr>
              <w:pStyle w:val="TableContents"/>
              <w:bidi w:val="0"/>
              <w:spacing w:before="0" w:after="0"/>
              <w:ind w:left="0" w:right="0" w:hanging="0"/>
              <w:jc w:val="left"/>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0"/>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2023</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2023</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September 30, 2023</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r>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measurement upon Business Combination March 2, 2022 (Note 3)</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20,413</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2022</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(6,566)</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Extinguishment due to exercise of the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September 30, 2022</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(4,861)</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46"/>
        <w:gridCol w:w="247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4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2013, the Company adopted the 2013 Equity Incentive Plan (the “2013 Plan”) which provided for the grant of qualified incentive stock options (“ISO”) and nonqualified stock options (“NSO”), restricted stock, restricted stock units (“RSU”) or other awards to the Company’s employees, officers, directors, advisors, and outside consultants. After the Closing Date and Business Combination effective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pPr>
      <w:bookmarkStart w:id="1464" w:name="Tc_OTaoAhwAek6pd8feKkbLaw_10_9"/>
      <w:bookmarkStart w:id="1465" w:name="Tc_rMkpYqns6UiD3CTl7qLdfw_10_7"/>
      <w:bookmarkStart w:id="1466" w:name="Tc_ANUqqqFvYUG6awuE9u-xUw_10_4"/>
      <w:bookmarkStart w:id="1467" w:name="Tc_BxD33usihEOu9mgBd8FAAQ_10_0"/>
      <w:bookmarkStart w:id="1468" w:name="Tc_e6bXXsJR3kS0bp8QD6EwEQ_9_9"/>
      <w:bookmarkStart w:id="1469" w:name="Tc_Lkf3iIPMikeGPfyOKByBfQ_9_7"/>
      <w:bookmarkStart w:id="1470" w:name="Tc_ll2c5Mq99EOX4A0aKH7Z9w_9_4"/>
      <w:bookmarkStart w:id="1471" w:name="Tc_vwN7a0VTq0yrtxuAkE7Mcw_9_0"/>
      <w:bookmarkStart w:id="1472" w:name="Tc_5CgQ72LN6UiXpJfRa5QENg_8_0"/>
      <w:bookmarkStart w:id="1473" w:name="Tc_IxXljDvv00GaXAtmpw_UrA_7_9"/>
      <w:bookmarkStart w:id="1474" w:name="Tc_TpLeIolTK0qXLGUxummxDw_7_0"/>
      <w:bookmarkStart w:id="1475" w:name="Tc_rZdfoyiwnUypId6mehVYYQ_6_0"/>
      <w:bookmarkStart w:id="1476" w:name="Tc_9Am_QIVhiE21IY4lZx7Z_A_5_9"/>
      <w:bookmarkStart w:id="1477" w:name="Tc_pt5iN1vVJkG7Bqik19T-5w_5_4"/>
      <w:bookmarkStart w:id="1478" w:name="Tc_Vag8M8TrjkKn_braMKzOdA_5_0"/>
      <w:bookmarkStart w:id="1479" w:name="Tc_WQ1-HZLO10CLXNLPDP796A_4_9"/>
      <w:bookmarkStart w:id="1480" w:name="Tc_USdUqBWg6k2LA4sqstnTjg_4_7"/>
      <w:bookmarkStart w:id="1481" w:name="Tc_isfnpYKLu06kIjsy23xlcQ_4_4"/>
      <w:bookmarkStart w:id="1482" w:name="Tc_FkZNoNQG2E-2yI86Mg8Dzw_4_2"/>
      <w:bookmarkStart w:id="1483" w:name="Tc_DPMkQor0fEuY8-kF4y9gzg_3_9"/>
      <w:bookmarkStart w:id="1484" w:name="Tc_BYFlRP4ThEG5HHxVt-xAKw_3_7"/>
      <w:bookmarkStart w:id="1485" w:name="Tc_0t9APUOdjE-uHeSux9mClg_3_4"/>
      <w:bookmarkStart w:id="1486" w:name="Tc_zQGwPwJ3s061P9Uh3Xuk6Q_2_9"/>
      <w:bookmarkStart w:id="1487" w:name="Tc_dmwj__o5QU-H-JajWp7ldg_2_7"/>
      <w:bookmarkStart w:id="1488" w:name="Tc_nxBLr95N60y2F-Lvj02BaQ_2_4"/>
      <w:bookmarkStart w:id="1489" w:name="Tc_e5n0eMZg8U2jwJEeWNBp_g_1_7"/>
      <w:bookmarkStart w:id="1490" w:name="Tc_FQcxnDCUpk-AhNM0Xb9BqA_1_4"/>
      <w:bookmarkStart w:id="1491" w:name="_62c2bda4_3293_46be_bc38_5fc0f0874bcf"/>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t>​</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Business Combination (Note 3), the shareholders approved the Rigetti Computing, Inc. 2022 Equity Incentive Plan (the “2022 Plan”) in February 2022, which became effective immediately upon the Closing Date. The 2022 Plan provides for the grant of ISOs, NSOs, stock appreciation rights, restricted stock awards, restricted stock unit awards (RSUs), performance awards and other forms of awards to employees, directors, and consultants, including employees and consultants of Company’s affiliates. The aggregate number of shares of Common Stock initially reserved for issuance under the 2022 Plan was 20,184,797 shares. As of September 30, 2023, 6,786,291 shares were available for future issuance under the 2022 Plan. The number of shares reserved for issuance under the 2022 Plan will automatically increase on January 1 of each year for a period of nine years commencing on January 1, 2023 and ending on (and including) January 1, 2032, in an amount equal to 5% of the Common Stock of all classes outstanding on December 31 of the preceding year; provided, however, that the board of directors of the Company may act prior to January 1 of a given year to provide that the increase for such year will be a lesser number of shares of Common Stock.</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during the nine months ended September 30, 2023:</w:t>
      </w:r>
    </w:p>
    <w:tbl>
      <w:tblPr>
        <w:tblW w:w="9146" w:type="dxa"/>
        <w:jc w:val="left"/>
        <w:tblInd w:w="0" w:type="dxa"/>
        <w:tblLayout w:type="fixed"/>
        <w:tblCellMar>
          <w:top w:w="0" w:type="dxa"/>
          <w:left w:w="0" w:type="dxa"/>
          <w:bottom w:w="0" w:type="dxa"/>
          <w:right w:w="0" w:type="dxa"/>
        </w:tblCellMar>
      </w:tblPr>
      <w:tblGrid>
        <w:gridCol w:w="2836"/>
        <w:gridCol w:w="326"/>
        <w:gridCol w:w="1621"/>
        <w:gridCol w:w="326"/>
        <w:gridCol w:w="388"/>
        <w:gridCol w:w="857"/>
        <w:gridCol w:w="326"/>
        <w:gridCol w:w="1126"/>
        <w:gridCol w:w="326"/>
        <w:gridCol w:w="326"/>
        <w:gridCol w:w="688"/>
      </w:tblGrid>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029335" cy="175260"/>
                      <wp:effectExtent l="0" t="0" r="0" b="0"/>
                      <wp:wrapNone/>
                      <wp:docPr id="233" name="Frame23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46380" cy="175260"/>
                      <wp:effectExtent l="0" t="0" r="0" b="0"/>
                      <wp:wrapNone/>
                      <wp:docPr id="235" name="Frame23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44195" cy="175260"/>
                      <wp:effectExtent l="0" t="0" r="0" b="0"/>
                      <wp:wrapNone/>
                      <wp:docPr id="236" name="Frame236"/>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15010" cy="175260"/>
                      <wp:effectExtent l="0" t="0" r="0" b="0"/>
                      <wp:wrapNone/>
                      <wp:docPr id="238" name="Frame23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6880" cy="175260"/>
                      <wp:effectExtent l="0" t="0" r="0" b="0"/>
                      <wp:wrapNone/>
                      <wp:docPr id="241" name="Frame24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0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0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0"/>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8,845,903</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1,071,100</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(3,588,084)</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(526,424)</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5,802,495</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September 30, 2023</w:t>
            </w:r>
          </w:p>
        </w:tc>
        <w:tc>
          <w:tcPr>
            <w:tcW w:w="326" w:type="dxa"/>
            <w:tcBorders/>
            <w:vAlign w:val="center"/>
          </w:tcPr>
          <w:p>
            <w:pPr>
              <w:pStyle w:val="TableContents"/>
              <w:bidi w:val="0"/>
              <w:spacing w:before="0" w:after="0"/>
              <w:ind w:left="0" w:right="0" w:hanging="0"/>
              <w:jc w:val="left"/>
              <w:rPr/>
            </w:pPr>
            <w:r>
              <w:rPr/>
              <w:t> </w:t>
            </w:r>
          </w:p>
        </w:tc>
        <w:tc>
          <w:tcPr>
            <w:tcW w:w="1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2,552,893</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2,651</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weighted-average grant date fair value of stock options granted during the nine months ended September 30, 2023 was $1.33 per share. The intrinsic value of an option is the amount by which the market price of the underlying common stock exceeds the option’s exercise price. The total intrinsic value of options exercised during the nine months ended September 30, 2023 and 2022 is $1.7 million and $9.8 million, respectively. We received proceeds from stock option exercises of $1.0 million and $0.9 million during the nine months ended September 30, 2023 and 2022, respectively. No stock options were granted in the nine months ended September 30,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$0.5 million and $1.2 million during the three and nine months ended September 30, 2023, respectively. Stock-based compensation expense related to stock options granted to employees was $0.6 million and $1.7 million in the three and nine months ended September 30, 2022, respectively. As of September 30, 2023, the unrecognized compensation expense related to unvested stock options was approximately $3.3 million which is expected to be recognized over a weighted-average period of approximately 2.56 years.</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The Company has not been public for a sufficient length of time to base expected volatility on the volatility of its common stock. The expected term of options granted was calculated using the simplified method, which represents the average of the contractual term and the weighted-average vesting period of the option. The Company uses the simplified method because it does not have sufficient historical option exercise data to provide a reasonable basis upon which to estimate expected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492" w:name="Tc_XrDMc1igLkaIduCmU5DOiw_8_4"/>
      <w:bookmarkStart w:id="1493" w:name="Tc_xCXjIquILUq841diH1_nOw_8_0"/>
      <w:bookmarkStart w:id="1494" w:name="Tc_eXnIOnQOIU-vpPjfu4RAQA_7_0"/>
      <w:bookmarkStart w:id="1495" w:name="Tc_ySnJ8IUnkkSFVM2UmhhjjQ_6_0"/>
      <w:bookmarkStart w:id="1496" w:name="Tc_f68kb5ymUEKeECC2mi2zmg_5_0"/>
      <w:bookmarkStart w:id="1497" w:name="Tc_KKqEaOExMU-2qr9HP1S9kA_4_4"/>
      <w:bookmarkStart w:id="1498" w:name="Tc_eui1zoTW0keH7Rb5eJ8BjA_4_0"/>
      <w:bookmarkStart w:id="1499" w:name="Tc_XhIAN9Fin0qjDZnHSWSakg_3_4"/>
      <w:bookmarkStart w:id="1500" w:name="Tc_1KmJcIZps0i3paUskfP-iQ_3_2"/>
      <w:bookmarkStart w:id="1501" w:name="Tc_uAG75uOzZU-DmdUmKUiydA_2_4"/>
      <w:bookmarkStart w:id="1502" w:name="Tc_vXequb61K0ihfkDEu0kzeQ_1_4"/>
      <w:bookmarkStart w:id="1503" w:name="_baf2d1e3_bf2c_471c_8027_9d3c26c0e052"/>
      <w:bookmarkStart w:id="1504" w:name="Tc_JV6Va2FaWU6TdJ1CXQCI3g_8_0"/>
      <w:bookmarkStart w:id="1505" w:name="Tc_Wvy0gRn8zESXrMb0RWAxJw_7_0"/>
      <w:bookmarkStart w:id="1506" w:name="Tc_5er-omzo80CYF7offVieOQ_6_0"/>
      <w:bookmarkStart w:id="1507" w:name="Tc_-xwtoivM00WpC26biMXOQg_5_5"/>
      <w:bookmarkStart w:id="1508" w:name="Tc_bQn084v1uE-ei28zJ9_5xQ_5_2"/>
      <w:bookmarkStart w:id="1509" w:name="Tc_XyZepl0N9U6TzgnOVmRpkQ_5_0"/>
      <w:bookmarkStart w:id="1510" w:name="Tc_Hi0P1NJfkkmdzjod4PoYrg_4_5"/>
      <w:bookmarkStart w:id="1511" w:name="Tc_zYpvGIS8KU6O-G30zYiZZw_4_2"/>
      <w:bookmarkStart w:id="1512" w:name="Tc_RCz1S8KHOU2chvyZPDEeWg_4_0"/>
      <w:bookmarkStart w:id="1513" w:name="Tc_sv5_mFlc40q4BTuu4J3_6w_3_6"/>
      <w:bookmarkStart w:id="1514" w:name="Tc_xqkkpQBCyECNzsivdz3V8g_3_3"/>
      <w:bookmarkStart w:id="1515" w:name="Tc_jsKXhWAXkEeiVQt-vhUmXg_2_5"/>
      <w:bookmarkStart w:id="1516" w:name="Tc_Y8h_GnyS9USwYz_t8IOU-A_2_2"/>
      <w:bookmarkStart w:id="1517" w:name="Tc_zpyxEzD7H0OgB3go3cy5pQ_1_5"/>
      <w:bookmarkStart w:id="1518" w:name="Tc_gxjAVk78LEygKFw3h7ZiBg_1_2"/>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r>
        <w:rPr>
          <w:rFonts w:ascii="Times New Roman;Times;serif" w:hAnsi="Times New Roman;Times;serif"/>
          <w:sz w:val="20"/>
        </w:rPr>
        <w:t>The assumed dividend yield is based upon the Company’s expectation of not paying dividends in the foreseeable future. The risk-free rate is based upon the U.S. Treasury yield curve in effect at the time of grant for the period equivalent to the expected life of the option. In determining the exercise prices for options granted, the Company’s board of directors has considered the fair value of the Common Stock as of the grant date. Before the Company’s common stock was publicly traded,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engineering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 No stock options were granted during the three and nine months ended September 30, 2022. Significant inputs to the Black-Scholes option-pricing model used to value stock option grants during the nine months ended September 30, 2023, were as follows:</w:t>
      </w:r>
    </w:p>
    <w:p>
      <w:pPr>
        <w:pStyle w:val="TextBody"/>
        <w:bidi w:val="0"/>
        <w:spacing w:before="0" w:after="0"/>
        <w:ind w:left="0" w:right="0" w:hanging="0"/>
        <w:jc w:val="left"/>
        <w:rPr/>
      </w:pPr>
      <w:r>
        <w:rPr/>
        <w:t>​</w:t>
      </w:r>
    </w:p>
    <w:tbl>
      <w:tblPr>
        <w:tblW w:w="4906" w:type="dxa"/>
        <w:jc w:val="left"/>
        <w:tblInd w:w="0" w:type="dxa"/>
        <w:tblLayout w:type="fixed"/>
        <w:tblCellMar>
          <w:top w:w="0" w:type="dxa"/>
          <w:left w:w="0" w:type="dxa"/>
          <w:bottom w:w="0" w:type="dxa"/>
          <w:right w:w="0" w:type="dxa"/>
        </w:tblCellMar>
      </w:tblPr>
      <w:tblGrid>
        <w:gridCol w:w="1876"/>
        <w:gridCol w:w="109"/>
        <w:gridCol w:w="258"/>
        <w:gridCol w:w="1032"/>
        <w:gridCol w:w="326"/>
        <w:gridCol w:w="250"/>
        <w:gridCol w:w="1055"/>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191260" cy="175260"/>
                      <wp:effectExtent l="0" t="0" r="0" b="0"/>
                      <wp:wrapNone/>
                      <wp:docPr id="242" name="Frame242"/>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63830" cy="175260"/>
                      <wp:effectExtent l="0" t="0" r="0" b="0"/>
                      <wp:wrapNone/>
                      <wp:docPr id="244" name="Frame24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55320" cy="175260"/>
                      <wp:effectExtent l="0" t="0" r="0" b="0"/>
                      <wp:wrapNone/>
                      <wp:docPr id="245" name="Frame245"/>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58750" cy="175260"/>
                      <wp:effectExtent l="0" t="0" r="0" b="0"/>
                      <wp:wrapNone/>
                      <wp:docPr id="247" name="Frame24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69925" cy="175260"/>
                      <wp:effectExtent l="0" t="0" r="0" b="0"/>
                      <wp:wrapNone/>
                      <wp:docPr id="248" name="Frame248"/>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Time-based</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Time-based</w: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Option</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Option</w: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10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Grants</w:t>
            </w:r>
          </w:p>
        </w:tc>
        <w:tc>
          <w:tcPr>
            <w:tcW w:w="32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10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Grants</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16, 2023</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 2023</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161.68%</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140.50%</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6.02</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RSUs</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The following is a summary of RSU activity during the nine months ended September 30, 2023:</w:t>
      </w:r>
    </w:p>
    <w:tbl>
      <w:tblPr>
        <w:tblW w:w="6114" w:type="dxa"/>
        <w:jc w:val="left"/>
        <w:tblInd w:w="0" w:type="dxa"/>
        <w:tblLayout w:type="fixed"/>
        <w:tblCellMar>
          <w:top w:w="0" w:type="dxa"/>
          <w:left w:w="0" w:type="dxa"/>
          <w:bottom w:w="0" w:type="dxa"/>
          <w:right w:w="0" w:type="dxa"/>
        </w:tblCellMar>
      </w:tblPr>
      <w:tblGrid>
        <w:gridCol w:w="2911"/>
        <w:gridCol w:w="326"/>
        <w:gridCol w:w="1051"/>
        <w:gridCol w:w="326"/>
        <w:gridCol w:w="398"/>
        <w:gridCol w:w="1102"/>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67385" cy="175260"/>
                      <wp:effectExtent l="0" t="0" r="0" b="0"/>
                      <wp:wrapNone/>
                      <wp:docPr id="250" name="Frame25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52730" cy="175260"/>
                      <wp:effectExtent l="0" t="0" r="0" b="0"/>
                      <wp:wrapNone/>
                      <wp:docPr id="252" name="Frame252"/>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9770" cy="175260"/>
                      <wp:effectExtent l="0" t="0" r="0" b="0"/>
                      <wp:wrapNone/>
                      <wp:docPr id="253" name="Frame253"/>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11,332,591</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8,077,929</w:t>
            </w:r>
          </w:p>
        </w:tc>
        <w:tc>
          <w:tcPr>
            <w:tcW w:w="32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(4,471,717)</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(2,653,643)</w:t>
            </w:r>
          </w:p>
        </w:tc>
        <w:tc>
          <w:tcPr>
            <w:tcW w:w="326"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12,285,160</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2.33</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2, 2022, the performance condition of all then outstanding RSUs was met due to the closing of the Business Combination. As a result, the Company recorded a cumulative catch-up compensation expense for the vesting period that was satisfied as of March 2, 2022, and continues amortizing compensation expenses for unvested RSUs over their remaining vesting period.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aggregate fair value of outstanding RSUs based on the closing share price of the Company’s common stock as of September 30, 2023, was $16.3 million. The total fair value of the RSUs vested, based on the closing price of the Company’s common stock on the vesting date, during the nine months ended September 30, 2023 and 2022 was $3.8 million and $26.9 million, respectively.</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nine months ended September 30, 2023, the Company issued 4,227,929 time-based RSUs and 3,850,000 market-based performance RSUs. The time-based RSUs vest over periods ranging from 1-4 years and require continuous employment. The market-based performance RSUs vest only if certain share price thresholds are achieved and require continuous employment. Based upon the terms of such awards, 50% of the shares vest if the Company’s Common Stock trades at or above $2.00 per share, and the other 50% of the shares vest if the Company’s Common Stock trades at above $4.00 per share, for 20 out of 30 trading days through the fifth anniversary of the grant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519" w:name="Tc_JgqnXSfrr06w7JTXxzmRIA_5_11"/>
      <w:bookmarkStart w:id="1520" w:name="Tc_e5nJj6MuIEudTUsEm-S8vg_5_8"/>
      <w:bookmarkStart w:id="1521" w:name="Tc_6xIBKFw73EqHCnb5TnIG6w_5_5"/>
      <w:bookmarkStart w:id="1522" w:name="Tc_drx4hn-zx0eY5BOqnAumLg_5_2"/>
      <w:bookmarkStart w:id="1523" w:name="Tc_hgIHA__cjkav2FPalZhzFg_5_0"/>
      <w:bookmarkStart w:id="1524" w:name="Tc_jRqDUoGAfEG4p-AoAuEopA_4_0"/>
      <w:bookmarkStart w:id="1525" w:name="Tc_o1LOavBUZkSh4CbP7YSHgg_3_11"/>
      <w:bookmarkStart w:id="1526" w:name="Tc_uPP509wv60uewbs4pg0rzg_3_8"/>
      <w:bookmarkStart w:id="1527" w:name="Tc_6FM0Ynw_6Emf5wXg1bxDig_3_5"/>
      <w:bookmarkStart w:id="1528" w:name="Tc_YoDkGMYgoEWZqEKQ_bKcBw_3_2"/>
      <w:bookmarkStart w:id="1529" w:name="Tc_78XxkQevHEGtFd-iS5K2FQ_3_0"/>
      <w:bookmarkStart w:id="1530" w:name="Tc_AuScVw9TLESyNF6EoNCeIA_2_11"/>
      <w:bookmarkStart w:id="1531" w:name="Tc_TMTcWgs5YEqRrZxZRLrzIg_2_8"/>
      <w:bookmarkStart w:id="1532" w:name="Tc_mTJhwDMnbE-RN6zlBQG79A_2_5"/>
      <w:bookmarkStart w:id="1533" w:name="Tc_lqrW46P6o0qWH5_7LR93GA_2_2"/>
      <w:bookmarkStart w:id="1534" w:name="Tc_unaekObgH0-ZnHXUoCv0Lw_1_8"/>
      <w:bookmarkStart w:id="1535" w:name="Tc_AaPrhqMKPEqNS3GusQktyQ_1_2"/>
      <w:bookmarkStart w:id="1536" w:name="_b91dd343_997d_4870_a130_2c8967533a54"/>
      <w:bookmarkStart w:id="1537" w:name="Tc_H_VJ7U5olkO1sJclA521xA_8_0"/>
      <w:bookmarkStart w:id="1538" w:name="Tc_54zin1yyzUaQSatXkcLWhQ_7_0"/>
      <w:bookmarkStart w:id="1539" w:name="Tc_cO-5rLYgE0uEDmu8JtbX3A_6_0"/>
      <w:bookmarkStart w:id="1540" w:name="Tc_jqQw3vZupUeDgBRZs5gxHg_5_0"/>
      <w:bookmarkStart w:id="1541" w:name="Tc__FWxUUJflkGpTPbMsO1jTQ_4_2"/>
      <w:bookmarkStart w:id="1542" w:name="Tc_xpaMn84WKEqXpX2NYMmxiw_4_0"/>
      <w:bookmarkStart w:id="1543" w:name="Tc_rMavRSv2n0SXmR12ShpjiQ_3_2"/>
      <w:bookmarkStart w:id="1544" w:name="Tc_E9zd6y8Wk0a8_AQ3mjiRow_3_0"/>
      <w:bookmarkStart w:id="1545" w:name="Tc_GqfYusLlTECXg-T2sSlNNQ_2_2"/>
      <w:bookmarkStart w:id="1546" w:name="Tc_o9hPjXDZXUanIvBNWaX_-Q_1_2"/>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r>
        <w:rPr>
          <w:rFonts w:ascii="Times New Roman;Times;serif" w:hAnsi="Times New Roman;Times;serif"/>
          <w:sz w:val="20"/>
        </w:rPr>
        <w:t>The fair value of the Company’s time-based RSUs was calculated based on the fair market value of the Company’s stock on the date of grant. The fair value of the Company’s market-based performance RSUs was calculated using a Monte Carlo simulation model at the date of grant. The weighted-average grant date fair value for market-based RSUs granted during the nine months ended September 30, 2023 was $0.56 per RSU.</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 used to value market based RSUs granted during the nine months ended September 30, 2023 were as follows:</w:t>
      </w:r>
    </w:p>
    <w:p>
      <w:pPr>
        <w:pStyle w:val="TextBody"/>
        <w:bidi w:val="0"/>
        <w:spacing w:before="0" w:after="0"/>
        <w:ind w:left="0" w:right="0" w:hanging="0"/>
        <w:jc w:val="left"/>
        <w:rPr/>
      </w:pPr>
      <w:r>
        <w:rPr/>
        <w:t>​</w:t>
      </w:r>
    </w:p>
    <w:tbl>
      <w:tblPr>
        <w:tblW w:w="4498" w:type="dxa"/>
        <w:jc w:val="left"/>
        <w:tblInd w:w="0" w:type="dxa"/>
        <w:tblLayout w:type="fixed"/>
        <w:tblCellMar>
          <w:top w:w="0" w:type="dxa"/>
          <w:left w:w="0" w:type="dxa"/>
          <w:bottom w:w="0" w:type="dxa"/>
          <w:right w:w="0" w:type="dxa"/>
        </w:tblCellMar>
      </w:tblPr>
      <w:tblGrid>
        <w:gridCol w:w="3016"/>
        <w:gridCol w:w="326"/>
        <w:gridCol w:w="261"/>
        <w:gridCol w:w="895"/>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15160" cy="175260"/>
                      <wp:effectExtent l="0" t="0" r="0" b="0"/>
                      <wp:wrapNone/>
                      <wp:docPr id="254" name="Frame25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65735" cy="175260"/>
                      <wp:effectExtent l="0" t="0" r="0" b="0"/>
                      <wp:wrapNone/>
                      <wp:docPr id="256" name="Frame25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Market-based</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5.00</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RSUs granted to employees was $3.2 million and $7.5 million in the three and nine months ended September 30, 2023, respectively. Stock-based compensation expense related to RSUs granted to employees was $14.5 million and $35.8 million during the three and nine months ended September 30, 2022, respectively. As of September 30, 2023, the unrecognized compensation expense related to unvested RSUs was approximately $23.2 million which is expected to be recognized over a weighted-average period of approximately 1.95 years.</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summarizes total stock-based compensation expenses for the three and nine months ended September 30, 2023 and 2022, respectively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tbl>
      <w:tblPr>
        <w:tblW w:w="9908" w:type="dxa"/>
        <w:jc w:val="left"/>
        <w:tblInd w:w="0" w:type="dxa"/>
        <w:tblLayout w:type="fixed"/>
        <w:tblCellMar>
          <w:top w:w="0" w:type="dxa"/>
          <w:left w:w="0" w:type="dxa"/>
          <w:bottom w:w="0" w:type="dxa"/>
          <w:right w:w="0" w:type="dxa"/>
        </w:tblCellMar>
      </w:tblPr>
      <w:tblGrid>
        <w:gridCol w:w="3736"/>
        <w:gridCol w:w="326"/>
        <w:gridCol w:w="288"/>
        <w:gridCol w:w="781"/>
        <w:gridCol w:w="446"/>
        <w:gridCol w:w="288"/>
        <w:gridCol w:w="925"/>
        <w:gridCol w:w="326"/>
        <w:gridCol w:w="279"/>
        <w:gridCol w:w="755"/>
        <w:gridCol w:w="431"/>
        <w:gridCol w:w="279"/>
        <w:gridCol w:w="894"/>
        <w:gridCol w:w="154"/>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2880" cy="175260"/>
                      <wp:effectExtent l="0" t="0" r="0" b="0"/>
                      <wp:wrapNone/>
                      <wp:docPr id="258" name="Frame25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95935" cy="175260"/>
                      <wp:effectExtent l="0" t="0" r="0" b="0"/>
                      <wp:wrapNone/>
                      <wp:docPr id="259" name="Frame2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83210" cy="175260"/>
                      <wp:effectExtent l="0" t="0" r="0" b="0"/>
                      <wp:wrapNone/>
                      <wp:docPr id="260" name="Frame260"/>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2880" cy="175260"/>
                      <wp:effectExtent l="0" t="0" r="0" b="0"/>
                      <wp:wrapNone/>
                      <wp:docPr id="261" name="Frame261"/>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87375" cy="175260"/>
                      <wp:effectExtent l="0" t="0" r="0" b="0"/>
                      <wp:wrapNone/>
                      <wp:docPr id="262" name="Frame262"/>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77165" cy="175260"/>
                      <wp:effectExtent l="0" t="0" r="0" b="0"/>
                      <wp:wrapNone/>
                      <wp:docPr id="264" name="Frame26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79425" cy="175260"/>
                      <wp:effectExtent l="0" t="0" r="0" b="0"/>
                      <wp:wrapNone/>
                      <wp:docPr id="265" name="Frame26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73685" cy="175260"/>
                      <wp:effectExtent l="0" t="0" r="0" b="0"/>
                      <wp:wrapNone/>
                      <wp:docPr id="266" name="Frame26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7165" cy="175260"/>
                      <wp:effectExtent l="0" t="0" r="0" b="0"/>
                      <wp:wrapNone/>
                      <wp:docPr id="267" name="Frame26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67690" cy="175260"/>
                      <wp:effectExtent l="0" t="0" r="0" b="0"/>
                      <wp:wrapNone/>
                      <wp:docPr id="268" name="Frame268"/>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7790" cy="175260"/>
                      <wp:effectExtent l="0" t="0" r="0" b="0"/>
                      <wp:wrapNone/>
                      <wp:docPr id="269" name="Frame2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6" w:type="dxa"/>
            <w:tcBorders/>
            <w:vAlign w:val="center"/>
          </w:tcPr>
          <w:p>
            <w:pPr>
              <w:pStyle w:val="TableContents"/>
              <w:bidi w:val="0"/>
              <w:spacing w:before="0" w:after="0"/>
              <w:ind w:left="0" w:right="0" w:hanging="0"/>
              <w:jc w:val="left"/>
              <w:rPr/>
            </w:pPr>
            <w:r>
              <w:rPr/>
              <w:t>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1"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w:t>
            </w:r>
          </w:p>
        </w:tc>
        <w:tc>
          <w:tcPr>
            <w:tcW w:w="4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5,933</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6,893</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4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9,188</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431"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27,112</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44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15,121</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17" w:type="dxa"/>
        <w:jc w:val="left"/>
        <w:tblInd w:w="0" w:type="dxa"/>
        <w:tblLayout w:type="fixed"/>
        <w:tblCellMar>
          <w:top w:w="0" w:type="dxa"/>
          <w:left w:w="0" w:type="dxa"/>
          <w:bottom w:w="0" w:type="dxa"/>
          <w:right w:w="0" w:type="dxa"/>
        </w:tblCellMar>
      </w:tblPr>
      <w:tblGrid>
        <w:gridCol w:w="451"/>
        <w:gridCol w:w="226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2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Financing Arrangements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March 2021, the Company entered into an agreement (the “Loan Agreement”) with Trinity Capital Inc. (“Trinity”) to secure a debt commitment of $12.0 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“Initial Trinity Warrants”) which is recorded at fair value using the Black-Scholes model, see Note 12 for the fair value assumptions.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Loan Agreement contains customary representations, warranties and covenants; however, the Loan Agreement does not include any financial covenants. In May 2021, the Loan Agreement was modified to increase the overall debt commitment by $15.0 million (the “Tranche B” or the “First Amendment”) and $8.0 million of the additional commitment was drawn at the closing and the remaining commitment of $7.0 million was available at the Company’s option at any time through March 10, 2022, subject to certain conditions. The Company drew the remaining $7.0 million commitment in November 2021. In conjunction with the Amendment, the Company cancelled the Initial Trinity Warrants and issued 995,099 (783,129 shares post conversion upon the closing of the Business Combination) warrants to purchase the Common Stock (the “Trinity Warrants”) which was an incremental cost allocated between Tranche A and Tranche B, see Note 12 for further information on the Trinity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547" w:name="Tc_UsGH-9sAZkum2eOqBJMcSQ_9_0"/>
      <w:bookmarkStart w:id="1548" w:name="Tc_SCA6VC8_X02kB8WHfcyBaA_8_0"/>
      <w:bookmarkStart w:id="1549" w:name="Tc_dluezvGvxUaygXZeGH6P0A_7_0"/>
      <w:bookmarkStart w:id="1550" w:name="Tc_YvtA_hJtwECAW3ur7ZEogA_6_0"/>
      <w:bookmarkStart w:id="1551" w:name="Tc_xMs3Fg-4c0mwhJRnOFSvuQ_5_0"/>
      <w:bookmarkStart w:id="1552" w:name="Tc_HiSdnJMf0USfqW4RTZo7cw_4_0"/>
      <w:bookmarkStart w:id="1553" w:name="Tc_YpKyTXGag0OGGIrFeafl4A_3_0"/>
      <w:bookmarkStart w:id="1554" w:name="Tc_Dtdg9qRhHEiqdHK9ZmFBpA_2_0"/>
      <w:bookmarkStart w:id="1555" w:name="Tc_ggYWgr2kHEaGA31pXhtB-Q_1_4"/>
      <w:bookmarkStart w:id="1556" w:name="Tc_JduztcbUXkK5EAM_WAdlYQ_1_2"/>
      <w:bookmarkStart w:id="1557" w:name="_43b244e3_6206_45b4_98b2_90977b961d30"/>
      <w:bookmarkEnd w:id="1547"/>
      <w:bookmarkEnd w:id="1548"/>
      <w:bookmarkEnd w:id="1549"/>
      <w:bookmarkEnd w:id="1550"/>
      <w:bookmarkEnd w:id="1551"/>
      <w:bookmarkEnd w:id="1552"/>
      <w:bookmarkEnd w:id="1553"/>
      <w:bookmarkEnd w:id="1554"/>
      <w:bookmarkEnd w:id="1555"/>
      <w:bookmarkEnd w:id="1556"/>
      <w:bookmarkEnd w:id="1557"/>
      <w:r>
        <w:rPr>
          <w:rFonts w:ascii="Times New Roman;Times;serif" w:hAnsi="Times New Roman;Times;serif"/>
          <w:sz w:val="20"/>
        </w:rPr>
        <w:t>The First Amendment was considered a modification for accounting purposes. The Company capitalized $2.8 million of debt issuance costs which consist of incremental costs incurred for the lenders and third-party legal firms as well as the fair value of the warrant issued in conjunction with the term loan.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Under the First Amendment, the maturity date was modified to be the date equal to 48 months from the first payment date of each specific cash advance. Subject to an interest only period of 19 months following each specific cash advance date, the term loan incurs interest at a rate of the greater of 11% or the US Prime Rate plus 7.50% per annum, payable monthly. The Loan Agreement includes certain negative covenants, primarily consisting of restrictions on the Company’s ability to incur indebtedness, pay dividends, execute fundamental change transactions, and other specified actions.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rate for all tranches of the debt was approximately 22.5% as of September 30,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January 2022, the Loan Agreement was modified to increase the overall debt commitment by $5.0 million (the “Tranche C” or the “Third Amendment”) which was drawn on January 27, 2022. Subject to an interest only period of 19 months, Tranche C incurs interest at a rate of the greater of 11% or the US Prime Rate plus 7.50% per annum, payable monthly, until the maturity date, February 1, 2026. Other modifications per the Third Amendment included an extension of the requirement to raise an additional $75 million of equity until April 1, 2022 and a defined exit fee for the additional $5.0 million to be at 20% of the advanced funds under the amendment. The Company met the requirement to raise additional equity of $75 million through the Business Combination mentioned in Note 3. The Company paid an exit fee of $1.0 million which is 20% of the Tranche C amount upon the consummation of the Business Combination. The exit fee was capitalized as a debt issuance cost and is amortized using the effective interest method over the life of Tranche C. The exit fee was not applicable to Tranche A and Tranche B. In conjunction with the Third Amendment, the Company also guaranteed payment of all monetary amounts owed and performance of all covenants, obligations and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book value of debt approximates its fair value given its maturity and variable interest rate. Long term debt and the unamortized discount balances are as follows (in thousands):</w:t>
      </w:r>
    </w:p>
    <w:tbl>
      <w:tblPr>
        <w:tblW w:w="7975" w:type="dxa"/>
        <w:jc w:val="left"/>
        <w:tblInd w:w="0" w:type="dxa"/>
        <w:tblLayout w:type="fixed"/>
        <w:tblCellMar>
          <w:top w:w="0" w:type="dxa"/>
          <w:left w:w="0" w:type="dxa"/>
          <w:bottom w:w="0" w:type="dxa"/>
          <w:right w:w="0" w:type="dxa"/>
        </w:tblCellMar>
      </w:tblPr>
      <w:tblGrid>
        <w:gridCol w:w="4231"/>
        <w:gridCol w:w="326"/>
        <w:gridCol w:w="1546"/>
        <w:gridCol w:w="326"/>
        <w:gridCol w:w="1546"/>
      </w:tblGrid>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81710" cy="175260"/>
                      <wp:effectExtent l="0" t="0" r="0" b="0"/>
                      <wp:wrapNone/>
                      <wp:docPr id="271" name="Frame27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981710" cy="175260"/>
                      <wp:effectExtent l="0" t="0" r="0" b="0"/>
                      <wp:wrapNone/>
                      <wp:docPr id="273" name="Frame27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amount</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25,304</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30,709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accreted liability of final payment fee</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discount,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 principal</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13,111</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 – principal</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unamortized debt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current portion</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11,522</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8,303</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recorded interest expense of $1.5 million and $4.5 million, respectively, which includes accretion of the end-of-term liability, amortization of the commitment fee and amortization of debt issuance costs totaling $0.4 million and $1.1 million, respectively. During the three and nine months ended September 30, 2022, the Company recorded interest expense of $1.4 million and $3.8 million, respectively, which includes accretion of the end-of-term liability, amortization of the commitment fee asset and amortization of debt issuance costs totaling $0.4 million and $1.1 million, respectively. The unamortized debt discount as of September 30, 2023, and December 31, 2022 of $1.3 million and $2.2 million, respectively, is offset against the carrying value of the term loan in the condensed consolidated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58" w:name="Tc_aBWjCmnENkSn0yYGxJcgDA_6_5"/>
      <w:bookmarkStart w:id="1559" w:name="Tc_uPOxgDHhLkakG9vM7AsPhQ_6_2"/>
      <w:bookmarkStart w:id="1560" w:name="Tc_krmwCKWh-U2tk0E8f6rvPQ_5_0"/>
      <w:bookmarkStart w:id="1561" w:name="Tc_x2JypQWvmkaXEuewrbPAzg_4_0"/>
      <w:bookmarkStart w:id="1562" w:name="Tc_rfL9FrnrwEqONNjkN39aAg_3_0"/>
      <w:bookmarkStart w:id="1563" w:name="Tc_EHP4srKd0U2bSj8o8xMosA_2_5"/>
      <w:bookmarkStart w:id="1564" w:name="Tc_nKkok5KiSkSPzRaDdkd9rg_2_2"/>
      <w:bookmarkStart w:id="1565" w:name="Tc_HbWmtxwuik2MmCHTni-0_w_2_0"/>
      <w:bookmarkStart w:id="1566" w:name="Tc_z7bKqAH2O0mWGhRrBTxzGA_1_5"/>
      <w:bookmarkStart w:id="1567" w:name="Tc_gyf2cg8Eh0KSWPvhpcnrSw_1_2"/>
      <w:bookmarkStart w:id="1568" w:name="_e56099af_876c_445c_95a9_41baebbd672e"/>
      <w:bookmarkEnd w:id="1558"/>
      <w:bookmarkEnd w:id="1559"/>
      <w:bookmarkEnd w:id="1560"/>
      <w:bookmarkEnd w:id="1561"/>
      <w:bookmarkEnd w:id="1562"/>
      <w:bookmarkEnd w:id="1563"/>
      <w:bookmarkEnd w:id="1564"/>
      <w:bookmarkEnd w:id="1565"/>
      <w:bookmarkEnd w:id="1566"/>
      <w:bookmarkEnd w:id="1567"/>
      <w:bookmarkEnd w:id="1568"/>
      <w:r>
        <w:rPr>
          <w:rFonts w:ascii="Times New Roman;Times;serif" w:hAnsi="Times New Roman;Times;serif"/>
          <w:sz w:val="20"/>
        </w:rPr>
        <w:t>Scheduled principal payments on total outstanding debt are as follows (in thousands):</w:t>
      </w:r>
    </w:p>
    <w:tbl>
      <w:tblPr>
        <w:tblW w:w="4765" w:type="dxa"/>
        <w:jc w:val="left"/>
        <w:tblInd w:w="0" w:type="dxa"/>
        <w:tblLayout w:type="fixed"/>
        <w:tblCellMar>
          <w:top w:w="0" w:type="dxa"/>
          <w:left w:w="0" w:type="dxa"/>
          <w:bottom w:w="0" w:type="dxa"/>
          <w:right w:w="0" w:type="dxa"/>
        </w:tblCellMar>
      </w:tblPr>
      <w:tblGrid>
        <w:gridCol w:w="541"/>
        <w:gridCol w:w="566"/>
        <w:gridCol w:w="367"/>
        <w:gridCol w:w="1179"/>
        <w:gridCol w:w="566"/>
        <w:gridCol w:w="324"/>
        <w:gridCol w:w="1222"/>
      </w:tblGrid>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59410" cy="175260"/>
                      <wp:effectExtent l="0" t="0" r="0" b="0"/>
                      <wp:wrapNone/>
                      <wp:docPr id="274" name="Frame27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33045" cy="175260"/>
                      <wp:effectExtent l="0" t="0" r="0" b="0"/>
                      <wp:wrapNone/>
                      <wp:docPr id="275" name="Frame27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48665" cy="175260"/>
                      <wp:effectExtent l="0" t="0" r="0" b="0"/>
                      <wp:wrapNone/>
                      <wp:docPr id="276" name="Frame27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59410" cy="175260"/>
                      <wp:effectExtent l="0" t="0" r="0" b="0"/>
                      <wp:wrapNone/>
                      <wp:docPr id="277" name="Frame27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5740" cy="175260"/>
                      <wp:effectExtent l="0" t="0" r="0" b="0"/>
                      <wp:wrapNone/>
                      <wp:docPr id="278" name="Frame278"/>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75970" cy="175260"/>
                      <wp:effectExtent l="0" t="0" r="0" b="0"/>
                      <wp:wrapNone/>
                      <wp:docPr id="279" name="Frame279"/>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56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56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2,929</w:t>
            </w:r>
          </w:p>
        </w:tc>
        <w:tc>
          <w:tcPr>
            <w:tcW w:w="56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56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c>
          <w:tcPr>
            <w:tcW w:w="56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13,007</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56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9,047</w:t>
            </w:r>
          </w:p>
        </w:tc>
        <w:tc>
          <w:tcPr>
            <w:tcW w:w="56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56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56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54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25,304</w:t>
            </w:r>
          </w:p>
        </w:tc>
        <w:tc>
          <w:tcPr>
            <w:tcW w:w="56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30,709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569" w:name="Tc_vhKHt88Rd0OdozVszTT_Vg_4_0"/>
      <w:bookmarkStart w:id="1570" w:name="Tc_F3PydfyxEUahLFmcrO-kew_3_0"/>
      <w:bookmarkStart w:id="1571" w:name="Tc_cijYzzTewUmcGAAYFtwzeQ_2_0"/>
      <w:bookmarkStart w:id="1572" w:name="Tc_yVB0-TN3DkyXAdurtP6wqA_1_0"/>
      <w:bookmarkStart w:id="1573" w:name="_409fc796_a75d_4cac_b50a_dae934945943"/>
      <w:bookmarkStart w:id="1574" w:name="_8a757b1a_f409_470d_a5e6_e00c2a281614_3"/>
      <w:bookmarkStart w:id="1575" w:name="_8a757b1a_f409_470d_a5e6_e00c2a281614_2"/>
      <w:bookmarkStart w:id="1576" w:name="_8a757b1a_f409_470d_a5e6_e00c2a281614"/>
      <w:bookmarkEnd w:id="1569"/>
      <w:bookmarkEnd w:id="1570"/>
      <w:bookmarkEnd w:id="1571"/>
      <w:bookmarkEnd w:id="1572"/>
      <w:bookmarkEnd w:id="1573"/>
      <w:bookmarkEnd w:id="1574"/>
      <w:bookmarkEnd w:id="1575"/>
      <w:bookmarkEnd w:id="1576"/>
      <w:r>
        <w:rPr>
          <w:rFonts w:ascii="Times New Roman;Times;serif" w:hAnsi="Times New Roman;Times;serif"/>
          <w:b/>
          <w:sz w:val="20"/>
        </w:rPr>
        <w:t>(11)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stated in Note 3, on March 2, 2022, the Company consummated a Business Combination which has been accounted for as a reverse 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September 30, 2023 or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the Company has retroactively adjusted the warrants and stock-based awards outstanding prior to March 2, 2022, to give effect to the Exchange Ratio used to determine the number of shares of Common Stock into which they were converted.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September 30, 2023, the Company has reserved the following shares of Common Stock for issuance upon the conversion, exercise or vesting of the underlying instruments:</w:t>
      </w:r>
    </w:p>
    <w:tbl>
      <w:tblPr>
        <w:tblW w:w="5155" w:type="dxa"/>
        <w:jc w:val="left"/>
        <w:tblInd w:w="0" w:type="dxa"/>
        <w:tblLayout w:type="fixed"/>
        <w:tblCellMar>
          <w:top w:w="0" w:type="dxa"/>
          <w:left w:w="0" w:type="dxa"/>
          <w:bottom w:w="0" w:type="dxa"/>
          <w:right w:w="0" w:type="dxa"/>
        </w:tblCellMar>
      </w:tblPr>
      <w:tblGrid>
        <w:gridCol w:w="3676"/>
        <w:gridCol w:w="326"/>
        <w:gridCol w:w="1153"/>
      </w:tblGrid>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16,730,353</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12,285,160</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5,802,495</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5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34,818,008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 Purchase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entered into a Common Stock Purchase Agreement (the “Purchase Agreement”) with B. Riley Principal Capital II, LLC (“B. Riley”) on August 11, 2022 pursuant to which the Company may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 For the three and nine months ended September 30, 2023, the Company received proceeds of $12.7 million and $15.1 million, respectively, from the issuance and sale of 6,336,199 and 8,205,618 shares of Common Stock, respectively, to B. Riley under the Purchase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 which registration statement was declared effective on September 14, 2022.</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Upon the initial satisfaction of the conditions to B. Riley’s purchase obligation set forth in the Purchase Agreement, as of September 14, 2022 (the “Commencement Date”) the Company has the right, but not the obligation, from time to time at the Company’s sole discretion over the 24-month period from and after the Commencement Date, to direct B. Riley to purchase a specified amount of shares not to exceed the lesser of (i) 1,000,000 shares of Common Stock and (ii) 20% of the total aggregate number (or volume) of shares of Common Stock traded on The Nasdaq Capital Market (“Nasdaq”) during the applicable period beginning at the official open (or “commencement”) of the regular trading session on the applicable purchase date for such purchase and ending at such time that the total aggregate volume of shares of common stock traded on Nasdaq reaches the Purchase Share Volume Maximum (as defined below) for such purchase (as applicable) (such period for each purchase, the “Purchase Valuation Period”), provided, that, (i) the closing sale price of the Common Stock on the trading day immediately prior to such Purchase Date (as defined in the Purchase Agreement) is not less than $1.00 and (ii) all shares of Common Stock subject to all prior Purchases (as defined in the Purchase Agreement) and all prior Intraday Purchases (as defined in the Purchase Agreement) by B. Riley under the Purchase Agreement have been received by B. Riley prior to the time the Company delivers a purchase notice to B. Riley. “Purchase Share Volume Maximum” means, with respect to a purchase made pursuant to the Purchase Agreement, the number of shares of Common Stock equal to the quotient obtained by dividing the (i) total number of shares of Common Stock to be purchased by B. Riley in the relevant purchase (the “Purchase Share Amount”), by (ii) 0.20 (subject to certain adjustments). The Company did not identify any feature within the Purchase Agreement that needs to be bifurcated and recorded as a derivative.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share price had traded below $1.00 per share for an extended period in early 2023. As a result, the Company recognized impairment charges during the nine months ended September 30, 2023 of $0.8 million for previously deferred offering costs primarily related to the Purchase Agreement, which were recorded as general and administrative expense in the accompanying condensed consolidated statement of operations. No impairment charges were recognized during the three months ended September 30, 2023.</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(12)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(see Note 3), the Company has retroactively adjusted the number and corresponding strike price of Rigetti warrants outstanding prior to March 2, 2022, the date of the Business Combination, to give effect to the Exchange Ratio used to determine the number of shares of Common Stock into which they were converted.</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Liability Classified Warrants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September 30, 2023, there were 9,105,245 Public Warrants issued and outstanding (Refer to Note 8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Public Warrants as of September 30, 2023 and December 31, 2022 was $2.3 million and $0.7 million, respectively. The change in the fair value of the Public Warrants included in the condensed consolidated statement of operations in the three and nine months ended September 30, 2023 was a loss of $1.0 million and $1.4 million, respectively. The change in the fair value of the Public Warrants included in the condensed consolidated statement of operations in the three and nine months ended September 30, 2022 was a gain of $3.7 million and $14.4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sz w:val="20"/>
        </w:rPr>
      </w:pPr>
      <w:bookmarkStart w:id="1577" w:name="Tc_dEysjhy8d0meXn9MLV3TNg_8_0"/>
      <w:bookmarkStart w:id="1578" w:name="Tc_P_QaFdSklEeYqSv4_ZGe0g_7_0"/>
      <w:bookmarkStart w:id="1579" w:name="Tc__nbuIsMoq0KE_7_QhFGs6Q_6_0"/>
      <w:bookmarkStart w:id="1580" w:name="Tc_BobLJV5sIEKXfUBdKN30AA_5_0"/>
      <w:bookmarkStart w:id="1581" w:name="Tc_3xtAwvwu3UeVPw84SvIxpQ_4_8"/>
      <w:bookmarkStart w:id="1582" w:name="Tc_3D8TK6ONLU6Nb3iHAQ9Adg_4_5"/>
      <w:bookmarkStart w:id="1583" w:name="Tc_wb-OZX-jLUen-OvcPMhCQQ_4_2"/>
      <w:bookmarkStart w:id="1584" w:name="Tc_SCEt2PZCyEedl-n5vm4aoA_4_0"/>
      <w:bookmarkStart w:id="1585" w:name="Tc_GlOYhkd6okG_hKzDLcb-Tg_3_8"/>
      <w:bookmarkStart w:id="1586" w:name="Tc_lVfeRyFFSUeq8B4rbWafpg_3_5"/>
      <w:bookmarkStart w:id="1587" w:name="Tc_DmXgfrzKUkWPVcQqJLzsFQ_3_2"/>
      <w:bookmarkStart w:id="1588" w:name="Tc_Y52UR6czIU2XEDZWMD_tmA_3_0"/>
      <w:bookmarkStart w:id="1589" w:name="Tc_apTcaLJwkEa7paPJuqdjEQ_2_8"/>
      <w:bookmarkStart w:id="1590" w:name="Tc_G80NnTK59Ei-M4V6Z2Wl2g_2_5"/>
      <w:bookmarkStart w:id="1591" w:name="Tc__tinZGLRFkOVwbpAg5MsVg_2_2"/>
      <w:bookmarkStart w:id="1592" w:name="Tc_ONQKuHsE3EizThi7Ol6F8A_2_0"/>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r>
        <w:rPr>
          <w:rFonts w:ascii="Times New Roman;Times;serif" w:hAnsi="Times New Roman;Times;serif"/>
          <w:b/>
          <w:sz w:val="20"/>
        </w:rPr>
        <w:t>Private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On August 18, 2022, the Private Warrants were transferred from the initial purchasers to permitted transferees and remain unredeemable by the Company as of September 30, 2023. The Private Warrants are accounted for as a derivative liability. The fair value of the Private Warrants is determined using the Black- Scholes option-pricing model, with subsequent changes in the fair value recognized in the condensed consolidated statements of operations at each reporting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Private Warrants as of September 30, 2023 and December 31, 2022 was $3.8 million and $1.1 million, respectively. The change in the fair value of the Private Warrants included in the condensed consolidated statements of operations in the three and nine months ended September 30, 2023 was a loss of $2.4 million and $2.9 million, respectively. The change in the fair value of the Private Warrants included in the condensed consolidated statements of operations in the three and nine months ended September 30, 2022 was a loss of $4.4 million and $7.4 million,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Black-Scholes option-pricing models used to value the Private Warrants at September 30, 2023, December 31, 2022 and March 2, 2022 (initial recognition date) are as follows:</w:t>
      </w:r>
    </w:p>
    <w:p>
      <w:pPr>
        <w:pStyle w:val="TextBody"/>
        <w:bidi w:val="0"/>
        <w:spacing w:before="0" w:after="0"/>
        <w:ind w:left="0" w:right="0" w:hanging="0"/>
        <w:jc w:val="left"/>
        <w:rPr/>
      </w:pPr>
      <w:r>
        <w:rPr/>
        <w:t>​</w:t>
      </w:r>
    </w:p>
    <w:tbl>
      <w:tblPr>
        <w:tblW w:w="9086" w:type="dxa"/>
        <w:jc w:val="left"/>
        <w:tblInd w:w="0" w:type="dxa"/>
        <w:tblLayout w:type="fixed"/>
        <w:tblCellMar>
          <w:top w:w="0" w:type="dxa"/>
          <w:left w:w="0" w:type="dxa"/>
          <w:bottom w:w="0" w:type="dxa"/>
          <w:right w:w="0" w:type="dxa"/>
        </w:tblCellMar>
      </w:tblPr>
      <w:tblGrid>
        <w:gridCol w:w="3016"/>
        <w:gridCol w:w="566"/>
        <w:gridCol w:w="502"/>
        <w:gridCol w:w="1044"/>
        <w:gridCol w:w="566"/>
        <w:gridCol w:w="488"/>
        <w:gridCol w:w="1013"/>
        <w:gridCol w:w="566"/>
        <w:gridCol w:w="425"/>
        <w:gridCol w:w="746"/>
        <w:gridCol w:w="154"/>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59410" cy="175260"/>
                      <wp:effectExtent l="0" t="0" r="0" b="0"/>
                      <wp:wrapNone/>
                      <wp:docPr id="281" name="Frame28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18770" cy="175260"/>
                      <wp:effectExtent l="0" t="0" r="0" b="0"/>
                      <wp:wrapNone/>
                      <wp:docPr id="282" name="Frame282"/>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62940" cy="175260"/>
                      <wp:effectExtent l="0" t="0" r="0" b="0"/>
                      <wp:wrapNone/>
                      <wp:docPr id="283" name="Frame283"/>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59410" cy="175260"/>
                      <wp:effectExtent l="0" t="0" r="0" b="0"/>
                      <wp:wrapNone/>
                      <wp:docPr id="284" name="Frame28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09880" cy="175260"/>
                      <wp:effectExtent l="0" t="0" r="0" b="0"/>
                      <wp:wrapNone/>
                      <wp:docPr id="285" name="Frame285"/>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3255" cy="175260"/>
                      <wp:effectExtent l="0" t="0" r="0" b="0"/>
                      <wp:wrapNone/>
                      <wp:docPr id="286" name="Frame286"/>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59410" cy="175260"/>
                      <wp:effectExtent l="0" t="0" r="0" b="0"/>
                      <wp:wrapNone/>
                      <wp:docPr id="287" name="Frame28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69875" cy="175260"/>
                      <wp:effectExtent l="0" t="0" r="0" b="0"/>
                      <wp:wrapNone/>
                      <wp:docPr id="288" name="Frame288"/>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73710" cy="175260"/>
                      <wp:effectExtent l="0" t="0" r="0" b="0"/>
                      <wp:wrapNone/>
                      <wp:docPr id="289" name="Frame289"/>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7790" cy="175260"/>
                      <wp:effectExtent l="0" t="0" r="0" b="0"/>
                      <wp:wrapNone/>
                      <wp:docPr id="290" name="Frame2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8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56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56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2022</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5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56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50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168.90%</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56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50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56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50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566"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56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50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August 18, 2022, the Private Warrants were transferred from the initial purchasers to permitted transferees of the SPAC Sponsor by means of an internal partnership distribution.</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Trinity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Initial Trinity Warrants were issued in March of 2021 for the purchase of 313,252 shares of common stock, and additional warrants to purchase 469,877 shares of common stock were issued in connection with Tranche B Amendment, see Note 10. Therefore, there were a total of 783,129 Trinity Warrants issued in conjunction with the Loan Agreement in 2021. The Trinity Warrants issued were classified as a liability under ASC 480, “Distinguishing Liabilities from Equity”. The Company utilized a Black-Scholes model to determine the grant fair value of the warrants which was approximately $2.7 million and was recorded as a debt issuance cost. The outstanding warrants were subsequently re-measured at each reporting period using the Black-Scholes model with changes recorded as a component of other income in the Company’s condensed consolidated statement of operations. The liability related to the Trinity Warrants was $6.4 million as of June 2, 2022, at which time all 783,129 Trinity Warrants were exercised and the fair value of the warrant liability was reclassified to equity.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the fair value of the Trinity Warrants included in the condensed consolidated statements of operations during the nine months ended September 30, 2022 was a loss of $2.0 million. No loss was recognized in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593" w:name="Tc_ZsZgXjjut0OdBOmG43u5cQ_3_0"/>
      <w:bookmarkStart w:id="1594" w:name="Tc_MKdMOEt1RESVQAYJ4zfGeQ_2_0"/>
      <w:bookmarkStart w:id="1595" w:name="Tc_s6U7CaeKO0et168oThP38Q_1_4"/>
      <w:bookmarkStart w:id="1596" w:name="Tc_yVGWwJGv6Ue_vlD27UCwrw_1_2"/>
      <w:bookmarkStart w:id="1597" w:name="Tc_GQe7rfxpwEqU8b2vYICHrQ_7_0"/>
      <w:bookmarkStart w:id="1598" w:name="Tc_nRKKFZDxkUerYPzcEyHRbg_6_0"/>
      <w:bookmarkStart w:id="1599" w:name="Tc_v97LFHLbKEObhNWXwVECgg_5_0"/>
      <w:bookmarkStart w:id="1600" w:name="Tc_3uyRXgHGdUiCCPB-vSlXYA_4_0"/>
      <w:bookmarkStart w:id="1601" w:name="Tc_4mat_Y41v0-ZQqLTCiiiJQ_3_2"/>
      <w:bookmarkStart w:id="1602" w:name="Tc_nwoCbIS3kkmhF9qVpxjTBg_3_0"/>
      <w:bookmarkStart w:id="1603" w:name="Tc_9OvksUBsM0qDtyoWff8YWQ_2_2"/>
      <w:bookmarkStart w:id="1604" w:name="Tc_hD6awRmk-kSNfMrcA0rUmg_2_0"/>
      <w:bookmarkStart w:id="1605" w:name="Tc_qD6E7v93Q0mYjQyKanwTXw_1_2"/>
      <w:bookmarkStart w:id="1606" w:name="Tc_J0vxSntqkkiubbDTH9-7PA_1_0"/>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r>
        <w:rPr>
          <w:rFonts w:ascii="Times New Roman;Times;serif" w:hAnsi="Times New Roman;Times;serif"/>
          <w:sz w:val="20"/>
        </w:rPr>
        <w:t>Significant inputs into the Black-Scholes option pricing model used to value the Trinity Warrants as of June 2, 2022 were as follows:</w:t>
      </w:r>
    </w:p>
    <w:p>
      <w:pPr>
        <w:pStyle w:val="TextBody"/>
        <w:bidi w:val="0"/>
        <w:spacing w:before="0" w:after="0"/>
        <w:ind w:left="0" w:right="0" w:hanging="0"/>
        <w:jc w:val="left"/>
        <w:rPr/>
      </w:pPr>
      <w:r>
        <w:rPr/>
        <w:t>​</w:t>
      </w:r>
    </w:p>
    <w:tbl>
      <w:tblPr>
        <w:tblW w:w="4788" w:type="dxa"/>
        <w:jc w:val="left"/>
        <w:tblInd w:w="0" w:type="dxa"/>
        <w:tblLayout w:type="fixed"/>
        <w:tblCellMar>
          <w:top w:w="0" w:type="dxa"/>
          <w:left w:w="0" w:type="dxa"/>
          <w:bottom w:w="0" w:type="dxa"/>
          <w:right w:w="0" w:type="dxa"/>
        </w:tblCellMar>
      </w:tblPr>
      <w:tblGrid>
        <w:gridCol w:w="3016"/>
        <w:gridCol w:w="566"/>
        <w:gridCol w:w="211"/>
        <w:gridCol w:w="841"/>
        <w:gridCol w:w="154"/>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59410" cy="175260"/>
                      <wp:effectExtent l="0" t="0" r="0" b="0"/>
                      <wp:wrapNone/>
                      <wp:docPr id="291" name="Frame29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34035" cy="175260"/>
                      <wp:effectExtent l="0" t="0" r="0" b="0"/>
                      <wp:wrapNone/>
                      <wp:docPr id="293" name="Frame29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7790" cy="175260"/>
                      <wp:effectExtent l="0" t="0" r="0" b="0"/>
                      <wp:wrapNone/>
                      <wp:docPr id="294" name="Frame2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 2022</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Between February 2020 and May 2020, a subsidiary of Legacy Rigetti issued and sold an aggregate of 69,223,658 shares (Post conversion - 54,478,260 shares) of its Series C Preferred Stock at a purchase price of $0.906793 per share (Post conversion -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exercise price per share and have a 10-year term to expiration. The Series C Warrants can be exercised for cash or on a cashless basis.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Customer Warrant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2020, the Company issued a warrant to purchase 2,680,607 shares of Class A Common Stock to a customer in conjunction with a revenue arrangement (the “Customer Warrant”). The Customer Warrant has a $1.152 exercise price per share and a 10-year term to expiration. 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additional-paid-in capital as of the issuance date, as the Company believes it is probable that all performance conditions (i.e., sales milestones) in the Customer Warrant will be met. As of September 30, 2023, the deferred asset balance outstanding is approximately $0.1 million, which will be recognized as a reduction in revenue in future periods.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at September 30, 2023 and December 31,2022 was as follows:</w:t>
      </w:r>
    </w:p>
    <w:p>
      <w:pPr>
        <w:pStyle w:val="TextBody"/>
        <w:bidi w:val="0"/>
        <w:spacing w:before="0" w:after="0"/>
        <w:ind w:left="0" w:right="0" w:hanging="0"/>
        <w:jc w:val="left"/>
        <w:rPr/>
      </w:pPr>
      <w:r>
        <w:rPr/>
        <w:t>​</w:t>
      </w:r>
    </w:p>
    <w:tbl>
      <w:tblPr>
        <w:tblW w:w="7165" w:type="dxa"/>
        <w:jc w:val="left"/>
        <w:tblInd w:w="0" w:type="dxa"/>
        <w:tblLayout w:type="fixed"/>
        <w:tblCellMar>
          <w:top w:w="0" w:type="dxa"/>
          <w:left w:w="0" w:type="dxa"/>
          <w:bottom w:w="0" w:type="dxa"/>
          <w:right w:w="0" w:type="dxa"/>
        </w:tblCellMar>
      </w:tblPr>
      <w:tblGrid>
        <w:gridCol w:w="2941"/>
        <w:gridCol w:w="566"/>
        <w:gridCol w:w="1546"/>
        <w:gridCol w:w="566"/>
        <w:gridCol w:w="1546"/>
      </w:tblGrid>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59410" cy="175260"/>
                      <wp:effectExtent l="0" t="0" r="0" b="0"/>
                      <wp:wrapNone/>
                      <wp:docPr id="295" name="Frame295"/>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81710" cy="175260"/>
                      <wp:effectExtent l="0" t="0" r="0" b="0"/>
                      <wp:wrapNone/>
                      <wp:docPr id="296" name="Frame29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59410" cy="175260"/>
                      <wp:effectExtent l="0" t="0" r="0" b="0"/>
                      <wp:wrapNone/>
                      <wp:docPr id="297" name="Frame29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81710" cy="175260"/>
                      <wp:effectExtent l="0" t="0" r="0" b="0"/>
                      <wp:wrapNone/>
                      <wp:docPr id="298" name="Frame29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07" w:name="Tc_ao2WFlOCukWERVChinA6aQ_5_2"/>
      <w:bookmarkStart w:id="1608" w:name="Tc_p3W78dAHu0GX53d5940olw_5_0"/>
      <w:bookmarkStart w:id="1609" w:name="Tc_9crn6SBIpkilOD0hxcaGyg_4_0"/>
      <w:bookmarkStart w:id="1610" w:name="Tc_SEcL6c62fUmxHKyaXPIS6w_3_0"/>
      <w:bookmarkStart w:id="1611" w:name="Tc_B1Tq9ktxSkeGGrxByHXz4A_2_0"/>
      <w:bookmarkStart w:id="1612" w:name="Tc_HCN40y_8w0uL787MDzaVeg_1_2"/>
      <w:bookmarkStart w:id="1613" w:name="Tc_ZczbOxAXN0GDlA5mw7s-Nw_1_0"/>
      <w:bookmarkStart w:id="1614" w:name="_89f83c36_1bc9_4a95_951d_cdca2223244c"/>
      <w:bookmarkStart w:id="1615" w:name="Tc_ao2WFlOCukWERVChinA6aQ_5_2"/>
      <w:bookmarkStart w:id="1616" w:name="Tc_p3W78dAHu0GX53d5940olw_5_0"/>
      <w:bookmarkStart w:id="1617" w:name="Tc_9crn6SBIpkilOD0hxcaGyg_4_0"/>
      <w:bookmarkStart w:id="1618" w:name="Tc_SEcL6c62fUmxHKyaXPIS6w_3_0"/>
      <w:bookmarkStart w:id="1619" w:name="Tc_B1Tq9ktxSkeGGrxByHXz4A_2_0"/>
      <w:bookmarkStart w:id="1620" w:name="Tc_HCN40y_8w0uL787MDzaVeg_1_2"/>
      <w:bookmarkStart w:id="1621" w:name="Tc_ZczbOxAXN0GDlA5mw7s-Nw_1_0"/>
      <w:bookmarkStart w:id="1622" w:name="_89f83c36_1bc9_4a95_951d_cdca2223244c"/>
      <w:bookmarkEnd w:id="1615"/>
      <w:bookmarkEnd w:id="1616"/>
      <w:bookmarkEnd w:id="1617"/>
      <w:bookmarkEnd w:id="1618"/>
      <w:bookmarkEnd w:id="1619"/>
      <w:bookmarkEnd w:id="1620"/>
      <w:bookmarkEnd w:id="1621"/>
      <w:bookmarkEnd w:id="1622"/>
    </w:p>
    <w:tbl>
      <w:tblPr>
        <w:tblW w:w="3122" w:type="dxa"/>
        <w:jc w:val="left"/>
        <w:tblInd w:w="0" w:type="dxa"/>
        <w:tblLayout w:type="fixed"/>
        <w:tblCellMar>
          <w:top w:w="0" w:type="dxa"/>
          <w:left w:w="0" w:type="dxa"/>
          <w:bottom w:w="0" w:type="dxa"/>
          <w:right w:w="0" w:type="dxa"/>
        </w:tblCellMar>
      </w:tblPr>
      <w:tblGrid>
        <w:gridCol w:w="451"/>
        <w:gridCol w:w="267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Forward Warrant Agreement</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execution of the Merger Agreement in October 2021 (See Note 1),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provides for the issuance of a warrant for the purchase of up to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June 30, 2022, pursuant to the Forward 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was required to pay an additional $5.0 million to Rigetti no later than the closing date of the listing of Ampere’s capital stock on a stock exchange, provided that if the listing had not occurred by the second anniversary of the Forward Warrant Agreement (October 2023), Ampere was not obligated to make the additional payment. The Forward Warrant Agreement has now expired, and Ampere no longer has an obligation to make the additional $5.0 million payment. The Company filed a registration statement registering the resale of the initial 500,000 shares issued under the warrant which was declared effective during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re-measured at each reporting period using the Forward Contract Pricing methodology with the change in fair value recorded in general and administrative expense in the condensed consolidated statement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calculated fair value of the Forward Warrant Agreement as of December 31, 2022 (derivative asset) was $2.2 million. The change in the fair value of the Forward Warrant Agreement is included in selling, general and administrative expenses. The change in the fair value of the Forward Warrant Agreement during the three and nine months ended September 30, 2023 was a loss of $1.1 million and $2.2 million, respectively. The change in the fair value of the Forward Warrant Agreement during the three and nine months ended September 30, 2022 was a gain of $0.4 million and $5.5 million,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 represents key valuation assumptions for the Forward Warrant Agreement as of December 31, 2022:</w:t>
      </w:r>
    </w:p>
    <w:tbl>
      <w:tblPr>
        <w:tblW w:w="5987" w:type="dxa"/>
        <w:jc w:val="left"/>
        <w:tblInd w:w="0" w:type="dxa"/>
        <w:tblLayout w:type="fixed"/>
        <w:tblCellMar>
          <w:top w:w="0" w:type="dxa"/>
          <w:left w:w="0" w:type="dxa"/>
          <w:bottom w:w="0" w:type="dxa"/>
          <w:right w:w="0" w:type="dxa"/>
        </w:tblCellMar>
      </w:tblPr>
      <w:tblGrid>
        <w:gridCol w:w="3766"/>
        <w:gridCol w:w="566"/>
        <w:gridCol w:w="405"/>
        <w:gridCol w:w="1096"/>
        <w:gridCol w:w="154"/>
      </w:tblGrid>
      <w:tr>
        <w:trPr/>
        <w:tc>
          <w:tcPr>
            <w:tcW w:w="376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59410" cy="175260"/>
                      <wp:effectExtent l="0" t="0" r="0" b="0"/>
                      <wp:wrapNone/>
                      <wp:docPr id="299" name="Frame299"/>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57175" cy="175260"/>
                      <wp:effectExtent l="0" t="0" r="0" b="0"/>
                      <wp:wrapNone/>
                      <wp:docPr id="300" name="Frame300"/>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5960" cy="175260"/>
                      <wp:effectExtent l="0" t="0" r="0" b="0"/>
                      <wp:wrapNone/>
                      <wp:docPr id="301" name="Frame30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7790" cy="175260"/>
                      <wp:effectExtent l="0" t="0" r="0" b="0"/>
                      <wp:wrapNone/>
                      <wp:docPr id="302" name="Frame30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vAlign w:val="center"/>
          </w:tcPr>
          <w:p>
            <w:pPr>
              <w:pStyle w:val="TableContents"/>
              <w:bidi w:val="0"/>
              <w:spacing w:before="0" w:after="0"/>
              <w:ind w:left="0" w:right="0" w:hanging="0"/>
              <w:jc w:val="center"/>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 period (in years)</w:t>
            </w:r>
          </w:p>
        </w:tc>
        <w:tc>
          <w:tcPr>
            <w:tcW w:w="566"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the contingency occurring (%)</w:t>
            </w:r>
          </w:p>
        </w:tc>
        <w:tc>
          <w:tcPr>
            <w:tcW w:w="566"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Underlying value per share</w:t>
            </w:r>
          </w:p>
        </w:tc>
        <w:tc>
          <w:tcPr>
            <w:tcW w:w="56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nine months ended September 30, 2023, the Company reduced the estimated probability of occurrence for the Forward Warrant Agreement from 50% to 0% because the Company determined that Ampere’s obligation to make the additional payment under the Forward Warrant Agreement would expire without taking effect. As a result, the Forward Warrant Agreement had no value as of September 30,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sz w:val="20"/>
        </w:rPr>
      </w:pPr>
      <w:bookmarkStart w:id="1623" w:name="Tc_ClZtAUgJBk2jgoU2O3AfSQ_5_11"/>
      <w:bookmarkStart w:id="1624" w:name="Tc_cXTqRGr_x0aaU1Clyvkrpg_5_2"/>
      <w:bookmarkStart w:id="1625" w:name="Tc_DmrJnMGabUCo1KIThhJZcA_5_0"/>
      <w:bookmarkStart w:id="1626" w:name="Tc_-uZ2-2u7oUemqWhUgWXrKQ_4_0"/>
      <w:bookmarkStart w:id="1627" w:name="Tc_sktVy1shJkK1-9hgmsOQfA_3_11"/>
      <w:bookmarkStart w:id="1628" w:name="Tc_RLrcW-DNpUSAmew3asSgAw_3_2"/>
      <w:bookmarkStart w:id="1629" w:name="Tc_DTRqtHVLqUmIT1J90RDb5Q_3_0"/>
      <w:bookmarkStart w:id="1630" w:name="Tc_Dqq9jTy0T0e5DayLZjh9eg_2_11"/>
      <w:bookmarkStart w:id="1631" w:name="Tc_qkVdyeZ4sU2qmFADlW5qoQ_2_8"/>
      <w:bookmarkStart w:id="1632" w:name="Tc_QW-jETfJxEamovWnEUT4mw_2_5"/>
      <w:bookmarkStart w:id="1633" w:name="Tc_duwln7O4LE-37fQHan3nzw_2_2"/>
      <w:bookmarkStart w:id="1634" w:name="Tc_DCDe6scL7EiSO3x_FWP--g_1_8"/>
      <w:bookmarkStart w:id="1635" w:name="Tc_ojiEJtuSfESMOIpl-LNDuA_1_2"/>
      <w:bookmarkStart w:id="1636" w:name="_7f93d549_f16b_4fb1_83e6_69ec0d51f4e9"/>
      <w:bookmarkStart w:id="1637" w:name="Tc_FBgnCAnJN0aAyE_qbw4hBQ_5_4"/>
      <w:bookmarkStart w:id="1638" w:name="Tc_MTWw3C1640Ghxc9SKVih_Q_5_0"/>
      <w:bookmarkStart w:id="1639" w:name="Tc_oW7tnj-GDkqxYoUrgk9GAg_4_0"/>
      <w:bookmarkStart w:id="1640" w:name="Tc_SnBthiISnkOi4I5BnM16Uw_3_2"/>
      <w:bookmarkStart w:id="1641" w:name="Tc_-HbgNR7KlEqABqvCKb5D8g_3_0"/>
      <w:bookmarkStart w:id="1642" w:name="Tc_FcLArnGuEEix9yyLdeyJDg_2_0"/>
      <w:bookmarkStart w:id="1643" w:name="Tc_0DICe4FCdkODXneuXCvsBw_1_4"/>
      <w:bookmarkStart w:id="1644" w:name="Tc_nZzqWp1qd0CEkNdu9z1Xrg_1_2"/>
      <w:bookmarkStart w:id="1645" w:name="_94758b03_5b66_4859_8ca2_dca704d85ab6"/>
      <w:bookmarkStart w:id="1646" w:name="Tc_bG18MBQFsEeKLOzBshOVeQ_8_8"/>
      <w:bookmarkStart w:id="1647" w:name="Tc_bk_i9bLqp06rUXthMnfWlQ_8_6"/>
      <w:bookmarkStart w:id="1648" w:name="Tc_XMaMQBJA0kCsOVg5bKpHIg_8_4"/>
      <w:bookmarkStart w:id="1649" w:name="Tc_kQ2B8YWUEUmbtHZxaNKJeA_8_0"/>
      <w:bookmarkStart w:id="1650" w:name="Tc_fYDucU4SwkqWALopCU75dw_7_8"/>
      <w:bookmarkStart w:id="1651" w:name="Tc_skZXF0mBy0mYxBKWCaXFFg_7_6"/>
      <w:bookmarkStart w:id="1652" w:name="Tc_u0RolmBKXkGNdxMU68-Mxw_7_4"/>
      <w:bookmarkStart w:id="1653" w:name="Tc_BhzXk5-leUGprwje0bZXUA_7_0"/>
      <w:bookmarkStart w:id="1654" w:name="Tc_Pxo2OUNTJ0yw0bNZJCJKGw_6_6"/>
      <w:bookmarkStart w:id="1655" w:name="Tc_AOoqiGhurkaOzXvLttpqqg_6_2"/>
      <w:bookmarkStart w:id="1656" w:name="Tc_p1Vbre_W0UGz_MkApQm7pw_6_0"/>
      <w:bookmarkStart w:id="1657" w:name="Tc_lmlZHy6EgUWoUX2YOldejA_5_2"/>
      <w:bookmarkStart w:id="1658" w:name="Tc_ir6_nif-hkmGq1f4MPIQpg_5_0"/>
      <w:bookmarkStart w:id="1659" w:name="Tc_9JjQIBFKhEms5qUbWaLi4A_4_0"/>
      <w:bookmarkStart w:id="1660" w:name="Tc_6T5Kf-pr9k6AS9xy7mQ9qw_3_0"/>
      <w:bookmarkStart w:id="1661" w:name="Tc_IIFDoljNCUCGw3Hgo-SdXw_2_8"/>
      <w:bookmarkStart w:id="1662" w:name="Tc_AqbJUkCoN0WApQkCwdRS5A_2_6"/>
      <w:bookmarkStart w:id="1663" w:name="Tc_JBzv2_GOz06tuEfgtiM0dQ_2_4"/>
      <w:bookmarkStart w:id="1664" w:name="Tc_enh84KSfok-Cs3xdSzetCA_2_2"/>
      <w:bookmarkStart w:id="1665" w:name="Tc_10tLS0JLFEGIN5fEiHZdhw_1_6"/>
      <w:bookmarkStart w:id="1666" w:name="Tc_ZKEBwPOIYk2gQpsDJpZMmA_1_2"/>
      <w:bookmarkStart w:id="1667" w:name="_2b69ca8b_a0bd_4af6_a871_383c17ac7b0a"/>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r>
        <w:rPr>
          <w:rFonts w:ascii="Times New Roman;Times;serif" w:hAnsi="Times New Roman;Times;serif"/>
          <w:b/>
          <w:sz w:val="20"/>
        </w:rPr>
        <w:t>(14) Concentrations, Significant Customers and Geographic Areas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short-term investments in the form of corporate bonds, and trade accounts receivable. The Company’s cash and cash equivalents and short- term investments are placed with high-credit-quality financial institutions, and at times exceed federally insured limits. To date, the Company has not experienced any credit loss relating to its cash and cash equivalents or short-term investments.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tables:</w:t>
      </w:r>
    </w:p>
    <w:p>
      <w:pPr>
        <w:pStyle w:val="TextBody"/>
        <w:bidi w:val="0"/>
        <w:spacing w:before="0" w:after="0"/>
        <w:ind w:left="0" w:right="0" w:firstLine="540"/>
        <w:jc w:val="both"/>
        <w:rPr/>
      </w:pPr>
      <w:r>
        <w:rPr/>
        <w:t>​</w:t>
      </w:r>
    </w:p>
    <w:p>
      <w:pPr>
        <w:pStyle w:val="TextBody"/>
        <w:bidi w:val="0"/>
        <w:spacing w:before="0" w:after="0"/>
        <w:ind w:left="0" w:right="0" w:hanging="0"/>
        <w:jc w:val="left"/>
        <w:rPr/>
      </w:pPr>
      <w:r>
        <w:rPr/>
        <w:t>​</w:t>
      </w:r>
    </w:p>
    <w:tbl>
      <w:tblPr>
        <w:tblW w:w="7165" w:type="dxa"/>
        <w:jc w:val="left"/>
        <w:tblInd w:w="0" w:type="dxa"/>
        <w:tblLayout w:type="fixed"/>
        <w:tblCellMar>
          <w:top w:w="0" w:type="dxa"/>
          <w:left w:w="0" w:type="dxa"/>
          <w:bottom w:w="0" w:type="dxa"/>
          <w:right w:w="0" w:type="dxa"/>
        </w:tblCellMar>
      </w:tblPr>
      <w:tblGrid>
        <w:gridCol w:w="1081"/>
        <w:gridCol w:w="326"/>
        <w:gridCol w:w="1220"/>
        <w:gridCol w:w="284"/>
        <w:gridCol w:w="1225"/>
        <w:gridCol w:w="326"/>
        <w:gridCol w:w="952"/>
        <w:gridCol w:w="645"/>
        <w:gridCol w:w="952"/>
        <w:gridCol w:w="154"/>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74700" cy="175260"/>
                      <wp:effectExtent l="0" t="0" r="0" b="0"/>
                      <wp:wrapNone/>
                      <wp:docPr id="304" name="Frame304"/>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80340" cy="175260"/>
                      <wp:effectExtent l="0" t="0" r="0" b="0"/>
                      <wp:wrapNone/>
                      <wp:docPr id="305" name="Frame30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77875" cy="175260"/>
                      <wp:effectExtent l="0" t="0" r="0" b="0"/>
                      <wp:wrapNone/>
                      <wp:docPr id="306" name="Frame306"/>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04520" cy="175260"/>
                      <wp:effectExtent l="0" t="0" r="0" b="0"/>
                      <wp:wrapNone/>
                      <wp:docPr id="308" name="Frame308"/>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09575" cy="175260"/>
                      <wp:effectExtent l="0" t="0" r="0" b="0"/>
                      <wp:wrapNone/>
                      <wp:docPr id="309" name="Frame309"/>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04520" cy="175260"/>
                      <wp:effectExtent l="0" t="0" r="0" b="0"/>
                      <wp:wrapNone/>
                      <wp:docPr id="310" name="Frame310"/>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7790" cy="175260"/>
                      <wp:effectExtent l="0" t="0" r="0" b="0"/>
                      <wp:wrapNone/>
                      <wp:docPr id="311" name="Frame3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54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84" w:type="dxa"/>
            <w:tcBorders/>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45" w:type="dxa"/>
            <w:tcBorders/>
            <w:vAlign w:val="center"/>
          </w:tcPr>
          <w:p>
            <w:pPr>
              <w:pStyle w:val="TableContents"/>
              <w:bidi w:val="0"/>
              <w:spacing w:before="0" w:after="0"/>
              <w:ind w:left="0" w:right="0" w:hanging="0"/>
              <w:jc w:val="center"/>
              <w:rPr/>
            </w:pPr>
            <w:r>
              <w:rPr/>
              <w:t>    </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 </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84"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45"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84"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645"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45"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84"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84"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84"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and nine months ended September 30, 2023, sales to government entities comprised 77.25% and 77.65% of the Company’s total revenue, respectively. During the three and nine months ended September 30, 2022, sales to government entities comprised 77.26% and 74.08% of the Company’s total revenue,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Significant customers that represent 10% or more of accounts receivable are set forth in the following tables:</w:t>
      </w:r>
    </w:p>
    <w:p>
      <w:pPr>
        <w:pStyle w:val="TextBody"/>
        <w:bidi w:val="0"/>
        <w:spacing w:before="0" w:after="0"/>
        <w:ind w:left="0" w:right="0" w:hanging="0"/>
        <w:jc w:val="left"/>
        <w:rPr/>
      </w:pPr>
      <w:r>
        <w:rPr/>
        <w:t>​</w:t>
      </w:r>
    </w:p>
    <w:tbl>
      <w:tblPr>
        <w:tblW w:w="4971" w:type="dxa"/>
        <w:jc w:val="left"/>
        <w:tblInd w:w="0" w:type="dxa"/>
        <w:tblLayout w:type="fixed"/>
        <w:tblCellMar>
          <w:top w:w="0" w:type="dxa"/>
          <w:left w:w="0" w:type="dxa"/>
          <w:bottom w:w="0" w:type="dxa"/>
          <w:right w:w="0" w:type="dxa"/>
        </w:tblCellMar>
      </w:tblPr>
      <w:tblGrid>
        <w:gridCol w:w="1081"/>
        <w:gridCol w:w="326"/>
        <w:gridCol w:w="1546"/>
        <w:gridCol w:w="326"/>
        <w:gridCol w:w="1501"/>
        <w:gridCol w:w="191"/>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81710" cy="175260"/>
                      <wp:effectExtent l="0" t="0" r="0" b="0"/>
                      <wp:wrapNone/>
                      <wp:docPr id="313" name="Frame31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53135" cy="175260"/>
                      <wp:effectExtent l="0" t="0" r="0" b="0"/>
                      <wp:wrapNone/>
                      <wp:docPr id="315" name="Frame31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21285" cy="175260"/>
                      <wp:effectExtent l="0" t="0" r="0" b="0"/>
                      <wp:wrapNone/>
                      <wp:docPr id="316" name="Frame31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91" w:type="dxa"/>
            <w:tcBorders/>
            <w:vAlign w:val="center"/>
          </w:tcPr>
          <w:p>
            <w:pPr>
              <w:pStyle w:val="TableContents"/>
              <w:bidi w:val="0"/>
              <w:spacing w:before="0" w:after="1"/>
              <w:ind w:left="0" w:right="0" w:hanging="0"/>
              <w:jc w:val="lef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91"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vAlign w:val="center"/>
          </w:tcPr>
          <w:p>
            <w:pPr>
              <w:pStyle w:val="TableContents"/>
              <w:bidi w:val="0"/>
              <w:spacing w:before="0" w:after="1"/>
              <w:ind w:left="0" w:right="0" w:hanging="0"/>
              <w:jc w:val="left"/>
              <w:rPr/>
            </w:pPr>
            <w:r>
              <w:rPr/>
              <w:t> </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or accounts receivable in the respective periods.</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for the three and nine months ended September 30, 2023 and September 30, 2022 (in thousands):</w:t>
      </w:r>
    </w:p>
    <w:p>
      <w:pPr>
        <w:pStyle w:val="TextBody"/>
        <w:bidi w:val="0"/>
        <w:spacing w:before="0" w:after="0"/>
        <w:ind w:left="0" w:right="0" w:hanging="0"/>
        <w:jc w:val="left"/>
        <w:rPr/>
      </w:pPr>
      <w:r>
        <w:rPr/>
        <w:t>​</w:t>
      </w:r>
    </w:p>
    <w:tbl>
      <w:tblPr>
        <w:tblW w:w="7311" w:type="dxa"/>
        <w:jc w:val="left"/>
        <w:tblInd w:w="0" w:type="dxa"/>
        <w:tblLayout w:type="fixed"/>
        <w:tblCellMar>
          <w:top w:w="0" w:type="dxa"/>
          <w:left w:w="0" w:type="dxa"/>
          <w:bottom w:w="0" w:type="dxa"/>
          <w:right w:w="0" w:type="dxa"/>
        </w:tblCellMar>
      </w:tblPr>
      <w:tblGrid>
        <w:gridCol w:w="1246"/>
        <w:gridCol w:w="326"/>
        <w:gridCol w:w="322"/>
        <w:gridCol w:w="872"/>
        <w:gridCol w:w="497"/>
        <w:gridCol w:w="166"/>
        <w:gridCol w:w="872"/>
        <w:gridCol w:w="326"/>
        <w:gridCol w:w="153"/>
        <w:gridCol w:w="805"/>
        <w:gridCol w:w="459"/>
        <w:gridCol w:w="297"/>
        <w:gridCol w:w="970"/>
      </w:tblGrid>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4470" cy="175260"/>
                      <wp:effectExtent l="0" t="0" r="0" b="0"/>
                      <wp:wrapNone/>
                      <wp:docPr id="318" name="Frame318"/>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53720" cy="175260"/>
                      <wp:effectExtent l="0" t="0" r="0" b="0"/>
                      <wp:wrapNone/>
                      <wp:docPr id="319" name="Frame319"/>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15595" cy="175260"/>
                      <wp:effectExtent l="0" t="0" r="0" b="0"/>
                      <wp:wrapNone/>
                      <wp:docPr id="320" name="Frame320"/>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05410" cy="175260"/>
                      <wp:effectExtent l="0" t="0" r="0" b="0"/>
                      <wp:wrapNone/>
                      <wp:docPr id="321" name="Frame32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53720" cy="175260"/>
                      <wp:effectExtent l="0" t="0" r="0" b="0"/>
                      <wp:wrapNone/>
                      <wp:docPr id="322" name="Frame322"/>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97155" cy="175260"/>
                      <wp:effectExtent l="0" t="0" r="0" b="0"/>
                      <wp:wrapNone/>
                      <wp:docPr id="324" name="Frame324"/>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11175" cy="175260"/>
                      <wp:effectExtent l="0" t="0" r="0" b="0"/>
                      <wp:wrapNone/>
                      <wp:docPr id="325" name="Frame325"/>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91465" cy="175260"/>
                      <wp:effectExtent l="0" t="0" r="0" b="0"/>
                      <wp:wrapNone/>
                      <wp:docPr id="326" name="Frame326"/>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88595" cy="175260"/>
                      <wp:effectExtent l="0" t="0" r="0" b="0"/>
                      <wp:wrapNone/>
                      <wp:docPr id="327" name="Frame32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15950" cy="175260"/>
                      <wp:effectExtent l="0" t="0" r="0" b="0"/>
                      <wp:wrapNone/>
                      <wp:docPr id="328" name="Frame328"/>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7" w:type="dxa"/>
            <w:tcBorders/>
            <w:vAlign w:val="center"/>
          </w:tcPr>
          <w:p>
            <w:pPr>
              <w:pStyle w:val="TableContents"/>
              <w:bidi w:val="0"/>
              <w:spacing w:before="0" w:after="0"/>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9" w:type="dxa"/>
            <w:tcBorders/>
            <w:vAlign w:val="center"/>
          </w:tcPr>
          <w:p>
            <w:pPr>
              <w:pStyle w:val="TableContents"/>
              <w:bidi w:val="0"/>
              <w:spacing w:before="0" w:after="0"/>
              <w:ind w:left="0" w:right="0" w:hanging="0"/>
              <w:jc w:val="left"/>
              <w:rPr/>
            </w:pPr>
            <w:r>
              <w:rPr/>
              <w:t>    </w:t>
            </w:r>
          </w:p>
        </w:tc>
        <w:tc>
          <w:tcPr>
            <w:tcW w:w="12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c>
          <w:tcPr>
            <w:tcW w:w="497"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w:t>
            </w:r>
          </w:p>
        </w:tc>
        <w:tc>
          <w:tcPr>
            <w:tcW w:w="45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5,772</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497"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vAlign w:val="center"/>
          </w:tcPr>
          <w:p>
            <w:pPr>
              <w:pStyle w:val="TableContents"/>
              <w:bidi w:val="0"/>
              <w:spacing w:before="0" w:after="0"/>
              <w:ind w:left="0" w:right="0" w:hanging="0"/>
              <w:jc w:val="left"/>
              <w:rPr/>
            </w:pPr>
            <w:r>
              <w:rPr/>
              <w:t>​</w:t>
            </w:r>
          </w:p>
        </w:tc>
        <w:tc>
          <w:tcPr>
            <w:tcW w:w="1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459" w:type="dxa"/>
            <w:tcBorders/>
            <w:vAlign w:val="center"/>
          </w:tcPr>
          <w:p>
            <w:pPr>
              <w:pStyle w:val="TableContents"/>
              <w:bidi w:val="0"/>
              <w:spacing w:before="0" w:after="0"/>
              <w:ind w:left="0" w:right="0" w:hanging="0"/>
              <w:jc w:val="left"/>
              <w:rPr/>
            </w:pPr>
            <w:r>
              <w:rPr/>
              <w:t> </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497"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shd w:fill="CCEEFF" w:val="clear"/>
            <w:vAlign w:val="center"/>
          </w:tcPr>
          <w:p>
            <w:pPr>
              <w:pStyle w:val="TableContents"/>
              <w:bidi w:val="0"/>
              <w:spacing w:before="0" w:after="0"/>
              <w:ind w:left="0" w:right="0" w:hanging="0"/>
              <w:jc w:val="left"/>
              <w:rPr/>
            </w:pPr>
            <w:r>
              <w:rPr/>
              <w:t>​</w:t>
            </w:r>
          </w:p>
        </w:tc>
        <w:tc>
          <w:tcPr>
            <w:tcW w:w="1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w:t>
            </w:r>
          </w:p>
        </w:tc>
        <w:tc>
          <w:tcPr>
            <w:tcW w:w="459" w:type="dxa"/>
            <w:tcBorders/>
            <w:shd w:fill="CCEEFF" w:val="clear"/>
            <w:vAlign w:val="center"/>
          </w:tcPr>
          <w:p>
            <w:pPr>
              <w:pStyle w:val="TableContents"/>
              <w:bidi w:val="0"/>
              <w:spacing w:before="0" w:after="0"/>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7,042</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sz w:val="20"/>
        </w:rPr>
      </w:pPr>
      <w:bookmarkStart w:id="1668" w:name="Tc_4beQKkSnR0aluRuicktaEQ_5_0"/>
      <w:bookmarkStart w:id="1669" w:name="Tc_vEFdxAMuQEuTcjZoF9kLVw_4_0"/>
      <w:bookmarkStart w:id="1670" w:name="Tc_FU6m0b76X0-49O5DOkr87A_3_0"/>
      <w:bookmarkStart w:id="1671" w:name="Tc_aYslwBKtFE2JJ8CziMCngg_2_4"/>
      <w:bookmarkStart w:id="1672" w:name="Tc_yso2zBaPTUC1qlvXq1K2sA_2_2"/>
      <w:bookmarkStart w:id="1673" w:name="Tc_dtOCCEoBV0WbxWtoBHTKfg_1_2"/>
      <w:bookmarkStart w:id="1674" w:name="_edf62792_24de_4102_b490_6dad2301f3fb"/>
      <w:bookmarkStart w:id="1675" w:name="Tc_6MIDU-jL8EWeuuEgCNYAlQ_7_0"/>
      <w:bookmarkStart w:id="1676" w:name="Tc_rbfh2thzlUuGGinY6w8Tyw_6_0"/>
      <w:bookmarkStart w:id="1677" w:name="Tc_0qkrBAi30UydXvEYvFUqhg_5_0"/>
      <w:bookmarkStart w:id="1678" w:name="Tc_LoIzunpjxEyVrjHxE4l6LQ_4_11"/>
      <w:bookmarkStart w:id="1679" w:name="Tc_eo3TK0OeAUS5Kwzmf0OzjQ_4_8"/>
      <w:bookmarkStart w:id="1680" w:name="Tc_1RfHRsrycUa0z19fUanz7g_4_5"/>
      <w:bookmarkStart w:id="1681" w:name="Tc_BrylyJ-YDkK5JAV1dVbrNw_4_2"/>
      <w:bookmarkStart w:id="1682" w:name="Tc_QrYehiiC-0OnA4DxOvPHyw_4_0"/>
      <w:bookmarkStart w:id="1683" w:name="Tc_swMCmU0B2kSMZS5D9KSseA_3_0"/>
      <w:bookmarkStart w:id="1684" w:name="Tc_DcBn7yJ-sUWAHsxulsSR4w_2_11"/>
      <w:bookmarkStart w:id="1685" w:name="Tc_c-Kbk4goME-xjw4-_d-mxw_2_8"/>
      <w:bookmarkStart w:id="1686" w:name="Tc_7QXDKCH7A0afH5lPMOgqvg_2_5"/>
      <w:bookmarkStart w:id="1687" w:name="Tc_5vjecIkDME-Q2ROKnkjgJg_2_2"/>
      <w:bookmarkStart w:id="1688" w:name="Tc_8XhI6jSXjE6aX6msYWDwlw_1_8"/>
      <w:bookmarkStart w:id="1689" w:name="Tc_b_jJlB3zbE-eOCd8A8fRvg_1_2"/>
      <w:bookmarkStart w:id="1690" w:name="_4d13cebf_4c14_422b_aacc_cdcb143d900c"/>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r>
        <w:rPr>
          <w:rFonts w:ascii="Times New Roman;Times;serif" w:hAnsi="Times New Roman;Times;serif"/>
          <w:b/>
          <w:sz w:val="20"/>
        </w:rPr>
        <w:t>(15) Net Loss Per Share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presents the calculation of basic and diluted net loss per share attributable to common stockholders (in thousands, except for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55"/>
        <w:gridCol w:w="326"/>
        <w:gridCol w:w="240"/>
        <w:gridCol w:w="907"/>
        <w:gridCol w:w="372"/>
        <w:gridCol w:w="240"/>
        <w:gridCol w:w="907"/>
        <w:gridCol w:w="326"/>
        <w:gridCol w:w="233"/>
        <w:gridCol w:w="879"/>
        <w:gridCol w:w="360"/>
        <w:gridCol w:w="233"/>
        <w:gridCol w:w="927"/>
      </w:tblGrid>
      <w:tr>
        <w:trPr/>
        <w:tc>
          <w:tcPr>
            <w:tcW w:w="4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701925" cy="175260"/>
                      <wp:effectExtent l="0" t="0" r="0" b="0"/>
                      <wp:wrapNone/>
                      <wp:docPr id="329" name="Frame329"/>
                      <a:graphic xmlns:a="http://schemas.openxmlformats.org/drawingml/2006/main">
                        <a:graphicData uri="http://schemas.microsoft.com/office/word/2010/wordprocessingShape">
                          <wps:wsp>
                            <wps:cNvSpPr txBox="1"/>
                            <wps:spPr>
                              <a:xfrm>
                                <a:off x="0" y="0"/>
                                <a:ext cx="270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52400" cy="175260"/>
                      <wp:effectExtent l="0" t="0" r="0" b="0"/>
                      <wp:wrapNone/>
                      <wp:docPr id="331" name="Frame33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75945" cy="175260"/>
                      <wp:effectExtent l="0" t="0" r="0" b="0"/>
                      <wp:wrapNone/>
                      <wp:docPr id="332" name="Frame332"/>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36220" cy="175260"/>
                      <wp:effectExtent l="0" t="0" r="0" b="0"/>
                      <wp:wrapNone/>
                      <wp:docPr id="333" name="Frame333"/>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52400" cy="175260"/>
                      <wp:effectExtent l="0" t="0" r="0" b="0"/>
                      <wp:wrapNone/>
                      <wp:docPr id="334" name="Frame33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75945" cy="175260"/>
                      <wp:effectExtent l="0" t="0" r="0" b="0"/>
                      <wp:wrapNone/>
                      <wp:docPr id="335" name="Frame335"/>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7955" cy="175260"/>
                      <wp:effectExtent l="0" t="0" r="0" b="0"/>
                      <wp:wrapNone/>
                      <wp:docPr id="337" name="Frame33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58165" cy="175260"/>
                      <wp:effectExtent l="0" t="0" r="0" b="0"/>
                      <wp:wrapNone/>
                      <wp:docPr id="338" name="Frame33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28600" cy="175260"/>
                      <wp:effectExtent l="0" t="0" r="0" b="0"/>
                      <wp:wrapNone/>
                      <wp:docPr id="339" name="Frame3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47955" cy="175260"/>
                      <wp:effectExtent l="0" t="0" r="0" b="0"/>
                      <wp:wrapNone/>
                      <wp:docPr id="340" name="Frame34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88645" cy="175260"/>
                      <wp:effectExtent l="0" t="0" r="0" b="0"/>
                      <wp:wrapNone/>
                      <wp:docPr id="341" name="Frame341"/>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2" w:type="dxa"/>
            <w:tcBorders/>
            <w:vAlign w:val="center"/>
          </w:tcPr>
          <w:p>
            <w:pPr>
              <w:pStyle w:val="TableContents"/>
              <w:bidi w:val="0"/>
              <w:spacing w:before="0" w:after="0"/>
              <w:ind w:left="0" w:right="0" w:hanging="0"/>
              <w:jc w:val="left"/>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0" w:type="dxa"/>
            <w:tcBorders/>
            <w:vAlign w:val="center"/>
          </w:tcPr>
          <w:p>
            <w:pPr>
              <w:pStyle w:val="TableContents"/>
              <w:bidi w:val="0"/>
              <w:spacing w:before="0" w:after="0"/>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 </w:t>
            </w:r>
          </w:p>
        </w:tc>
        <w:tc>
          <w:tcPr>
            <w:tcW w:w="907"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 </w:t>
            </w:r>
          </w:p>
        </w:tc>
        <w:tc>
          <w:tcPr>
            <w:tcW w:w="879"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  </w:t>
            </w:r>
          </w:p>
        </w:tc>
      </w:tr>
      <w:tr>
        <w:trPr/>
        <w:tc>
          <w:tcPr>
            <w:tcW w:w="4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72"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(18,755)</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(48,649)</w:t>
            </w:r>
          </w:p>
        </w:tc>
      </w:tr>
      <w:tr>
        <w:trPr/>
        <w:tc>
          <w:tcPr>
            <w:tcW w:w="4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r>
      <w:tr>
        <w:trPr/>
        <w:tc>
          <w:tcPr>
            <w:tcW w:w="4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133,866</w:t>
            </w:r>
          </w:p>
        </w:tc>
        <w:tc>
          <w:tcPr>
            <w:tcW w:w="372"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118,571</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129,173</w:t>
            </w:r>
          </w:p>
        </w:tc>
        <w:tc>
          <w:tcPr>
            <w:tcW w:w="360"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95,691</w:t>
            </w:r>
          </w:p>
        </w:tc>
      </w:tr>
      <w:tr>
        <w:trPr/>
        <w:tc>
          <w:tcPr>
            <w:tcW w:w="4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72"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are 3,059,273 Sponsor Vesting Shares that were not included in the computations of basic and diluted net loss per share for the three and nine months ended September 30, 2023 and 2022, respectively, because the contingencies for the issuance of these shares have not been met. The weighted-average common shares outstanding for the three and nine months ended September 30, 2023 include 1,094,494 and 1,349,367 weighted average shares for warrants having an exercise price of $0.01 per share each, respectively. The weighted-average common shares outstanding for the three and nine months ended September 30, 2022 include 2,076,116 and 2,905,130 weighted average shares for warrants having an exercise price of $0.01 per share each,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excluded the following potential common shares from the computation of diluted net loss per share for the three and nine months ended September 30, 2023, and 2022:</w:t>
      </w:r>
    </w:p>
    <w:p>
      <w:pPr>
        <w:pStyle w:val="TextBody"/>
        <w:bidi w:val="0"/>
        <w:spacing w:before="0" w:after="240"/>
        <w:ind w:left="0" w:right="0" w:hanging="0"/>
        <w:jc w:val="left"/>
        <w:rPr/>
      </w:pPr>
      <w:r>
        <w:rPr/>
        <w:t>​</w:t>
      </w:r>
    </w:p>
    <w:tbl>
      <w:tblPr>
        <w:tblW w:w="5446" w:type="dxa"/>
        <w:jc w:val="left"/>
        <w:tblInd w:w="0" w:type="dxa"/>
        <w:tblLayout w:type="fixed"/>
        <w:tblCellMar>
          <w:top w:w="0" w:type="dxa"/>
          <w:left w:w="0" w:type="dxa"/>
          <w:bottom w:w="0" w:type="dxa"/>
          <w:right w:w="0" w:type="dxa"/>
        </w:tblCellMar>
      </w:tblPr>
      <w:tblGrid>
        <w:gridCol w:w="2416"/>
        <w:gridCol w:w="326"/>
        <w:gridCol w:w="1102"/>
        <w:gridCol w:w="346"/>
        <w:gridCol w:w="1102"/>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534160" cy="175260"/>
                      <wp:effectExtent l="0" t="0" r="0" b="0"/>
                      <wp:wrapNone/>
                      <wp:docPr id="342" name="Frame342"/>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9770" cy="175260"/>
                      <wp:effectExtent l="0" t="0" r="0" b="0"/>
                      <wp:wrapNone/>
                      <wp:docPr id="344" name="Frame344"/>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9770" cy="175260"/>
                      <wp:effectExtent l="0" t="0" r="0" b="0"/>
                      <wp:wrapNone/>
                      <wp:docPr id="346" name="Frame346"/>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97790" cy="175260"/>
                      <wp:effectExtent l="0" t="0" r="0" b="0"/>
                      <wp:wrapNone/>
                      <wp:docPr id="347" name="Frame34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5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1"/>
              <w:ind w:left="0" w:right="0" w:hanging="0"/>
              <w:jc w:val="center"/>
              <w:rPr/>
            </w:pPr>
            <w:r>
              <w:rPr/>
              <w:t>​</w: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1"/>
              <w:ind w:left="0" w:right="0" w:hanging="0"/>
              <w:jc w:val="center"/>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14,415,269</w:t>
            </w:r>
          </w:p>
        </w:tc>
        <w:tc>
          <w:tcPr>
            <w:tcW w:w="346"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14,444,127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1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5,802,495</w:t>
            </w:r>
          </w:p>
        </w:tc>
        <w:tc>
          <w:tcPr>
            <w:tcW w:w="346" w:type="dxa"/>
            <w:tcBorders/>
            <w:vAlign w:val="center"/>
          </w:tcPr>
          <w:p>
            <w:pPr>
              <w:pStyle w:val="TableContents"/>
              <w:bidi w:val="0"/>
              <w:spacing w:before="0" w:after="1"/>
              <w:ind w:left="0" w:right="0" w:hanging="0"/>
              <w:jc w:val="left"/>
              <w:rPr/>
            </w:pPr>
            <w:r>
              <w:rPr/>
              <w:t> </w:t>
            </w:r>
          </w:p>
        </w:tc>
        <w:tc>
          <w:tcPr>
            <w:tcW w:w="11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8,307,065</w:t>
            </w:r>
          </w:p>
        </w:tc>
        <w:tc>
          <w:tcPr>
            <w:tcW w:w="154" w:type="dxa"/>
            <w:tcBorders/>
            <w:vAlign w:val="center"/>
          </w:tcPr>
          <w:p>
            <w:pPr>
              <w:pStyle w:val="TableContents"/>
              <w:bidi w:val="0"/>
              <w:spacing w:before="0" w:after="1"/>
              <w:ind w:left="0" w:right="0" w:hanging="0"/>
              <w:jc w:val="lef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12,285,160</w:t>
            </w:r>
          </w:p>
        </w:tc>
        <w:tc>
          <w:tcPr>
            <w:tcW w:w="346" w:type="dxa"/>
            <w:tcBorders/>
            <w:shd w:fill="CCEEFF" w:val="clear"/>
            <w:vAlign w:val="center"/>
          </w:tcPr>
          <w:p>
            <w:pPr>
              <w:pStyle w:val="TableContents"/>
              <w:bidi w:val="0"/>
              <w:spacing w:before="0" w:after="1"/>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14,797,277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32,502,924</w:t>
            </w:r>
          </w:p>
        </w:tc>
        <w:tc>
          <w:tcPr>
            <w:tcW w:w="346" w:type="dxa"/>
            <w:tcBorders/>
            <w:vAlign w:val="center"/>
          </w:tcPr>
          <w:p>
            <w:pPr>
              <w:pStyle w:val="TableContents"/>
              <w:bidi w:val="0"/>
              <w:spacing w:before="0" w:after="1"/>
              <w:ind w:left="0" w:right="0" w:hanging="0"/>
              <w:jc w:val="left"/>
              <w:rPr/>
            </w:pPr>
            <w:r>
              <w:rPr/>
              <w:t> </w:t>
            </w:r>
          </w:p>
        </w:tc>
        <w:tc>
          <w:tcPr>
            <w:tcW w:w="11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37,548,469</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does not include unvested Customer Warrants for 1,340,310</w:t>
            </w:r>
            <w:r>
              <w:rPr>
                <w:caps w:val="false"/>
                <w:smallCaps w:val="false"/>
              </w:rPr>
              <w:t xml:space="preserve"> </w:t>
            </w:r>
            <w:r>
              <w:rPr>
                <w:rFonts w:ascii="Times New Roman;Times;serif" w:hAnsi="Times New Roman;Times;serif"/>
                <w:b w:val="false"/>
                <w:i w:val="false"/>
                <w:caps w:val="false"/>
                <w:smallCaps w:val="false"/>
                <w:sz w:val="20"/>
              </w:rPr>
              <w:t>shares as of September 30, 2023 and 2022, respectively.</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16)</w:t>
            </w:r>
          </w:p>
        </w:tc>
        <w:tc>
          <w:tcPr>
            <w:tcW w:w="1396" w:type="dxa"/>
            <w:tcBorders/>
            <w:vAlign w:val="center"/>
          </w:tcPr>
          <w:p>
            <w:pPr>
              <w:pStyle w:val="TableContents"/>
              <w:bidi w:val="0"/>
              <w:spacing w:before="0" w:after="240"/>
              <w:jc w:val="both"/>
              <w:rPr/>
            </w:pPr>
            <w:r>
              <w:rPr/>
              <w:t> </w:t>
            </w:r>
            <w:r>
              <w:rPr>
                <w:rFonts w:ascii="Times New Roman;Times;serif" w:hAnsi="Times New Roman;Times;serif"/>
                <w:b/>
                <w:sz w:val="20"/>
              </w:rPr>
              <w:t>Income Taxes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did not record income tax expenses for the three and nine months ended September 30, 2023 and 2022, respectively, due to the Company’s loss position and full valuation allowance.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the foreign rate differential related to subsidiary earnings, and other permanent differences. Realization of deferred tax assets is dependent upon future earnings, if any, the timing and amount of which are uncertain.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Utilization of the net operating losses and credits may be subject to substantial annual limitation due to federal and state ownership change limitations provided by the Internal Revenue Code and similar state provisions. Such annual limitations could result in the expiration of the net operating losses and credits before their utilization. The Company has not performed a Section 382 analysis to determine if an ownership change occurred and whether the use of net operating loss carryforwards and credits carryforwards will be limited to offset future taxable income. For financial statement purposes, the Company has included the federal and state net operating losses and credits in the deferred tax assets with a full valuation allowance.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91" w:name="Tc_E4D4BPdFD0ODQG_bBVs_EA_6_3"/>
      <w:bookmarkStart w:id="1692" w:name="Tc_Oo77f_kKMkytvftViHjXKw_6_2"/>
      <w:bookmarkStart w:id="1693" w:name="Tc_T90Zddmy7U-Wp9t1yXDXcg_6_0"/>
      <w:bookmarkStart w:id="1694" w:name="Tc_gTPHjD38BE-vhovM6LHBuQ_5_0"/>
      <w:bookmarkStart w:id="1695" w:name="Tc_sdg7TyGipUWqMFPiDoFh8Q_4_0"/>
      <w:bookmarkStart w:id="1696" w:name="Tc_cM2zFLkgBE-_8sylPIzBAQ_3_0"/>
      <w:bookmarkStart w:id="1697" w:name="Tc_Cb3lAQLciUyS8qaWjfwMtA_2_2"/>
      <w:bookmarkStart w:id="1698" w:name="Tc_plQdIulmX0WEFyqs7dtq4w_2_0"/>
      <w:bookmarkStart w:id="1699" w:name="Tc_vpsr_AWhCkWeiSOlMnVUCg_1_2"/>
      <w:bookmarkStart w:id="1700" w:name="_0a99cf9c_8a80_4748_aa50_1caf3b2a2f11"/>
      <w:bookmarkStart w:id="1701" w:name="Tc_E4D4BPdFD0ODQG_bBVs_EA_6_3"/>
      <w:bookmarkStart w:id="1702" w:name="Tc_Oo77f_kKMkytvftViHjXKw_6_2"/>
      <w:bookmarkStart w:id="1703" w:name="Tc_T90Zddmy7U-Wp9t1yXDXcg_6_0"/>
      <w:bookmarkStart w:id="1704" w:name="Tc_gTPHjD38BE-vhovM6LHBuQ_5_0"/>
      <w:bookmarkStart w:id="1705" w:name="Tc_sdg7TyGipUWqMFPiDoFh8Q_4_0"/>
      <w:bookmarkStart w:id="1706" w:name="Tc_cM2zFLkgBE-_8sylPIzBAQ_3_0"/>
      <w:bookmarkStart w:id="1707" w:name="Tc_Cb3lAQLciUyS8qaWjfwMtA_2_2"/>
      <w:bookmarkStart w:id="1708" w:name="Tc_plQdIulmX0WEFyqs7dtq4w_2_0"/>
      <w:bookmarkStart w:id="1709" w:name="Tc_vpsr_AWhCkWeiSOlMnVUCg_1_2"/>
      <w:bookmarkStart w:id="1710" w:name="_0a99cf9c_8a80_4748_aa50_1caf3b2a2f11"/>
      <w:bookmarkEnd w:id="1701"/>
      <w:bookmarkEnd w:id="1702"/>
      <w:bookmarkEnd w:id="1703"/>
      <w:bookmarkEnd w:id="1704"/>
      <w:bookmarkEnd w:id="1705"/>
      <w:bookmarkEnd w:id="1706"/>
      <w:bookmarkEnd w:id="1707"/>
      <w:bookmarkEnd w:id="1708"/>
      <w:bookmarkEnd w:id="1709"/>
      <w:bookmarkEnd w:id="1710"/>
    </w:p>
    <w:tbl>
      <w:tblPr>
        <w:tblW w:w="3017" w:type="dxa"/>
        <w:jc w:val="left"/>
        <w:tblInd w:w="0" w:type="dxa"/>
        <w:tblLayout w:type="fixed"/>
        <w:tblCellMar>
          <w:top w:w="0" w:type="dxa"/>
          <w:left w:w="0" w:type="dxa"/>
          <w:bottom w:w="0" w:type="dxa"/>
          <w:right w:w="0" w:type="dxa"/>
        </w:tblCellMar>
      </w:tblPr>
      <w:tblGrid>
        <w:gridCol w:w="451"/>
        <w:gridCol w:w="256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Restructuring and severance</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the Company announced an updated business strategy, including revisions to the Company’s technology roadmap. In connection with this updated strategy, the Company implemented a workforce reduction in order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 Work activities regarding the revised business plan and updated technology roadmap are ongoing.</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restructuring activities (in thousands):</w:t>
      </w:r>
    </w:p>
    <w:tbl>
      <w:tblPr>
        <w:tblW w:w="8082" w:type="dxa"/>
        <w:jc w:val="left"/>
        <w:tblInd w:w="0" w:type="dxa"/>
        <w:tblLayout w:type="fixed"/>
        <w:tblCellMar>
          <w:top w:w="0" w:type="dxa"/>
          <w:left w:w="0" w:type="dxa"/>
          <w:bottom w:w="0" w:type="dxa"/>
          <w:right w:w="0" w:type="dxa"/>
        </w:tblCellMar>
      </w:tblPr>
      <w:tblGrid>
        <w:gridCol w:w="4711"/>
        <w:gridCol w:w="326"/>
        <w:gridCol w:w="871"/>
        <w:gridCol w:w="2174"/>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991485" cy="175260"/>
                      <wp:effectExtent l="0" t="0" r="0" b="0"/>
                      <wp:wrapNone/>
                      <wp:docPr id="348" name="Frame348"/>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53085" cy="175260"/>
                      <wp:effectExtent l="0" t="0" r="0" b="0"/>
                      <wp:wrapNone/>
                      <wp:docPr id="350" name="Frame35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80490" cy="175260"/>
                      <wp:effectExtent l="0" t="0" r="0" b="0"/>
                      <wp:wrapNone/>
                      <wp:docPr id="351" name="Frame351"/>
                      <a:graphic xmlns:a="http://schemas.openxmlformats.org/drawingml/2006/main">
                        <a:graphicData uri="http://schemas.microsoft.com/office/word/2010/wordprocessingShape">
                          <wps:wsp>
                            <wps:cNvSpPr txBox="1"/>
                            <wps:spPr>
                              <a:xfrm>
                                <a:off x="0" y="0"/>
                                <a:ext cx="1380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restructuring charge recorded in February 2023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in the three months ended March 31, 2023</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in the three months ended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2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in the three months ended September 30, 2023</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addition to the charge for restructuring, the Company also incurred $1.0 million for contractual severance benefits related to executive officers of the Company that were terminated in the nine months ended September 30, 2023. The remaining balance in the Company’s accrual for contractual severance benefits related to executive officers as of September 30, 2023 of $0.4 million will be paid out monthly through February 2024. </w:t>
      </w:r>
    </w:p>
    <w:p>
      <w:pPr>
        <w:pStyle w:val="TextBody"/>
        <w:bidi w:val="0"/>
        <w:spacing w:before="0" w:after="240"/>
        <w:ind w:left="0" w:right="0" w:hanging="0"/>
        <w:jc w:val="left"/>
        <w:rPr/>
      </w:pPr>
      <w:r>
        <w:rPr/>
        <w:t>​</w:t>
      </w:r>
    </w:p>
    <w:tbl>
      <w:tblPr>
        <w:tblW w:w="1787" w:type="dxa"/>
        <w:jc w:val="left"/>
        <w:tblInd w:w="0" w:type="dxa"/>
        <w:tblLayout w:type="fixed"/>
        <w:tblCellMar>
          <w:top w:w="0" w:type="dxa"/>
          <w:left w:w="0" w:type="dxa"/>
          <w:bottom w:w="0" w:type="dxa"/>
          <w:right w:w="0" w:type="dxa"/>
        </w:tblCellMar>
      </w:tblPr>
      <w:tblGrid>
        <w:gridCol w:w="451"/>
        <w:gridCol w:w="1336"/>
      </w:tblGrid>
      <w:tr>
        <w:trPr/>
        <w:tc>
          <w:tcPr>
            <w:tcW w:w="4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18)</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Contingencies</w:t>
            </w:r>
          </w:p>
        </w:tc>
      </w:tr>
    </w:tbl>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From time to time, we are party to litigation and other legal proceedings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Indemnification Provisions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agreements include provisions indemnifying customers against intellectual property and other third-party claims. In addition, we have entered into indemnification agreements with our directors, executive officers and certain other officers that will require us, among other things, to indemnify them against certain liabilities that may arise as a result of their affiliation with us. We have not incurred any costs as a result pf such indemnification obligations and have not recorded any liabilities related to such obligations in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711" w:name="ITEM2MANAGEMENTSDISCUSSIONANDANALYSISOFF"/>
      <w:bookmarkStart w:id="1712" w:name="_ec806358_81b0_4d65_8290_475d70757cf4"/>
      <w:bookmarkEnd w:id="1711"/>
      <w:bookmarkEnd w:id="171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2022,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have been generating revenue since 2018 through partnerships with government agencies and commercial organizations; however, we have not yet generated profits. We have incurred significant operating losses since inception. Our net losses were $71.5 million and $38.2 million for the year ended December 31, 2022, and 11 months ended December 31, 2021, respectively. Our net losses were </w:t>
      </w:r>
      <w:r>
        <w:rPr>
          <w:rFonts w:ascii="Times New Roman;Times;serif" w:hAnsi="Times New Roman;Times;serif"/>
          <w:sz w:val="20"/>
          <w:shd w:fill="FFFFFF" w:val="clear"/>
        </w:rPr>
        <w:t>$22.2 million and $18.8 million for the three months ended September 30, 2023 and September 30, 2022, respectively, and</w:t>
      </w:r>
      <w:r>
        <w:rPr>
          <w:rFonts w:ascii="Times New Roman;Times;serif" w:hAnsi="Times New Roman;Times;serif"/>
          <w:sz w:val="20"/>
        </w:rPr>
        <w:t xml:space="preserve"> $62.5 million and $48.6 million for the nine months ended September 30, 2023 and</w:t>
      </w:r>
      <w:r>
        <w:rPr>
          <w:rFonts w:ascii="Times New Roman;Times;serif" w:hAnsi="Times New Roman;Times;serif"/>
          <w:sz w:val="20"/>
          <w:shd w:fill="FFFFFF" w:val="clear"/>
        </w:rPr>
        <w:t xml:space="preserve"> September 30, 2022, respectively</w:t>
      </w:r>
      <w:r>
        <w:rPr>
          <w:rFonts w:ascii="Times New Roman;Times;serif" w:hAnsi="Times New Roman;Times;serif"/>
          <w:sz w:val="20"/>
        </w:rPr>
        <w:t>. We expect to continue to incur additional losses for the foreseeable future as we invest in research, development, and infrastructure consistent with our long-term business strategy. As of September 30, 2023, we had an accumulated deficit of $341.2 million.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Based on our estimates and current business plan, we expect that we will need to obtain additional capital by early 2025, including any additional sales of common stock through our Common Stock Purchase Agreement with B. Riley or from other sources, in order to fund our research and development efforts and business objectives as currently planned. There is no assurance that additional financing will be available. If we are unable to raise additional funding when needed and on attractive terms, we may be required to delay, limit, or substantially reduce our quantum computing development efforts.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beginning in February 2023 to focus the organization and our resources on nearer-term strategic priorities. In March 2023, we further refined our business strategy after internally deploying Ankaa-1, our 84-qubit system delivering denser qubit spacing and tunable couplers, within our company for testing. We have since concentrated on refining the performance of Ankaa-1 and have externally launched the Ankaa-1 84-qubit system, to one select customer who is conducting error correction research. We plan to continue efforts to improve the performance of the system with the goal of reaching at least 98% 2-qubit gate fidelity to support the anticipated Ankaa-2 84-qubit system. We then plan to launch the anticipated Ankaa-2 84 qubit system, continuing to work to improve performance with the goal of reaching at least 99% gate fidelity on Ankaa-2. If these targets are achieved, we plan to shift focus to scaling to develop Lyra, an anticipated 336-qubit system. We believe that this business plan should enable us to concentrate our software application development strategy on what we believe to be the highest likelihood applications for demonstrating nearer term narrow quantum advantage.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reduction in the workforce impacted approximately 50 employees or 28% of our then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three months ended March 31, 2023, for severance payments and temporary healthcare coverage for effected employees. In addition to the restructuring charge, we also incurred $1.0 million of expenses for contractual severance benefits related to executive officers of the Company that were terminated in the three months ended March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Business Combination and PIPE Financing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On October 6, 2021, SNII entered into the Merger Agreement by and among Supernova, First Merger Sub, Second Merger Sub, and Legacy Rigetti. On March 2, 2022, the Business Combination was consummated. While the legal acquirer in the Merger Agreement was Supernova, for financial accounting and reporting purposes under United States generally accepted accounting principles (“GAAP”), Rigetti was the accounting acquirer, and the Merger was accounted for as a “reverse recapitalization.” A reverse recapitalization does not result in a new basis of accounting, and the financial statements of Rigetti represent the continuation of the financial statements of Legacy Rigetti in many respects. Under this method of accounting, Supernova was treated as the “acquired” company for financial reporting purposes.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accounting purposes, Rigetti was deemed to be the accounting acquirer in the transaction and, consequently, the transaction was treated as a recapitalization of Rigetti (i.e., a capital transaction involving the issuance of stock by Supernova for the stock of Rigetti). As a result of the Business Combination, all of the shares of Legacy Rigetti Common Stock outstanding immediately prior to the Closing (including Legacy Rigetti Common Stock resulting from the Legacy Rigetti preferred stock conversion) were converted into the right to receive an aggregate of 78,959,579 shares of our Common Stock, par value $0.0001 per share (“Common Stock”). Additionally, each issued and outstanding share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$205.0 million, including $225.6 million of proceeds from the Business Combination and PIPE Financing, net of transaction costs incurred by us of $20.6 million.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 direct and incremental transaction costs were also incurred by Rigetti in connection with the Business Combination. Generally, costs (e.g., SPAC shares) are recorded as a reduction to additional paid-in capital. Costs allocated to liability-classified instruments that are subsequently measured at fair value through earnings (e.g., certain SPAC warrants) are expensed. Rigetti’s transaction costs totaled $20.6 million, of which $19.7 million was allocated to equity-classified instruments and recorded as a reduction to additional paid-in capital, and the remaining $0.9 million was allocated to liability-classified instruments that are subsequently measured at fair value through earnings and recognized as expense in the consolidated statements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a result of the Business Combination, we became subject to the reporting requirements under the Securities Exchange Act of 1934, as amended, and listing standards of the Nasdaq Capital Market, which has and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future results of consolidated operations and financial position may not be comparable to historical results for a variety of reasons, including as a result of the Business Combination.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Unfavorable conditions in the economy in the United States and abroad may negatively affect the growth of our business and have affected our results of operations. For example, macroeconomic events, including rising inflation, the U.S. Federal Reserve raising interest rates, recent bank failures, the ongoing military conflict involving Russia and Ukraine and sanctions related thereto, the state of war between Israel and Hamas and the related risk of a larger regional conflict have led to economic uncertainty globally. The effect of macroeconomic conditions may not be fully reflected in the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Part I “Item 1A. Risk Factors” in our Annual Report on Form 10-K for the year ended December 31, 2022, including the risk factor titled “Unstable market and economic conditions have had and may continue to have serious adverse consequences on our business, financial condition and share price.”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have experienced and may experience further increases in the cost of raw materials, component parts, and labor, which we largely attribute to inflation, the U.S. Federal Reserve raising interest rates, high demand, and supply chain restraints. Rising costs and supply chain constraints have been further exacerbated by the ongoing military conflict involving Russia and Ukraine and sanctions related thereto, the state of war between Israel and Hamas and the related risk of a larger regional conflict. We expect these increased costs will persist for the foreseeable future and may increase. Additionally,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increases in interest rates.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regional conflict. It is not possible at this time to estimate the long-term impact that these and related events could have on our business, as the impact will depend on future developments, which are highly uncertain and cannot be predicted.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 other efforts. However, like many other companies, we are taking actions to monitor our operations to account for the increases in the cost of capital. Specifically, this includes efforts to enhance our operational efficiency, maximize our R&amp;D spend through strategic collaborations, and being highly selective in hiring top-tier talent.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 </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QCaaS offerings and development contracts and other services, including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primarily consist of research and development, and selling, general and administrative expenses. Sales and marketing expenses became less significant following the reduction in workforce and strategic realignment we announced in February 2023. For this reason, sales and marketing and general administrative expenses have been combined and are now reported as selling, general and administrative. Related amounts for all prior periods have been reclassified to conform with this presentation.</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54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0" w:right="0" w:firstLine="54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insurance, facility costs, professional service fees, and other general overhead costs other than those associated with sales of QPUs and providing development contracts, QCaaS offerings and other services.</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Restructuring</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its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Nine Months Ended September 30, 2023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tbl>
      <w:tblPr>
        <w:tblW w:w="10205" w:type="dxa"/>
        <w:jc w:val="left"/>
        <w:tblInd w:w="0" w:type="dxa"/>
        <w:tblLayout w:type="fixed"/>
        <w:tblCellMar>
          <w:top w:w="0" w:type="dxa"/>
          <w:left w:w="0" w:type="dxa"/>
          <w:bottom w:w="0" w:type="dxa"/>
          <w:right w:w="0" w:type="dxa"/>
        </w:tblCellMar>
      </w:tblPr>
      <w:tblGrid>
        <w:gridCol w:w="1231"/>
        <w:gridCol w:w="326"/>
        <w:gridCol w:w="181"/>
        <w:gridCol w:w="561"/>
        <w:gridCol w:w="326"/>
        <w:gridCol w:w="181"/>
        <w:gridCol w:w="561"/>
        <w:gridCol w:w="326"/>
        <w:gridCol w:w="181"/>
        <w:gridCol w:w="561"/>
        <w:gridCol w:w="326"/>
        <w:gridCol w:w="721"/>
        <w:gridCol w:w="211"/>
        <w:gridCol w:w="326"/>
        <w:gridCol w:w="181"/>
        <w:gridCol w:w="561"/>
        <w:gridCol w:w="326"/>
        <w:gridCol w:w="181"/>
        <w:gridCol w:w="561"/>
        <w:gridCol w:w="326"/>
        <w:gridCol w:w="181"/>
        <w:gridCol w:w="561"/>
        <w:gridCol w:w="326"/>
        <w:gridCol w:w="721"/>
        <w:gridCol w:w="26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781685" cy="175260"/>
                      <wp:effectExtent l="0" t="0" r="0" b="0"/>
                      <wp:wrapNone/>
                      <wp:docPr id="352" name="Frame35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14935" cy="175260"/>
                      <wp:effectExtent l="0" t="0" r="0" b="0"/>
                      <wp:wrapNone/>
                      <wp:docPr id="354" name="Frame3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56235" cy="175260"/>
                      <wp:effectExtent l="0" t="0" r="0" b="0"/>
                      <wp:wrapNone/>
                      <wp:docPr id="355" name="Frame35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14935" cy="175260"/>
                      <wp:effectExtent l="0" t="0" r="0" b="0"/>
                      <wp:wrapNone/>
                      <wp:docPr id="357" name="Frame3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56235" cy="175260"/>
                      <wp:effectExtent l="0" t="0" r="0" b="0"/>
                      <wp:wrapNone/>
                      <wp:docPr id="358" name="Frame358"/>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14935" cy="175260"/>
                      <wp:effectExtent l="0" t="0" r="0" b="0"/>
                      <wp:wrapNone/>
                      <wp:docPr id="360" name="Frame3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56235" cy="175260"/>
                      <wp:effectExtent l="0" t="0" r="0" b="0"/>
                      <wp:wrapNone/>
                      <wp:docPr id="361" name="Frame361"/>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57835" cy="175260"/>
                      <wp:effectExtent l="0" t="0" r="0" b="0"/>
                      <wp:wrapNone/>
                      <wp:docPr id="363" name="Frame3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14935" cy="175260"/>
                      <wp:effectExtent l="0" t="0" r="0" b="0"/>
                      <wp:wrapNone/>
                      <wp:docPr id="366" name="Frame36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56235" cy="175260"/>
                      <wp:effectExtent l="0" t="0" r="0" b="0"/>
                      <wp:wrapNone/>
                      <wp:docPr id="367" name="Frame36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14935" cy="175260"/>
                      <wp:effectExtent l="0" t="0" r="0" b="0"/>
                      <wp:wrapNone/>
                      <wp:docPr id="369" name="Frame3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56235" cy="175260"/>
                      <wp:effectExtent l="0" t="0" r="0" b="0"/>
                      <wp:wrapNone/>
                      <wp:docPr id="370" name="Frame370"/>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14935" cy="175260"/>
                      <wp:effectExtent l="0" t="0" r="0" b="0"/>
                      <wp:wrapNone/>
                      <wp:docPr id="372" name="Frame37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56235" cy="175260"/>
                      <wp:effectExtent l="0" t="0" r="0" b="0"/>
                      <wp:wrapNone/>
                      <wp:docPr id="373" name="Frame373"/>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57835" cy="175260"/>
                      <wp:effectExtent l="0" t="0" r="0" b="0"/>
                      <wp:wrapNone/>
                      <wp:docPr id="375" name="Frame37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65735" cy="175260"/>
                      <wp:effectExtent l="0" t="0" r="0" b="0"/>
                      <wp:wrapNone/>
                      <wp:docPr id="376" name="Frame37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0"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0"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Nine Months Ended</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r>
      <w:tr>
        <w:trPr/>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September 30, </w:t>
            </w:r>
          </w:p>
        </w:tc>
        <w:tc>
          <w:tcPr>
            <w:tcW w:w="326" w:type="dxa"/>
            <w:tcBorders/>
            <w:vAlign w:val="center"/>
          </w:tcPr>
          <w:p>
            <w:pPr>
              <w:pStyle w:val="TableContents"/>
              <w:bidi w:val="0"/>
              <w:spacing w:before="0" w:after="0"/>
              <w:ind w:left="0" w:right="0" w:hanging="0"/>
              <w:jc w:val="center"/>
              <w:rPr/>
            </w:pPr>
            <w:r>
              <w:rPr/>
              <w:t>​</w:t>
            </w:r>
          </w:p>
        </w:tc>
        <w:tc>
          <w:tcPr>
            <w:tcW w:w="17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 versus 2022</w:t>
            </w:r>
          </w:p>
        </w:tc>
        <w:tc>
          <w:tcPr>
            <w:tcW w:w="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September 30, </w:t>
            </w:r>
          </w:p>
        </w:tc>
        <w:tc>
          <w:tcPr>
            <w:tcW w:w="326" w:type="dxa"/>
            <w:tcBorders/>
            <w:vAlign w:val="center"/>
          </w:tcPr>
          <w:p>
            <w:pPr>
              <w:pStyle w:val="TableContents"/>
              <w:bidi w:val="0"/>
              <w:spacing w:before="0" w:after="0"/>
              <w:ind w:left="0" w:right="0" w:hanging="0"/>
              <w:jc w:val="center"/>
              <w:rPr/>
            </w:pPr>
            <w:r>
              <w:rPr/>
              <w:t>​</w:t>
            </w:r>
          </w:p>
        </w:tc>
        <w:tc>
          <w:tcPr>
            <w:tcW w:w="17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 vs. 2022</w:t>
            </w:r>
          </w:p>
        </w:tc>
        <w:tc>
          <w:tcPr>
            <w:tcW w:w="261" w:type="dxa"/>
            <w:tcBorders/>
            <w:vAlign w:val="center"/>
          </w:tcPr>
          <w:p>
            <w:pPr>
              <w:pStyle w:val="TableContents"/>
              <w:bidi w:val="0"/>
              <w:spacing w:before="0" w:after="0"/>
              <w:ind w:left="0" w:right="0" w:hanging="0"/>
              <w:jc w:val="center"/>
              <w:rPr/>
            </w:pPr>
            <w:r>
              <w:rPr/>
              <w:t>​</w:t>
            </w:r>
          </w:p>
        </w:tc>
      </w:tr>
      <w:tr>
        <w:trPr/>
        <w:tc>
          <w:tcPr>
            <w:tcW w:w="1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0"/>
              <w:ind w:left="0" w:right="0" w:hanging="0"/>
              <w:jc w:val="left"/>
              <w:rPr/>
            </w:pPr>
            <w:r>
              <w:rPr/>
              <w:t>​</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0"/>
              <w:ind w:left="0" w:right="0" w:hanging="0"/>
              <w:jc w:val="left"/>
              <w:rPr/>
            </w:pPr>
            <w:r>
              <w:rPr/>
              <w:t>​</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261" w:type="dxa"/>
            <w:tcBorders/>
            <w:vAlign w:val="center"/>
          </w:tcPr>
          <w:p>
            <w:pPr>
              <w:pStyle w:val="TableContents"/>
              <w:bidi w:val="0"/>
              <w:spacing w:before="0" w:after="0"/>
              <w:ind w:left="0" w:right="0" w:hanging="0"/>
              <w:jc w:val="left"/>
              <w:rPr/>
            </w:pPr>
            <w:r>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3,105</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2,804</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8,632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7,042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revenue</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6,692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4,979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Research and development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13,056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17,365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(4,309)</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39,981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44,040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(4,059)</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6,047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15,987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(9,940)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20,808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43,293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(22,485)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nm</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19,103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33,352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(14,249)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61,780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87,333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(25,553)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from operations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(16,832)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(31,324)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14,492</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(55,088)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(82,354)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27,266</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61" w:type="dxa"/>
            <w:tcBorders/>
            <w:shd w:fill="CCEEFF" w:val="clear"/>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(4,511)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(700)</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2,574</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derivative warrant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8,103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(11,545)</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19,853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(24,173)</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(6,591)</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17,418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(19,780)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Transaction costs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nm</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927</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(5,383)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12,569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(17,952)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(7,447)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33,705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(41,152)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before provision for income taxes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(22,215)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(18,755)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(3,460)</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(62,535)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(48,649)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(13,886)</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61" w:type="dxa"/>
            <w:tcBorders/>
            <w:shd w:fill="CCEEFF" w:val="clear"/>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(22,215)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(18,755)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(3,460)</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(62,535)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(48,649)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(13,886)</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2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Revenue increased by $0.3 million and $1.6 million for the three months and nine months ended September 30, 2023, respectively, compared to three and nine months ended September 30, 2022. Our development contracts are typically fixed price milestone or cost share-based contracts and the timing and amounts of revenue recognized in any given quarter will vary significantly based on the delivery of the associated milestones and/or the work performed. The increase in revenue during the three and nine months ended September 30, 2023 reflects typical variability in the timing of revenue recognition from development contracts. Revenue from these contracts is expected to vary in terms of timing and size, resulting in significant quarter-to-quarter fluctuations in revenue levels.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There may be some near-term reduction in revenue as we align to our updated strategy announced in February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Cost of revenue increased by $0.1 million and decreased by $0.1 million for the three months and nine months ended September 30, 2023, respectively, compared to three and nine months ended September 30, 2022.</w:t>
      </w:r>
      <w:r>
        <w:rPr>
          <w:rFonts w:ascii="Times New Roman;Times;serif" w:hAnsi="Times New Roman;Times;serif"/>
          <w:sz w:val="20"/>
          <w:shd w:fill="FFFFFF" w:val="clear"/>
        </w:rPr>
        <w:t xml:space="preserve">The increase in </w:t>
      </w:r>
      <w:r>
        <w:rPr>
          <w:rFonts w:ascii="Times New Roman;Times;serif" w:hAnsi="Times New Roman;Times;serif"/>
          <w:sz w:val="20"/>
        </w:rPr>
        <w:t xml:space="preserve">cost of revenue and the improvement in total gross profit as a percentage of revenue in the three months ended September 30, 2023 and the decrease </w:t>
      </w:r>
      <w:r>
        <w:rPr>
          <w:rFonts w:ascii="Times New Roman;Times;serif" w:hAnsi="Times New Roman;Times;serif"/>
          <w:sz w:val="20"/>
          <w:shd w:fill="FFFFFF" w:val="clear"/>
        </w:rPr>
        <w:t xml:space="preserve">in </w:t>
      </w:r>
      <w:r>
        <w:rPr>
          <w:rFonts w:ascii="Times New Roman;Times;serif" w:hAnsi="Times New Roman;Times;serif"/>
          <w:sz w:val="20"/>
        </w:rPr>
        <w:t xml:space="preserve">cost of revenue and the improvement in total gross profit as a percentage of revenue in the nine months ended September 30, 2023 are primarily due to changes in the composition of our revenue and variability in the pricing and terms of our development contracts.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from quarter-to-quarter in future periods due to changes in the composition of our revenue and variability in the pricing and terms of our development contracts.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Research and development expenses decreased by $4.3 million and $4.1 million for the three and nine months ended September 30, 2023, compared to three and nine months ended September 30, 2022,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Salaries and employee benefit expenses decreased by $1.6 million and $0.3 million, and stock-based compensation decreased by $2.9 million and $3.6 million, for the three and nine months ended September 30, 2023, compared to the three and nine months ended September 30, 2022, respectively. The decreases in employee wages and benefit expenses and stock-based compensation resulted from our February 2023 reduction in workforce. A $1.3 million out-of-period adjustment for electrical utility fees during the nine months ended September 30, 2022 also contributed to the decrease in research and development expenses for the nine months ended September 30, 2023. A $1.6 million charge for deferred stock-based compensation expense related to the closing of the Business Combination during the nine months ended September 30, 2022 contributed to the decrease in stock-based compensation during the nine months ended September 30,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decreases were partially offset by a $0.3 million and $1.5 million increase in depreciation expense during the three and nine months ended September 30, 2023, due to purchases of property and equipment, compared to the three and nine months ended September 30, 2022,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anticipate that R&amp;D expenditures will grow in the future as we continue to focus on our technology roadmap and long-term goal of achieving broad quantum advantage.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Selling, general and administrative expenses decreased by $9.9 million and $22.5 million for the three and nine months ended September 30, 2023, compared to three and nine months ended September 30, 2022,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decreases for the three and nine months ended September 2023 are primarily due to a reduction in stock-based compensation of $8.5 million and $25.3 million, respectively, partially offset by unfavorable changes in the fair value of the Ampere Forward Agreement of $1.5 million and $7.7 million, respectively. The remaining differences are due to lower wage costs including lower bonus expenses, professional fees and insurance costs. Stock-based compensation and bonus expenses for the nine months ended September 30, 2022 include $6.9 million of deferred stock-based compensation and $1.8 million of transaction bonuses that were recognized in connection with the closing of the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Restructuring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our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began implementing activities with respect to our revised business plan, updated technology roadmap and reduction in workforce in February 2023, resulting in a $1 million restructuring charge during the nine months ended September 30, 2023. No further restructuring charges related to this action are expected.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 and (expense), net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outstanding debt carries a variable rate of interest. Interest expenses increased by an inconsequential amount during the three months ended September 30, 2023 and by $0.7 million during the nine months ended September 30, 2023, when compared to three and nine months ended September 30, 2022, respectively. We paid a higher rate of interest on our debt in 2023 due to the increases in the prime interest rate that occurred throughout 2023 and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$1.2 million and $3.7 million during the three and nine months ended September 30, 2023, up from $1.0 million and $1.2 million during the three and nine months ended September 30, 2022, respectively. The increase in interest income is due to higher rates of interest earned on our investments, including cash equivalents and available-for-sale securities. We also had more excess cash to invest throughout all of 2023, due to the closing of the Business Combination and PIPE Financing in March 2022. We anticipate that interest income will decline in future periods due to our expected use of cash, cash equivalents and available-for-sale securities to fund our operating expenses, including research and development initiatives and investment in our technology roadmap.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warrant liabilities is included in Note 12 to our condensed consolidated financial statements for the three and nine months ended September 30, 2023, included elsewhere in this Quarterly Report on Form 10-Q.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change in fair value of warrant liabilities during the three and nine months ended September 30, 2023, was an expense of $3.4 million and $4.3 million, compared to income of $8.1 million and $19.9 million during the three and nine months ended September 30, 2022, respectively. The expense increase during the three and nine months ended September 30, 2023 was primarily due to the change in stock price and volatility.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the earn-out liabilities is included in Note 4 to our condensed consolidated financial statements for the three and nine months ended September 30, 2023, included elsewhere in this Quarterly Report on Form 10-Q. The change in fair value of our earn-out liabilities during the three and nine months ended September 30, 2023 was an expense of $1.7 million and $2.4 million, compared to income of $4.9 million and $17.4 million during the three and nine months ended September 30, 2022, respectively. The expense increase during the three and nine months ended September 30, 2023 was primarily due to the change in stock price and volatility.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Transaction Costs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Transaction costs allocated to liability-classified instruments must be expensed as incurred. Changes in these instruments are subsequently measured at fair value through earnings. During the nine months ended September 30, 2022, transaction costs allocated to liability-classified instruments arising from the Business Combination totaled $0.9 million. No transaction costs were incurred during the three and nine months ended September 30, 2023, or the three months ended September 30,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did not record income tax expense during the three and nine months ended September 30, 2023 or the three and nine months ended September 30, 2022 due to the Company’s loss position and full valuation allowance.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incurred net losses since inception and negative cash flows from operations. Prior to the Business Combination, we financed our operations primarily through the issuance of preferred stock, warrants, convertible notes, venture backed debt and revenues. During the year ended December 31, 2022, and the nine months ended September 30, 2023, we incurred net losses of $71.5 million and $62.5 million, respectively. As of September 30, 2023, we had an accumulated deficit of $341.2 million, and we expect to incur additional losses for the foreseeable future. In connection with the closing of the Business Combination on March 2, 2022, we received net proceeds of $225.6 million. We believe that our existing balances of cash, cash equivalents and available-for-sale investments should be sufficient to meet our anticipated operating cash needs for at least the next 12 months, based on our current business plan, and expectations and assumptions considering current macroeconomic conditions. Based on our estimates and current business plan, we expect that we will need to obtain additional capital by early 2025, including any additional sales of common stock through our Common Stock Purchase Agreement with B. Riley or from other sources, in order to fund our research and development efforts and business objectives as currently planned. We cannot be sure that additional financing will be available. If we are unable to raise additional funding when needed and on attractive terms,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under Part I “Item 1A. Risk Factors” in our Annual Report on Form 10-K for the year ended December 31, 2022 and elsewhere in this Quarterly Report on Form 10-Q.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regional conflict.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disruptions in the banking system could materially affect our business and the value of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short-term cash requirements include capital expenditures for materials and components for research and development and quantum computing fridges; working capital requirements; and strategic collaborative arrangements and investments.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long-term requirements include expenditures for our quantum chip fabrication facility; planned development of multiple generations of quantum processors; and anticipated additional investments to scale our QCaaS offering.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will require a significant amount of cash for expenditure as we invest in ongoing research and development and business operations. Until such time as we can generate significant revenue from sales of QPUs, our development contracts and other services, including our QCaaS offering, we expect to finance our cash needs primarily through our existing cash, cash equivalents and available-for-sale investments on hand, our Purchase Agreement with B. Riley (subject to the price of our Common Stock trading above $1.00 as described below in addition to other conditions and market considerations), and other potential securities financings or other capital sources, including the sale of QPUs, development contract revenue with government agencies and strategic partnerships. To the extent that we raise additional capital through the sale of equity or convertible debt securities, including through the use of our Purchase Agreement with B. Riley, the ownership interest of our stockholders will be, or could be, diluted, and the terms of these securities may include liquidation or other preferences that adversely affect the rights of our common stockholders.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2022, and elsewhere in this Quarterly Report on Form 10-Q.</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future sales, if any, of shares of our Common Stock to B. Riley pursuant to the Purchase Agreement will depend on a variety of factors to be determined by us from time to time, including, among other things, market conditions, the trading price of our Common Stock (including the condition that the price of our Common Stock is trading above $1.00) and determinations by us as to appropriate sources of funding for our business and operations. We cannot guarantee the extent to which we may utilize the Purchase Agreement.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January 2022, we entered into the Third Amendment to the Loan Agreement with Trinity to increase the debt commitment by $5.0 million to $32.0 million thereunder. The amendment allowed us to draw an additional $5.0 million immediately with an additional $8.0 million to be drawn at the sole discretion of the lender. We drew the additional $5.0 million upon signing the amendment. The Third Amendment also included an extension of the requirement to raise an additional $75.0 million of equity which was satisfied through the Business Combination and a defined exit fee for the additional $5.0 million to be at 20% of the advanced funds under the Third Amendment. In conjunction with the amendment, we also guaranteed payment of all monetary amounts owed and performance of all covenants, obligations and liabilities. As of September 30, 2023, the total principal amount outstanding under the Loan Agreement was $25.3 million. The Loan Agreement is secured by a first-priority security interest in substantially all of our assets. As of the date of this Quarterly Report on Form 10-Q, we are in compliance with all covenants under the Loan Agreement.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cash commitments as of September 30, 2023 were primarily as follows (in thousands):</w:t>
      </w:r>
    </w:p>
    <w:tbl>
      <w:tblPr>
        <w:tblW w:w="7821" w:type="dxa"/>
        <w:jc w:val="left"/>
        <w:tblInd w:w="0" w:type="dxa"/>
        <w:tblLayout w:type="fixed"/>
        <w:tblCellMar>
          <w:top w:w="0" w:type="dxa"/>
          <w:left w:w="0" w:type="dxa"/>
          <w:bottom w:w="0" w:type="dxa"/>
          <w:right w:w="0" w:type="dxa"/>
        </w:tblCellMar>
      </w:tblPr>
      <w:tblGrid>
        <w:gridCol w:w="4036"/>
        <w:gridCol w:w="326"/>
        <w:gridCol w:w="211"/>
        <w:gridCol w:w="676"/>
        <w:gridCol w:w="326"/>
        <w:gridCol w:w="217"/>
        <w:gridCol w:w="699"/>
        <w:gridCol w:w="326"/>
        <w:gridCol w:w="211"/>
        <w:gridCol w:w="79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562860" cy="175260"/>
                      <wp:effectExtent l="0" t="0" r="0" b="0"/>
                      <wp:wrapNone/>
                      <wp:docPr id="377" name="Frame377"/>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29260" cy="175260"/>
                      <wp:effectExtent l="0" t="0" r="0" b="0"/>
                      <wp:wrapNone/>
                      <wp:docPr id="380" name="Frame3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7795" cy="175260"/>
                      <wp:effectExtent l="0" t="0" r="0" b="0"/>
                      <wp:wrapNone/>
                      <wp:docPr id="382" name="Frame38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43865" cy="175260"/>
                      <wp:effectExtent l="0" t="0" r="0" b="0"/>
                      <wp:wrapNone/>
                      <wp:docPr id="383" name="Frame383"/>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03555" cy="175260"/>
                      <wp:effectExtent l="0" t="0" r="0" b="0"/>
                      <wp:wrapNone/>
                      <wp:docPr id="386" name="Frame38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Short-term</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25,304</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12,869</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cash interest on financing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39,430</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21,633</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Financing obligations consist of payments related to the Loan and Security Agreement. Operating lease obligations consist of obligations under non-cancelable operating leases for our offices, facilities and equipment. The cash requirements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Net cash used in operating activities during the nine months ended September 30, 2023 was $38.2 million, primarily resulting from our net loss of $62.5 million, partially offset by non-cash expenses totaling $24.9 million. Changes in operating assets and liabilities had a minimal impact on net cash used in operating activities during the nine months ended September 30, 2023.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Net cash used in operating activities during the nine months ended September 30, 2022 was $48.5 million, primarily resulting from our net loss of $48.6 million, partially offset by non-cash expenses totaling $0.4 million. Changes in operating assets and liabilities had a minimal impact on net cash used in operating activities during the nine months ended September 30, 2022.</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Cash used in operating activities was reduced by $10.3 million to $38.2 million during the nine months ended September 30, 2023, from $48.5 million during the nine months ended September 30, 2022. Our net loss from operations increased by $13.9 million to $62.5 million during the nine months ended September 30, 2023. Non-cash charges impacting our net loss from operations increased by $24.5 million to $24.9 million during the nine months ended September 30, 2023, from $0.4 million during the nine months ended September 30, 2022. Changes in operating assets and liabilities had a $0.3 million unfavorable impact on the change in cash used in operating activities during the nine months ended September 30, 2023, compared to the nine months ended September 30,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Provided by (Used in) Investing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Cash provided by investing activities during the nine months ended September 30, 2023 totaled $11.5 million, resulting from $98.1 million of maturities of available-for -sale securities, partially offset by $7.5 million of purchases of property and equipment and $79.0 million of purchases of available-for-sale securities.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Cash used in investing activities during the nine months ended September 30, 2022 totaled $106.5 million, resulting from purchases of $19.3 million of property and equipment and $87.2 million of available-for-sale securities.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fridges, and development tools for our chip fabrication facility.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Net cash provided by investing activities during the nine months ended September 30, 2023 improved by $118.7 million when compared to the nine months ended September 30, 2022, due to maturities of available-for-sale securities and decreased purchases</w:t>
      </w:r>
      <w:r>
        <w:rPr>
          <w:rFonts w:ascii="Times New Roman;Times;serif" w:hAnsi="Times New Roman;Times;serif"/>
          <w:sz w:val="20"/>
        </w:rPr>
        <w:t xml:space="preserve"> of property and equipment and available-for-sale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the nine months ended September 30, 2023 totaled $10.5 million, reflecting $15.1 million of proceeds from the sale of 8.2 million shares of common stock to B. Riley through the Purchase Agreement, and $1.0 million of proceeds from the exercise of stock options and warrants, offset in part by principal payments of $5.4 million under the Loan Agreement and payments of $0.1 million for deferred financing costs. </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shd w:fill="FFFFFF" w:val="clear"/>
        </w:rPr>
        <w:t>ash provided by financing activities during the nine months ended September 30, 2022 totaled $217.1 million, reflecting $225.6 million of proceeds from the Business Combination and PIPE Investment, net of transaction costs, and offset by Rigetti transaction costs of $18.4 million, additional proceeds from the issuance of debt and warrants of $5.0 million associated with the Third Amendment to the Loan Agreement, less debt issuance costs and exit fees totaling $1.1 million, and proceeds from the exercise of stock options and warrants of $6.0 million.</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provided by financing activities during the nine months ended September 30, 2023 decreased by $206.5 million when compared to the nine months ended September 30, 2022, largely due to the close of the Business Combination and PIPE Investment, net of transaction costs, during the nine months ended September 30, 2022. We expect to continue to finance our cash needs primarily through cash, cash equivalents and available-for-sale investments on hand, the Purchase Agreement with B. Riley (subject to the price of our Common Stock trading above $1.00 in addition to other conditions and market considerations), and other potential securities financings or capital sources.</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This Management’s Discussion and Analysis of Financial Condition and Results of Operations is based on our consolidated financial statements included in this Quarterly Report on Form 10-Q, which have been prepared in accordance with GAAP.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 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While our significant accounting policies are described in the Notes to our consolidated financial statements included in our Annual Report on Form 10-K for the year ended December 31, 2022, we believe the following critical accounting policies and estimates are most important to understanding and evaluating our reported financial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Public and Private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Prior to the Business Combination, SNII issued 4,450,000 private placement warrants (“Private Warrants”) and 8,625,000 public warrants (“Public Warrants” and collectively, “Warrants”). As of September 30, 2023, there were 13,074,972 Warrants outstanding, consisting of 3,969,727 Private Warrants and 9,105,245 Public Warrants. Each whole warrant entitles the holder to purchase one share of our Common Stock at a price of $11.50 per share, subject to adjustments and will expire five years after the Merger or earlier upon redemption or liquidation.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 Since the Private Warrants meet the definition of a derivative, we recorded the Private Warrants as liabilities in the consolidated balance sheet at fair value upon the closing of the Business Combination, with subsequent changes in the fair value recognized in the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the consummation of the Business Combination, we recorded a liability related to the Private Warrants of $9.6 million, with an offsetting entry to additional paid-in capital. As of September 30, 2023, the fair value of the Private Warrants decreased to $3.8 million, with the change in fair value of the derivative warrant liabilities recorded in the consolidated statements of operations each reporting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Similarly, on the consummation of the Business Combination, we recorded a liability related to the Public Warrants of $16.3 million, with an offsetting entry to additional paid-in capital. As of September 30, 2023, the fair value of the Public Warrants decreased to $2.3 million with the change in fair value of derivative warrant liabilities recorded in the consolidated statements of operations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Derivative Warrant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 date.</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Other than the Public Warrants and Private Warrants noted above, we also issued a total of 783,129 Trinity Warrants in conjunction with the Loan Agreement in 2021. Such derivative warrant liabilities are classified as non-current as their liquidation is not reasonably expected to require the use of current assets or require the creation of current liabilities. We utilized the Black-Scholes model to determine the inception date fair value of the warrants of approximately $2.7 million which was recorded as part of Debt Issuance Cost. The outstanding Common Stock warrants were subsequently remeasured at each reporting period using the Black-Scholes model with the change in fair value recorded as a component of other income in the Company’s consolidated statements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June 2, 2022, the 783,129 Trinity Warrants were exercised and the $6.4 million warrant liability was reclassified to equity. We recorded a loss of $2.0 million from the change in the fair value of the warrant liability for the year ended December 31,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At Business Combination Closing, Supernova Sponsor subjected certain shares (“Sponsor Vesting Shares”) of Common Stock held by Supernova Sponsor and its permitted transferees (the “Sponsor Holders”) to forfeiture and vesting as of the Closing if thresholds related to the weighted average price of Common Stock are not met for the duration of various specified consecutive day trading periods during the five-year period following the Closing (the “Earn-out Triggering Events”). Any such shares held by the Sponsor Holders that remain unvested after the fifth anniversary of the Closing will be forfeited.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Sponsor Vesting Shares are accounted for as liability classified instruments because the Earn-Out Triggering Events that determine the number of Sponsor Vesting Shares to be earned back by the Sponsor Holders include outcomes that are not solely indexed to our Common Stock. The aggregate fair value of the Sponsor Vesting Shares at the time of the Business Combination Closing was estimated using a Monte Carlo simulation model and was determined to be $20.4 million.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September 30, 2023, the Earn-Out Triggering Events were not achieved for any of the tranches, and as such, the Company adjusted the carrying amount of the liability to its estimated fair value of $3.6 million with the change in fair value of the earn-out liability recorded in the consolidated statements of operations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 Warrant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execution of the Merger Agreement in October 2021, we entered into the Forward Warrant Agreement with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Ampere and us. The collaboration agreement was entered into in January 2022. Ampere was required to pay $5.0 million to us no later than the later of (i) the Closing and (ii) June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On June 30, 2022, pursuant to the Forward Warrant Agreement, we issued the warrant to Ampere upon receipt of an aggregate of $5.0 million (including the exercise price), and upon such payment and issuance, 500,000 shares of our Common Stock vested under the warrant and were immediately exercised by Ampere pursuant to the terms of the warrant. Ampere was required to pay an additional $5.0 million to us no later than the closing date of the listing of Ampere’s capital stock on a stock exchange, provided that if the listing had not occurred by the second anniversary of the Forward Warrant Agreement (October 6, 2023), Ampere was not obligated to make the additional payment and we were not obligated to issue the remaining shares underlying the warrants The Forward Warrant Agreement has now expired, and Ampere no longer has an obligation to make the additional $5.0 million payment.  The Forward Warrant Agreement further provides that we will use commercially reasonable efforts to file a registration statement to register the resale of the shares. We filed such registration statement, and it became effective in the year ended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evaluated the Forward Warrant Agreement as a derivative in accordance with the guidance of ASC 480, “Distinguishing Liabilities from Equity”. We calculated the fair value of the Forward Warrant Agreement by using the Forward Contract Pricing methodology at inception. The fair value of the Forward Warrant Agreement was estimated based on the following key inputs and assumptions 1) Assumed holding period 2) Related risk-free rate and 3) Likelihood of the outcome of the various contingencies specified in the agreement. Based on these inputs and assumptions, we calculated the fair value of the Forward Warrant Agreement to be $2.2 million as of December 31, 2022. We have included   the derivative as a forward contract asset in the accompanying condensed consolidated balance sheet as of December 31, 2022.</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the nine months ended September 30, 2023, we reduced the estimated probability of occurrence for the Forward Warrant Agreement from 50% to 0% because we determined that Ampere’s obligation to pay the additional $5.0 million pursuant to the Forward Warrant Agreement would expire.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the fair value of the Forward Warrant Agreement is recorded as part of selling, general and administrative expenses in our consolidated statements of operations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Revenue consists primarily of our contracts that provide access to Rigetti quantum computing systems, collaborative research services, professional services, and the sale of QPUs and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six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Revenue related to cost share contracts is recognized as the reimbursable costs are incurred. For fixed price milestone-based contracts, revenue is recognized based on the input measure explained above as control is expected to transfer over the time period a milestone is completed. Revenue related to the sale of QPUs and custom quantum computing components is recognized at a point in time, and upon customer acceptance for custom quantum computing components.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increases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management. To date, we have not experienced any changes in estimates that have had a material impact on our results from operations or financial position.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condensed consolidated financial statements for the period ended September 30, 2023 included elsewhere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emerging growth company under the JOBS Act until the earliest of (a) December 31, 2026, the last day of our first fiscal year following the fifth anniversary of the completion of SNII’s initial public offering, (b) the last day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13" w:name="ITEM3QUANTITATIVEANDQUALITATIVEDISCLOSUR"/>
      <w:bookmarkStart w:id="1714" w:name="_0c7da1cc_1814_4137_8573_5b7b573e38f8"/>
      <w:bookmarkEnd w:id="1713"/>
      <w:bookmarkEnd w:id="1714"/>
      <w:r>
        <w:rPr>
          <w:rFonts w:ascii="Times New Roman;Times;serif" w:hAnsi="Times New Roman;Times;serif"/>
          <w:b/>
          <w:sz w:val="20"/>
        </w:rPr>
        <w:t>ITEM 3. QUANTITATIVE AND QUALITATIVE DISCLOSURES ABOUT MARKET RISK</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smaller reporting company as defined by Rule12b-2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15" w:name="ITEM4CONTROLSANDPROCEDURES_496417"/>
      <w:bookmarkStart w:id="1716" w:name="_1a050f20_4789_4cef_9b7b_df9326398c6f"/>
      <w:bookmarkEnd w:id="1715"/>
      <w:bookmarkEnd w:id="1716"/>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defined in Rules 13a-15(e) and 15d15(e) under the Exchange Act) as of September 30, 2023. Based on the evaluation of our disclosure controls and procedures, our management concluded that, as of September 30, 2023, our disclosure controls and procedures were not effective due to the material weaknesses described below.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implemented additional controls over review of complex financial instrument valuations as described in our remediation plan below. The material weakness related to review of complex financial instrument valuations will not be considered remediated until such time as the additional controls operate for a sufficient period of time and management has concluded, through testing, that the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adding additional controls over our year-end and quarter-end close processes, which are still being implemented. We also intend to hire additional accounting resources. The material weakness related to our year-end and quarter-end close processes will not be considered remediated until such time as management designs and implements effective controls that operate for a sufficient period of time and has concluded, through testing, that these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After giving full consideration to the material weaknesses and the additional procedures that we performed, management has concluded that the interim condensed consolidated financial statements contained in this Quarterly Report on Form 10-Q fairly present, in all material respects, our financial condition, results of operations and cash flows for the periods presented in conformity with GAAP for interim financial statements; however, the material weaknesses could have resulted in a misstatement of account balances or disclosures that would be considered material to the annual or interim consolidated financial statements and certain of the material weaknesses did result in errors in the financial statements and related disclosures as described below for the quarters ended March 31, 2022 and June 30, 2022, which we restated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Weaknesses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Capital Inc. that were subsequently cancelled and reissued as new warrants in connection with an amendment to the Loan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in connection with the preparation of the financial statements for the second quarter of 2022, we identified and corrected an immaterial error related to the revaluation of the liability associated with the same warrants issued to Trinity Capital.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connection with the preparation of the financial statements for the third quarter of 2022, we discovered that the previously identified material weakness led to additional material errors related to the valuation of the Earn-out liabilities and the Private Warrant liability that affected the previously issued unaudited condensed consolidated financial statements as of and for the periods ended March 31, 2022 and June 30, 2022. These errors were corrected in the unaudited condensed consolidated financial statements as of and for the periods ended March 31, 2022 and June 30, 2022 through a restatement of previously filed financial statements for such periods.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management concluded that the previously identified material weakness in our internal control over financial reporting related to complex financial instruments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complex financial instruments. This material weakness continued to exist as of September 30, 2023 because the controls that were implemented as part of our plan to remediate this material weakness have not been operating for a sufficient period of time to allow management to conclude through testing that the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Additionally, as previously disclosed, in connection with the preparation of the financial statements for the year ended December 31, 2022, we identified a material weakness in our internal control over financial reporting related to the design and operation of our overall closing and financial reporting processes, including the timely preparation of account reconciliations, effective segregation of duties, and a lack of timely review over the financial statement close process. 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September 30, 2023 due to the reasons described above, the relatively short period of time since the material weakness was first identified, and because the necessary controls to remediate the material weakness have only been partially implemented and have not yet been sufficiently tested.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Remediation Plan</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Our remediation plan related to the material weakness over the accounting for complex financial instruments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incorporating additional controls and procedures over the review of complex financial instrument valuations as well as technical accounting resources to identify the inventory of complex accounting and financial instruments that require accounting analysis and evaluation.</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precision of review controls over complex financial instruments;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augmenting the review process relating to the valuation analyses performed by the third-party valuation experts and accounting firms that are utilized by the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Our remediation plan related to the material weakness over our overall closing and financial reporting processes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sufficient personnel with technical accounting and financial reporting experience to augment our current staff, to achieve appropriate segregation of duties and to improve the effectiveness of our closing and financial reporting processes;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improved accounting and financial reporting procedures and systems to improve the completeness, timeliness and accuracy of our financial reporting and disclosures, including the assessment of more judgmental areas of accounting.</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elements of our remediation plans can only be accomplished over time, and we can offer no assurance that these initiatives will ultimately have the intended effects. As management continues to evaluate and work to improve our internal control over financial reporting, management may determine it is necessary to take additional measures to address the material weaknesses. These material weaknesses will not be considered remediated unless and until such time as management designs and implements effective controls that operate for a sufficient period of time and concludes, through testing, that these controls are effective. Until the controls have been operating for a sufficient period of time and management has concluded, through testing, that these controls are operating effectively, the material weaknesses described above will continue to exist.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Management is monitoring the progress of the remediation plan and reporting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weaknesses identified or that any additional material weakness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the three months ended September 30, 2023, other than the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17" w:name="PARTIIOTHERINFORMATION_588959"/>
      <w:bookmarkStart w:id="1718" w:name="_35b94f10_1403_4d29_a4d1_5fa99702a6e8"/>
      <w:bookmarkEnd w:id="1717"/>
      <w:bookmarkEnd w:id="1718"/>
      <w:r>
        <w:rPr>
          <w:rFonts w:ascii="Times New Roman;Times;serif" w:hAnsi="Times New Roman;Times;serif"/>
          <w:b/>
          <w:sz w:val="20"/>
        </w:rPr>
        <w:t>PART II. OTHER INFORMATION</w:t>
      </w:r>
    </w:p>
    <w:p>
      <w:pPr>
        <w:pStyle w:val="TextBody"/>
        <w:bidi w:val="0"/>
        <w:spacing w:before="0" w:after="240"/>
        <w:ind w:left="0" w:right="0" w:hanging="0"/>
        <w:jc w:val="both"/>
        <w:rPr>
          <w:rFonts w:ascii="Times New Roman;Times;serif" w:hAnsi="Times New Roman;Times;serif"/>
          <w:b/>
          <w:sz w:val="20"/>
        </w:rPr>
      </w:pPr>
      <w:bookmarkStart w:id="1719" w:name="ITEM1LEGALPROCEEDINGS_241174"/>
      <w:bookmarkEnd w:id="1719"/>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b/>
          <w:sz w:val="20"/>
        </w:rPr>
      </w:pPr>
      <w:bookmarkStart w:id="1720" w:name="ITEM1ARISKFACTORS_905958"/>
      <w:bookmarkStart w:id="1721" w:name="_aeddb762_288c_4b2d_ad35_ed9e4dacbe2d"/>
      <w:bookmarkEnd w:id="1720"/>
      <w:bookmarkEnd w:id="1721"/>
      <w:r>
        <w:rPr>
          <w:rFonts w:ascii="Times New Roman;Times;serif" w:hAnsi="Times New Roman;Times;serif"/>
          <w:b/>
          <w:sz w:val="20"/>
        </w:rPr>
        <w:t>ITEM 1A.  RISK FACTORS</w:t>
      </w:r>
    </w:p>
    <w:p>
      <w:pPr>
        <w:pStyle w:val="TextBody"/>
        <w:shd w:fill="FFFFFF" w:val="clear"/>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risk factors discussed in Part I “Item 1A. Risk Factors” in our Annual Report on Form 10-K for the year ended December 31, 2022 for a discussion of material factors that make an investment in our ordinary shares speculative or risky.</w:t>
      </w:r>
    </w:p>
    <w:p>
      <w:pPr>
        <w:pStyle w:val="TextBody"/>
        <w:bidi w:val="0"/>
        <w:spacing w:before="0" w:after="240"/>
        <w:ind w:left="0" w:right="0" w:firstLine="54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722" w:name="ITEM2UNREGISTEREDSALESOFEQUITYSECURITIES"/>
      <w:bookmarkStart w:id="1723" w:name="_a1482f4b_1b24_4710_82fb_4508c18fe751"/>
      <w:bookmarkEnd w:id="1722"/>
      <w:bookmarkEnd w:id="1723"/>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the three months ended September 30, 2023, we sold 6,336,199 shares of Common Stock to B. Riley Principal Capital-II LLC under the Purchase Agreement and received net proceeds of $12.7 million. Gross proceeds from the issuance and sale of the shares were $13.1 million, and aggregate underwriting discounts or commissions were $0.4 million. The shares of Common Stock were issued in reliance upon the exemptions from the registration requirements of the Securities Act of 1933, as amended, afforded by Section 4(a)(2) thereof and Rule 506(b) of Regulation D promulgated hereunder.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4" w:name="ITEM3DEFAULTSUPONSENIORSECURITIES_579171"/>
      <w:bookmarkStart w:id="1725" w:name="_b6b2a4cc_a8f9_474b_9404_bf335f36115b"/>
      <w:bookmarkEnd w:id="1724"/>
      <w:bookmarkEnd w:id="1725"/>
      <w:r>
        <w:rPr>
          <w:rFonts w:ascii="Times New Roman;Times;serif" w:hAnsi="Times New Roman;Times;serif"/>
          <w:b/>
          <w:sz w:val="20"/>
        </w:rPr>
        <w:t>ITEM 3. DEFAULTS UPON SENIOR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6" w:name="ITEM4MINESAFETYDISCLOSURES_518433"/>
      <w:bookmarkStart w:id="1727" w:name="_b22189e2_5674_46c6_b60d_55354e3ab69a"/>
      <w:bookmarkEnd w:id="1726"/>
      <w:bookmarkEnd w:id="1727"/>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8" w:name="ITEM5OTHERINFORMATION_693016"/>
      <w:bookmarkStart w:id="1729" w:name="_e6ea87d9_0b8b_4654_b7ff_b427adc4312b"/>
      <w:bookmarkEnd w:id="1728"/>
      <w:bookmarkEnd w:id="1729"/>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30" w:name="ITEM6EXHIBITS_411089"/>
      <w:bookmarkStart w:id="1731" w:name="_cd25d530_de88_4e55_86b2_fae600551fe6"/>
      <w:bookmarkEnd w:id="1730"/>
      <w:bookmarkEnd w:id="1731"/>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739"/>
        <w:gridCol w:w="326"/>
        <w:gridCol w:w="4688"/>
        <w:gridCol w:w="326"/>
        <w:gridCol w:w="481"/>
        <w:gridCol w:w="326"/>
        <w:gridCol w:w="698"/>
        <w:gridCol w:w="326"/>
        <w:gridCol w:w="616"/>
        <w:gridCol w:w="326"/>
        <w:gridCol w:w="1353"/>
      </w:tblGrid>
      <w:tr>
        <w:trPr/>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69265" cy="175260"/>
                      <wp:effectExtent l="0" t="0" r="0" b="0"/>
                      <wp:wrapNone/>
                      <wp:docPr id="387" name="Frame38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976880" cy="175260"/>
                      <wp:effectExtent l="0" t="0" r="0" b="0"/>
                      <wp:wrapNone/>
                      <wp:docPr id="388" name="Frame388"/>
                      <a:graphic xmlns:a="http://schemas.openxmlformats.org/drawingml/2006/main">
                        <a:graphicData uri="http://schemas.microsoft.com/office/word/2010/wordprocessingShape">
                          <wps:wsp>
                            <wps:cNvSpPr txBox="1"/>
                            <wps:spPr>
                              <a:xfrm>
                                <a:off x="0" y="0"/>
                                <a:ext cx="297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05435" cy="175260"/>
                      <wp:effectExtent l="0" t="0" r="0" b="0"/>
                      <wp:wrapNone/>
                      <wp:docPr id="389" name="Frame38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43230" cy="175260"/>
                      <wp:effectExtent l="0" t="0" r="0" b="0"/>
                      <wp:wrapNone/>
                      <wp:docPr id="390" name="Frame39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91160" cy="175260"/>
                      <wp:effectExtent l="0" t="0" r="0" b="0"/>
                      <wp:wrapNone/>
                      <wp:docPr id="391" name="Frame39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859155" cy="175260"/>
                      <wp:effectExtent l="0" t="0" r="0" b="0"/>
                      <wp:wrapNone/>
                      <wp:docPr id="392" name="Frame392"/>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    </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left"/>
              <w:rPr/>
            </w:pPr>
            <w:r>
              <w:rPr/>
              <w:t>​</w:t>
            </w:r>
          </w:p>
        </w:tc>
      </w:tr>
      <w:tr>
        <w:trPr/>
        <w:tc>
          <w:tcPr>
            <w:tcW w:w="7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26" w:type="dxa"/>
            <w:tcBorders/>
            <w:vAlign w:val="center"/>
          </w:tcPr>
          <w:p>
            <w:pPr>
              <w:pStyle w:val="TableContents"/>
              <w:bidi w:val="0"/>
              <w:spacing w:before="0" w:after="0"/>
              <w:ind w:left="0" w:right="0" w:hanging="0"/>
              <w:jc w:val="left"/>
              <w:rPr/>
            </w:pPr>
            <w:r>
              <w:rPr/>
              <w:t>​</w:t>
            </w:r>
          </w:p>
        </w:tc>
        <w:tc>
          <w:tcPr>
            <w:tcW w:w="4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326" w:type="dxa"/>
            <w:tcBorders/>
            <w:vAlign w:val="center"/>
          </w:tcPr>
          <w:p>
            <w:pPr>
              <w:pStyle w:val="TableContents"/>
              <w:bidi w:val="0"/>
              <w:spacing w:before="0" w:after="0"/>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w:t>
            </w:r>
          </w:p>
        </w:tc>
        <w:tc>
          <w:tcPr>
            <w:tcW w:w="13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73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w:anchor="tmb-202309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w:anchor="tmb-202309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w:anchor="tmb-202309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 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13" w:type="dxa"/>
        <w:jc w:val="left"/>
        <w:tblInd w:w="0" w:type="dxa"/>
        <w:tblLayout w:type="fixed"/>
        <w:tblCellMar>
          <w:top w:w="0" w:type="dxa"/>
          <w:left w:w="0" w:type="dxa"/>
          <w:bottom w:w="0" w:type="dxa"/>
          <w:right w:w="0" w:type="dxa"/>
        </w:tblCellMar>
      </w:tblPr>
      <w:tblGrid>
        <w:gridCol w:w="976"/>
        <w:gridCol w:w="109"/>
        <w:gridCol w:w="7411"/>
        <w:gridCol w:w="109"/>
        <w:gridCol w:w="109"/>
        <w:gridCol w:w="109"/>
        <w:gridCol w:w="109"/>
        <w:gridCol w:w="109"/>
        <w:gridCol w:w="109"/>
        <w:gridCol w:w="109"/>
        <w:gridCol w:w="154"/>
      </w:tblGrid>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32" w:name="SIGNATURES_680104"/>
      <w:bookmarkStart w:id="1733" w:name="_4361f6c4_ebdf_4b45_877d_fafbd164bf35"/>
      <w:bookmarkEnd w:id="1732"/>
      <w:bookmarkEnd w:id="1733"/>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247" w:type="dxa"/>
        <w:jc w:val="left"/>
        <w:tblInd w:w="0" w:type="dxa"/>
        <w:tblLayout w:type="fixed"/>
        <w:tblCellMar>
          <w:top w:w="0" w:type="dxa"/>
          <w:left w:w="0" w:type="dxa"/>
          <w:bottom w:w="0" w:type="dxa"/>
          <w:right w:w="0" w:type="dxa"/>
        </w:tblCellMar>
      </w:tblPr>
      <w:tblGrid>
        <w:gridCol w:w="2266"/>
        <w:gridCol w:w="498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438910" cy="175260"/>
                      <wp:effectExtent l="0" t="0" r="0" b="0"/>
                      <wp:wrapNone/>
                      <wp:docPr id="393" name="Frame39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162935" cy="175260"/>
                      <wp:effectExtent l="0" t="0" r="0" b="0"/>
                      <wp:wrapNone/>
                      <wp:docPr id="394" name="Frame394"/>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 and Duly Authorized Officer)</w:t>
            </w:r>
          </w:p>
        </w:tc>
      </w:tr>
      <w:tr>
        <w:trPr/>
        <w:tc>
          <w:tcPr>
            <w:tcW w:w="226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Dated: November 9, 2023</w:t>
            </w:r>
          </w:p>
        </w:tc>
        <w:tc>
          <w:tcPr>
            <w:tcW w:w="49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0"/>
        <w:ind w:left="0" w:right="0" w:hanging="0"/>
        <w:jc w:val="left"/>
        <w:rPr/>
      </w:pPr>
      <w:bookmarkStart w:id="1734" w:name="tmb-20230930xex31d1.htm"/>
      <w:bookmarkStart w:id="1735" w:name="kstmb20230930xex31d1"/>
      <w:bookmarkEnd w:id="1734"/>
      <w:bookmarkEnd w:id="1735"/>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5372" w:type="dxa"/>
        <w:jc w:val="center"/>
        <w:tblInd w:w="0" w:type="dxa"/>
        <w:tblLayout w:type="fixed"/>
        <w:tblCellMar>
          <w:top w:w="0" w:type="dxa"/>
          <w:left w:w="0" w:type="dxa"/>
          <w:bottom w:w="0" w:type="dxa"/>
          <w:right w:w="0" w:type="dxa"/>
        </w:tblCellMar>
      </w:tblPr>
      <w:tblGrid>
        <w:gridCol w:w="2161"/>
        <w:gridCol w:w="3211"/>
      </w:tblGrid>
      <w:tr>
        <w:trPr/>
        <w:tc>
          <w:tcPr>
            <w:tcW w:w="21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November 9, 2023</w:t>
            </w:r>
          </w:p>
        </w:tc>
        <w:tc>
          <w:tcPr>
            <w:tcW w:w="3211"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216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21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21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736" w:name="tmb-20230930xex31d2.htm"/>
      <w:bookmarkStart w:id="1737" w:name="kstmb20230930xex31d2"/>
      <w:bookmarkEnd w:id="1736"/>
      <w:bookmarkEnd w:id="173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217" w:type="dxa"/>
        <w:jc w:val="center"/>
        <w:tblInd w:w="0" w:type="dxa"/>
        <w:tblLayout w:type="fixed"/>
        <w:tblCellMar>
          <w:top w:w="0" w:type="dxa"/>
          <w:left w:w="0" w:type="dxa"/>
          <w:bottom w:w="0" w:type="dxa"/>
          <w:right w:w="0" w:type="dxa"/>
        </w:tblCellMar>
      </w:tblPr>
      <w:tblGrid>
        <w:gridCol w:w="2161"/>
        <w:gridCol w:w="2056"/>
      </w:tblGrid>
      <w:tr>
        <w:trPr/>
        <w:tc>
          <w:tcPr>
            <w:tcW w:w="21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November 9, 2023</w:t>
            </w:r>
          </w:p>
        </w:tc>
        <w:tc>
          <w:tcPr>
            <w:tcW w:w="205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2161"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21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21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38" w:name="tmb-20230930xex32d1.htm"/>
      <w:bookmarkStart w:id="1739" w:name="kstmb20230930xex32d1"/>
      <w:bookmarkEnd w:id="1738"/>
      <w:bookmarkEnd w:id="1739"/>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and Jeffrey A. Bertelsen, Chief Financial Officer of the Company, each hereby certifies that, to the best of his knowledge:</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1. The Company’s Quarterly Report on Form 10-Q for the period ended September 30, 2023, to which this Certification is attached as Exhibit 32.1 (the “Periodic Report”), fully complies with the requirements of Section 13(a) or 15(d) of the Exchange Act; and</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2. The information contained in the Periodic Report fairly presents, in all material respects, the financial condition and results of operations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November 9,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9th day of November, 2023.</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9, 2023</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9, 2023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3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31629</Words>
  <Characters>175652</Characters>
  <CharactersWithSpaces>209181</CharactersWithSpaces>
  <Paragraphs>6606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