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50630x10q.htm"/>
        <w:bookmarkStart w:id="1" w:name="ksrgti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rFonts w:ascii="Times New Roman;Times;serif" w:hAnsi="Times New Roman;Times;serif"/>
          <w:sz w:val="2"/>
        </w:rPr>
      </w:pPr>
      <w:r>
        <w:rPr>
          <w:rFonts w:ascii="Times New Roman;Times;serif" w:hAnsi="Times New Roman;Times;serif"/>
          <w:sz w:val="2"/>
        </w:rPr>
        <w:t>x</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dc1d8140_2470_4d44_b276_deef9feb72c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June 30, 2025</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VHUDK9FwCkOjcolA8CW7bQ_7_1"/>
      <w:bookmarkStart w:id="4" w:name="Tc_TCU7F28KRUm7LRyd1eg65Q_7_0"/>
      <w:bookmarkStart w:id="5" w:name="Tc_XGdTLoisGkWO5e0DL9YrDw_6_0"/>
      <w:bookmarkStart w:id="6" w:name="Tc_NjBPKVc58kaV9G9ddHlRGg_3_1"/>
      <w:bookmarkStart w:id="7" w:name="Tc_SOx-HlYEbUCip3b3zi7TUQ_3_0"/>
      <w:bookmarkStart w:id="8" w:name="Tc_TVT6JGu-PUSMVQxG2s1vJQ_2_1"/>
      <w:bookmarkStart w:id="9" w:name="Tc_4UfD8MGA7EGASGdRAr8z5g_2_0"/>
      <w:bookmarkStart w:id="10" w:name="_dfc1e86d_ec87_4945_a6b1_fd30f03e93cd"/>
      <w:bookmarkStart w:id="11" w:name="Tc_VHUDK9FwCkOjcolA8CW7bQ_7_1"/>
      <w:bookmarkStart w:id="12" w:name="Tc_TCU7F28KRUm7LRyd1eg65Q_7_0"/>
      <w:bookmarkStart w:id="13" w:name="Tc_XGdTLoisGkWO5e0DL9YrDw_6_0"/>
      <w:bookmarkStart w:id="14" w:name="Tc_NjBPKVc58kaV9G9ddHlRGg_3_1"/>
      <w:bookmarkStart w:id="15" w:name="Tc_SOx-HlYEbUCip3b3zi7TUQ_3_0"/>
      <w:bookmarkStart w:id="16" w:name="Tc_TVT6JGu-PUSMVQxG2s1vJQ_2_1"/>
      <w:bookmarkStart w:id="17" w:name="Tc_4UfD8MGA7EGASGdRAr8z5g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u_-FOJe8EEuiolHydtKlcA_4_4"/>
      <w:bookmarkStart w:id="20" w:name="Tc_jxyWuF8Ymk6rUgtSxE3qng_3_4"/>
      <w:bookmarkStart w:id="21" w:name="Tc_vLVTTVdpZUiCPnDCCRRJqw_1_4"/>
      <w:bookmarkStart w:id="22" w:name="Tc_D6p2NJtll0G2PM9gg5BC1g_1_2"/>
      <w:bookmarkStart w:id="23" w:name="Tc_cnTu1ip-_k61ci-qjMnUXw_1_0"/>
      <w:bookmarkStart w:id="24" w:name="_5984a18d_87b3_46a4_9531_5d4b401e2ea4"/>
      <w:bookmarkStart w:id="25" w:name="Tc_u_-FOJe8EEuiolHydtKlcA_4_4"/>
      <w:bookmarkStart w:id="26" w:name="Tc_jxyWuF8Ymk6rUgtSxE3qng_3_4"/>
      <w:bookmarkStart w:id="27" w:name="Tc_vLVTTVdpZUiCPnDCCRRJqw_1_4"/>
      <w:bookmarkStart w:id="28" w:name="Tc_D6p2NJtll0G2PM9gg5BC1g_1_2"/>
      <w:bookmarkStart w:id="29" w:name="Tc_cnTu1ip-_k61ci-qjMnUXw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kFjyw2PHvEKTE_ikXni1Mw_3_2"/>
      <w:bookmarkStart w:id="32" w:name="Tc_Xii4JDnaiUOvLh3vUbIOiw_2_2"/>
      <w:bookmarkStart w:id="33" w:name="Tc_SOtTh2KIR0KjIBS8ZiL9kQ_2_1"/>
      <w:bookmarkStart w:id="34" w:name="Tc_Hm9Y-ZSlOUyC87HJWemJ6Q_1_3"/>
      <w:bookmarkStart w:id="35" w:name="Tc_CVjoUJsYr0SptpxILIUbZg_1_2"/>
      <w:bookmarkStart w:id="36" w:name="Tc_zPqrdPwx6kepGIJHBFTYJQ_1_1"/>
      <w:bookmarkStart w:id="37" w:name="Tc_J0m8xbDzJkKhqGyxHUi7Gw_1_0"/>
      <w:bookmarkStart w:id="38" w:name="_29c24b4a_0c86_4bba_8642_6971b7ff25cf"/>
      <w:bookmarkStart w:id="39" w:name="Tc_kFjyw2PHvEKTE_ikXni1Mw_3_2"/>
      <w:bookmarkStart w:id="40" w:name="Tc_Xii4JDnaiUOvLh3vUbIOiw_2_2"/>
      <w:bookmarkStart w:id="41" w:name="Tc_SOtTh2KIR0KjIBS8ZiL9kQ_2_1"/>
      <w:bookmarkStart w:id="42" w:name="Tc_Hm9Y-ZSlOUyC87HJWemJ6Q_1_3"/>
      <w:bookmarkStart w:id="43" w:name="Tc_CVjoUJsYr0SptpxILIUbZg_1_2"/>
      <w:bookmarkStart w:id="44" w:name="Tc_zPqrdPwx6kepGIJHBFTYJQ_1_1"/>
      <w:bookmarkStart w:id="45" w:name="Tc_J0m8xbDzJkKhqGyxHUi7Gw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8, 2025, there were 324,165,170 shares of the registrant’s Common Stock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TOC"/>
      <w:bookmarkStart w:id="48" w:name="_64ce0ebc_5007_4222_94b4_f4f55bdfb7bd"/>
      <w:bookmarkEnd w:id="47"/>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_CONDENSED_CONSOLIDATED_BALANCE">
              <w:r>
                <w:rPr>
                  <w:rStyle w:val="InternetLink"/>
                  <w:rFonts w:ascii="Times New Roman;Times;serif" w:hAnsi="Times New Roman;Times;serif"/>
                  <w:b w:val="false"/>
                  <w:i w:val="false"/>
                  <w:caps w:val="false"/>
                  <w:smallCaps w:val="false"/>
                  <w:sz w:val="20"/>
                </w:rPr>
                <w:t>Condensed Consolidated Balance Sheets as of June 30, 2025 and December 31,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82e7e2bf_b2e6_4089_b7a2_65d6e189f4e9"/>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Most of such risks and uncertainties are difficult to predict and many are beyond our control. Discussion of the risks and uncertainties material to our business can be found under “Risk Factors” in Part I, Item 1A of our Annual Report on Form 10-K for the year ended December 31, 2024, as updated under “Risk Factors” in Part II, Item 1A of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Given such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2024 materialize, or should underlying assumptions prove incorrect, actual results and plans could differ materially from those expressed in any forward-looking statements.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Also, these forward-looking statements represent our plans, objectives, estimates, expectations, assumptions, and intentions only as of the date of this filing.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Forward-looking statements in this Quarterly Report on Form 10-Q may include, for example, statements about:</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including the expectation of releasing a 100+ qubit chiplet-based system with a 99.5% median two-qubit gate fidelity before the end of 2025, and developing practical applications,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p>
      <w:pPr>
        <w:pStyle w:val="TextBody"/>
        <w:pBdr/>
        <w:bidi w:val="0"/>
        <w:spacing w:before="0" w:after="240"/>
        <w:ind w:left="547" w:right="0" w:hanging="547"/>
        <w:jc w:val="both"/>
        <w:rPr/>
      </w:pPr>
      <w:r>
        <w:rPr/>
        <w:t>​</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recent Collaboration Agreement with Quanta Computer, Inc. (“Quanta”),</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future and ongoing military conflicts and wars around the world and sanctions related thereto and trade protections and tariffs), levels of future economic activity, inflation, interest rates and financial and credit market fluctuations,</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disruptions to and volatility and uncertainty in the credit and financial markets, uncertainty in levels of future economic activity, inflation and interest rates,</w:t>
            </w:r>
          </w:p>
        </w:tc>
      </w:tr>
    </w:tbl>
    <w:p>
      <w:pPr>
        <w:pStyle w:val="TextBody"/>
        <w:bidi w:val="0"/>
        <w:spacing w:before="0" w:after="240"/>
        <w:ind w:left="1094" w:right="0" w:hanging="0"/>
        <w:jc w:val="both"/>
        <w:rPr/>
      </w:pPr>
      <w:r>
        <w:rPr/>
        <w:t>​</w:t>
      </w:r>
    </w:p>
    <w:p>
      <w:pPr>
        <w:pStyle w:val="TextBody"/>
        <w:pBdr/>
        <w:bidi w:val="0"/>
        <w:spacing w:before="0" w:after="0"/>
        <w:ind w:left="547" w:right="0" w:hanging="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547" w:right="0" w:hanging="547"/>
        <w:jc w:val="both"/>
        <w:rPr/>
      </w:pPr>
      <w:r>
        <w:rPr/>
        <w:t>​</w:t>
      </w:r>
    </w:p>
    <w:p>
      <w:pPr>
        <w:pStyle w:val="TextBody"/>
        <w:bidi w:val="0"/>
        <w:spacing w:before="0" w:after="240"/>
        <w:ind w:left="0" w:right="0" w:hanging="0"/>
        <w:jc w:val="both"/>
        <w:rPr/>
      </w:pPr>
      <w:r>
        <w:rPr/>
        <w:t>​</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p>
      <w:pPr>
        <w:pStyle w:val="TextBody"/>
        <w:pBdr/>
        <w:bidi w:val="0"/>
        <w:spacing w:before="0" w:after="0"/>
        <w:ind w:left="547" w:right="0" w:hanging="547"/>
        <w:jc w:val="left"/>
        <w:rPr/>
      </w:pPr>
      <w:r>
        <w:rPr/>
        <w:t>​</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p>
      <w:pPr>
        <w:pStyle w:val="TextBody"/>
        <w:pBdr/>
        <w:bidi w:val="0"/>
        <w:spacing w:before="0" w:after="0"/>
        <w:ind w:left="547" w:right="0" w:hanging="547"/>
        <w:jc w:val="left"/>
        <w:rPr/>
      </w:pPr>
      <w:r>
        <w:rPr/>
        <w:t>​</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p>
      <w:pPr>
        <w:pStyle w:val="TextBody"/>
        <w:pBdr/>
        <w:bidi w:val="0"/>
        <w:spacing w:before="0" w:after="0"/>
        <w:ind w:left="547" w:right="0" w:hanging="547"/>
        <w:jc w:val="left"/>
        <w:rPr/>
      </w:pPr>
      <w:r>
        <w:rPr/>
        <w:t>​</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related to operating as a public company, including the additional costs associated with the pending loss of our emerging growth company (“EGC”) and smaller reporting company (“SRC”) status under the current rules of the Securities and Exchange Commission (the “SEC”), </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attention necessary with respect to our increased disclosure and compliance obligations associated with the pending loss of our EGC and SRC status under the current rules of the SEC.</w:t>
            </w:r>
          </w:p>
        </w:tc>
      </w:tr>
    </w:tbl>
    <w:p>
      <w:pPr>
        <w:pStyle w:val="TextBody"/>
        <w:pBdr/>
        <w:bidi w:val="0"/>
        <w:spacing w:before="0" w:after="0"/>
        <w:ind w:left="547" w:right="0" w:hanging="547"/>
        <w:jc w:val="left"/>
        <w:rPr/>
      </w:pPr>
      <w:r>
        <w:rPr/>
        <w:t>​</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p>
      <w:pPr>
        <w:pStyle w:val="TextBody"/>
        <w:pBdr/>
        <w:bidi w:val="0"/>
        <w:spacing w:before="0" w:after="0"/>
        <w:ind w:left="547" w:right="0" w:hanging="547"/>
        <w:jc w:val="left"/>
        <w:rPr/>
      </w:pPr>
      <w:r>
        <w:rPr/>
        <w:t>​</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international trade policies and tax legislation,</w:t>
            </w:r>
          </w:p>
        </w:tc>
      </w:tr>
    </w:tbl>
    <w:p>
      <w:pPr>
        <w:pStyle w:val="TextBody"/>
        <w:pBdr/>
        <w:bidi w:val="0"/>
        <w:spacing w:before="0" w:after="0"/>
        <w:ind w:left="547" w:right="0" w:hanging="547"/>
        <w:jc w:val="both"/>
        <w:rPr/>
      </w:pPr>
      <w:r>
        <w:rPr/>
        <w:t>​</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p>
      <w:pPr>
        <w:pStyle w:val="TextBody"/>
        <w:pBdr/>
        <w:bidi w:val="0"/>
        <w:spacing w:before="0" w:after="0"/>
        <w:ind w:left="547" w:right="0" w:hanging="547"/>
        <w:jc w:val="left"/>
        <w:rPr/>
      </w:pPr>
      <w:r>
        <w:rPr/>
        <w:t>​</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p>
      <w:pPr>
        <w:pStyle w:val="TextBody"/>
        <w:pBdr/>
        <w:bidi w:val="0"/>
        <w:spacing w:before="0" w:after="0"/>
        <w:ind w:left="547" w:right="0" w:hanging="547"/>
        <w:jc w:val="left"/>
        <w:rPr/>
      </w:pPr>
      <w:r>
        <w:rPr/>
        <w:t>​</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raise additional capital when needed and on attractive terms,</w:t>
            </w:r>
          </w:p>
        </w:tc>
      </w:tr>
    </w:tbl>
    <w:p>
      <w:pPr>
        <w:pStyle w:val="TextBody"/>
        <w:pBdr/>
        <w:bidi w:val="0"/>
        <w:spacing w:before="0" w:after="0"/>
        <w:ind w:left="547" w:right="0" w:hanging="547"/>
        <w:jc w:val="left"/>
        <w:rPr/>
      </w:pPr>
      <w:r>
        <w:rPr/>
        <w:t>​</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 and</w:t>
            </w:r>
          </w:p>
        </w:tc>
      </w:tr>
    </w:tbl>
    <w:p>
      <w:pPr>
        <w:pStyle w:val="TextBody"/>
        <w:pBdr/>
        <w:bidi w:val="0"/>
        <w:spacing w:before="0" w:after="0"/>
        <w:ind w:left="547" w:right="0" w:hanging="547"/>
        <w:jc w:val="both"/>
        <w:rPr/>
      </w:pPr>
      <w:r>
        <w:rPr/>
        <w:t>​</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w:t>
            </w:r>
          </w:p>
        </w:tc>
      </w:tr>
    </w:tbl>
    <w:p>
      <w:pPr>
        <w:pStyle w:val="TextBody"/>
        <w:bidi w:val="0"/>
        <w:spacing w:before="0" w:after="0"/>
        <w:ind w:left="1094"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547"/>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58aa1a1c_d61b_4f78_a892_cb90a6884723"/>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4" w:name="Balance_Sheets"/>
      <w:bookmarkEnd w:id="5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5" w:name="INTERIMCONDENSEDCONSOLIDATEDBALANCESHEET"/>
      <w:bookmarkStart w:id="56" w:name="_CONDENSED_CONSOLIDATED_BALANCE"/>
      <w:bookmarkEnd w:id="55"/>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7" w:name="Tc_qjxZGvFUf0C7GAeh0DdELw_37_5"/>
      <w:bookmarkStart w:id="58" w:name="Tc_TCIIvtLhEkuSksC-DL0Wnw_37_2"/>
      <w:bookmarkStart w:id="59" w:name="Tc_tBqY75Rfp0m0OmS4vvPmhg_37_0"/>
      <w:bookmarkStart w:id="60" w:name="Tc_7tT2ZQFrIEm5oNrhxvGvoQ_36_0"/>
      <w:bookmarkStart w:id="61" w:name="Tc_BTSq8qLHAkqxkFOn36gjCg_35_0"/>
      <w:bookmarkStart w:id="62" w:name="Tc_fg45gLea5Umi9dMbxQEhgA_34_0"/>
      <w:bookmarkStart w:id="63" w:name="Tc_1jo-YAReqUCuijcGX19S5A_33_0"/>
      <w:bookmarkStart w:id="64" w:name="Tc_f8-a_AmrNkaA56TxgGt9cQ_32_0"/>
      <w:bookmarkStart w:id="65" w:name="Tc_DJI3heE9yUK5vkJXYFzUUw_31_0"/>
      <w:bookmarkStart w:id="66" w:name="Tc_3Pro6WJwEk-mogzr-YtzVQ_30_0"/>
      <w:bookmarkStart w:id="67" w:name="Tc_tjLs8ROhHEuQGzzOZzacKA_29_0"/>
      <w:bookmarkStart w:id="68" w:name="Tc_fkwvoMNec02RMJ13t__hug_28_0"/>
      <w:bookmarkStart w:id="69" w:name="Tc_77CnKg1U8kS_u4L_BTlE0g_27_0"/>
      <w:bookmarkStart w:id="70" w:name="Tc_deT4uJ1M5Uy3HKVxqr8KQw_26_0"/>
      <w:bookmarkStart w:id="71" w:name="Tc_bQZsXxZsKUqC6fWCX5HKaQ_25_0"/>
      <w:bookmarkStart w:id="72" w:name="Tc_LLcXUGWLWkaooHcPcsGIHg_24_0"/>
      <w:bookmarkStart w:id="73" w:name="Tc_m6k1UJJdykOB8kPoXz8Y8Q_23_0"/>
      <w:bookmarkStart w:id="74" w:name="Tc_j5PBlYzoWEqJbjv1aXfEeA_22_0"/>
      <w:bookmarkStart w:id="75" w:name="Tc_T8Tqw8pKyU-ji-kbSMIgrw_21_0"/>
      <w:bookmarkStart w:id="76" w:name="Tc_ZcWd-srtHU2FfkmuO8aGoQ_20_0"/>
      <w:bookmarkStart w:id="77" w:name="Tc_zBh8X_1PAEi35MUsBe-u8A_19_5"/>
      <w:bookmarkStart w:id="78" w:name="Tc_7eFjwP9sxUuFJrvsa-nbRQ_19_2"/>
      <w:bookmarkStart w:id="79" w:name="Tc_VrL4RzNB_ECZs5a7I33cbA_19_0"/>
      <w:bookmarkStart w:id="80" w:name="Tc_05x0irKkbEuK-vqc3YnF2w_18_0"/>
      <w:bookmarkStart w:id="81" w:name="Tc_zEC5ezk9mk2Qt2B9Xntwxg_17_0"/>
      <w:bookmarkStart w:id="82" w:name="Tc_GYGrDGLtBU2yy8OY-nJzjg_15_5"/>
      <w:bookmarkStart w:id="83" w:name="Tc_HY64_YjY_kyyDPN_o2XB3A_15_2"/>
      <w:bookmarkStart w:id="84" w:name="Tc_enaXF_aHXkW6XuOd1O4BuA_15_0"/>
      <w:bookmarkStart w:id="85" w:name="Tc_H7w1CFAtzkyyYMKZkR2vFg_14_0"/>
      <w:bookmarkStart w:id="86" w:name="Tc_MkGw100m6EyCrui2uQawOQ_13_0"/>
      <w:bookmarkStart w:id="87" w:name="Tc_kOGtsY5BHUKLI80S9muODg_12_0"/>
      <w:bookmarkStart w:id="88" w:name="Tc_HaeLEQWt6UqMFtNGiK0-qw_11_0"/>
      <w:bookmarkStart w:id="89" w:name="Tc_dJMCIDCUU0KiyyuqJqykkQ_10_0"/>
      <w:bookmarkStart w:id="90" w:name="Tc_89EwMUC5UEuuDRwKFyJK_w_9_0"/>
      <w:bookmarkStart w:id="91" w:name="Tc_0y2ZzI3G2Uuuqnj892QsGg_8_0"/>
      <w:bookmarkStart w:id="92" w:name="Tc_mSou0bCFPkOa2vLVcaVIzQ_7_0"/>
      <w:bookmarkStart w:id="93" w:name="Tc_-CQWfpwtl0qYEgJcH9MKTg_6_0"/>
      <w:bookmarkStart w:id="94" w:name="Tc_UM7syBgdtEupzOXvhkGVOg_5_5"/>
      <w:bookmarkStart w:id="95" w:name="Tc_FUHl0Fo-Zke405oaC_UUoQ_5_2"/>
      <w:bookmarkStart w:id="96" w:name="Tc_Ype4k6BynkGmHBcvQe_trQ_5_0"/>
      <w:bookmarkStart w:id="97" w:name="Tc_v1xdT1tqIEOVGXZdUzfJyw_4_0"/>
      <w:bookmarkStart w:id="98" w:name="Tc_gpXCk_bge0WM8uG9ifwzRA_3_0"/>
      <w:bookmarkStart w:id="99" w:name="Tc_UWa6apDqlE6RC-iCYNcElw_2_5"/>
      <w:bookmarkStart w:id="100" w:name="Tc_D6wkTFa4lEiupWesk4R3wQ_2_2"/>
      <w:bookmarkStart w:id="101" w:name="Tc_XIccB1S3xUO3CngUzqBYfQ_1_5"/>
      <w:bookmarkStart w:id="102" w:name="Tc_fBDgfLmUKUqBg88dnZQ-yQ_1_2"/>
      <w:bookmarkStart w:id="103" w:name="_95bee19d_95c9_4e6b_b568_6985b0035237"/>
      <w:bookmarkStart w:id="104" w:name="Tc_qjxZGvFUf0C7GAeh0DdELw_37_5"/>
      <w:bookmarkStart w:id="105" w:name="Tc_TCIIvtLhEkuSksC-DL0Wnw_37_2"/>
      <w:bookmarkStart w:id="106" w:name="Tc_tBqY75Rfp0m0OmS4vvPmhg_37_0"/>
      <w:bookmarkStart w:id="107" w:name="Tc_7tT2ZQFrIEm5oNrhxvGvoQ_36_0"/>
      <w:bookmarkStart w:id="108" w:name="Tc_BTSq8qLHAkqxkFOn36gjCg_35_0"/>
      <w:bookmarkStart w:id="109" w:name="Tc_fg45gLea5Umi9dMbxQEhgA_34_0"/>
      <w:bookmarkStart w:id="110" w:name="Tc_1jo-YAReqUCuijcGX19S5A_33_0"/>
      <w:bookmarkStart w:id="111" w:name="Tc_f8-a_AmrNkaA56TxgGt9cQ_32_0"/>
      <w:bookmarkStart w:id="112" w:name="Tc_DJI3heE9yUK5vkJXYFzUUw_31_0"/>
      <w:bookmarkStart w:id="113" w:name="Tc_3Pro6WJwEk-mogzr-YtzVQ_30_0"/>
      <w:bookmarkStart w:id="114" w:name="Tc_tjLs8ROhHEuQGzzOZzacKA_29_0"/>
      <w:bookmarkStart w:id="115" w:name="Tc_fkwvoMNec02RMJ13t__hug_28_0"/>
      <w:bookmarkStart w:id="116" w:name="Tc_77CnKg1U8kS_u4L_BTlE0g_27_0"/>
      <w:bookmarkStart w:id="117" w:name="Tc_deT4uJ1M5Uy3HKVxqr8KQw_26_0"/>
      <w:bookmarkStart w:id="118" w:name="Tc_bQZsXxZsKUqC6fWCX5HKaQ_25_0"/>
      <w:bookmarkStart w:id="119" w:name="Tc_LLcXUGWLWkaooHcPcsGIHg_24_0"/>
      <w:bookmarkStart w:id="120" w:name="Tc_m6k1UJJdykOB8kPoXz8Y8Q_23_0"/>
      <w:bookmarkStart w:id="121" w:name="Tc_j5PBlYzoWEqJbjv1aXfEeA_22_0"/>
      <w:bookmarkStart w:id="122" w:name="Tc_T8Tqw8pKyU-ji-kbSMIgrw_21_0"/>
      <w:bookmarkStart w:id="123" w:name="Tc_ZcWd-srtHU2FfkmuO8aGoQ_20_0"/>
      <w:bookmarkStart w:id="124" w:name="Tc_zBh8X_1PAEi35MUsBe-u8A_19_5"/>
      <w:bookmarkStart w:id="125" w:name="Tc_7eFjwP9sxUuFJrvsa-nbRQ_19_2"/>
      <w:bookmarkStart w:id="126" w:name="Tc_VrL4RzNB_ECZs5a7I33cbA_19_0"/>
      <w:bookmarkStart w:id="127" w:name="Tc_05x0irKkbEuK-vqc3YnF2w_18_0"/>
      <w:bookmarkStart w:id="128" w:name="Tc_zEC5ezk9mk2Qt2B9Xntwxg_17_0"/>
      <w:bookmarkStart w:id="129" w:name="Tc_GYGrDGLtBU2yy8OY-nJzjg_15_5"/>
      <w:bookmarkStart w:id="130" w:name="Tc_HY64_YjY_kyyDPN_o2XB3A_15_2"/>
      <w:bookmarkStart w:id="131" w:name="Tc_enaXF_aHXkW6XuOd1O4BuA_15_0"/>
      <w:bookmarkStart w:id="132" w:name="Tc_H7w1CFAtzkyyYMKZkR2vFg_14_0"/>
      <w:bookmarkStart w:id="133" w:name="Tc_MkGw100m6EyCrui2uQawOQ_13_0"/>
      <w:bookmarkStart w:id="134" w:name="Tc_kOGtsY5BHUKLI80S9muODg_12_0"/>
      <w:bookmarkStart w:id="135" w:name="Tc_HaeLEQWt6UqMFtNGiK0-qw_11_0"/>
      <w:bookmarkStart w:id="136" w:name="Tc_dJMCIDCUU0KiyyuqJqykkQ_10_0"/>
      <w:bookmarkStart w:id="137" w:name="Tc_89EwMUC5UEuuDRwKFyJK_w_9_0"/>
      <w:bookmarkStart w:id="138" w:name="Tc_0y2ZzI3G2Uuuqnj892QsGg_8_0"/>
      <w:bookmarkStart w:id="139" w:name="Tc_mSou0bCFPkOa2vLVcaVIzQ_7_0"/>
      <w:bookmarkStart w:id="140" w:name="Tc_-CQWfpwtl0qYEgJcH9MKTg_6_0"/>
      <w:bookmarkStart w:id="141" w:name="Tc_UM7syBgdtEupzOXvhkGVOg_5_5"/>
      <w:bookmarkStart w:id="142" w:name="Tc_FUHl0Fo-Zke405oaC_UUoQ_5_2"/>
      <w:bookmarkStart w:id="143" w:name="Tc_Ype4k6BynkGmHBcvQe_trQ_5_0"/>
      <w:bookmarkStart w:id="144" w:name="Tc_v1xdT1tqIEOVGXZdUzfJyw_4_0"/>
      <w:bookmarkStart w:id="145" w:name="Tc_gpXCk_bge0WM8uG9ifwzRA_3_0"/>
      <w:bookmarkStart w:id="146" w:name="Tc_UWa6apDqlE6RC-iCYNcElw_2_5"/>
      <w:bookmarkStart w:id="147" w:name="Tc_D6wkTFa4lEiupWesk4R3wQ_2_2"/>
      <w:bookmarkStart w:id="148" w:name="Tc_XIccB1S3xUO3CngUzqBYfQ_1_5"/>
      <w:bookmarkStart w:id="149" w:name="Tc_fBDgfLmUKUqBg88dnZQ-yQ_1_2"/>
      <w:bookmarkStart w:id="150" w:name="_95bee19d_95c9_4e6b_b568_6985b0035237"/>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7284"/>
        <w:gridCol w:w="326"/>
        <w:gridCol w:w="211"/>
        <w:gridCol w:w="931"/>
        <w:gridCol w:w="326"/>
        <w:gridCol w:w="211"/>
        <w:gridCol w:w="916"/>
      </w:tblGrid>
      <w:tr>
        <w:trPr/>
        <w:tc>
          <w:tcPr>
            <w:tcW w:w="72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2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206,758</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44,643</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284,787</w:t>
            </w:r>
          </w:p>
        </w:tc>
      </w:tr>
      <w:tr>
        <w:trPr/>
        <w:tc>
          <w:tcPr>
            <w:tcW w:w="72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93,095</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158,198</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72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par value $0.0001 per share, 1,000,000,000 shares authorized, 323,762,157 shares issued and outstanding at June 30, 2025 and 283,546,871 shares issued and outstanding at 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r>
      <w:tr>
        <w:trPr/>
        <w:tc>
          <w:tcPr>
            <w:tcW w:w="7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553,263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7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284,787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edd41d3f_2791_4e4a_b1f6_779cb1ec7b73"/>
      <w:bookmarkEnd w:id="15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2" w:name="STATEMENTS_OF_OPERATIONS"/>
      <w:bookmarkEnd w:id="15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3" w:name="Tc_gUHylgyS3kGsU9mm8az62A_24_0"/>
      <w:bookmarkStart w:id="154" w:name="Tc_Xt2hthE_Q0qCNPgIwheGlQ_23_11"/>
      <w:bookmarkStart w:id="155" w:name="Tc_Zy0p5iqg2UqM3VTXwOVVxg_23_8"/>
      <w:bookmarkStart w:id="156" w:name="Tc_cHdftqLfUEqz3G5lmyf5sQ_23_5"/>
      <w:bookmarkStart w:id="157" w:name="Tc_gHOmWm02rEuXLHWVts5FFg_23_2"/>
      <w:bookmarkStart w:id="158" w:name="Tc_51z8GqHlSU2HdkthaUEjUw_23_0"/>
      <w:bookmarkStart w:id="159" w:name="Tc_p90_mI7LaUKxz8igbBsPYg_22_11"/>
      <w:bookmarkStart w:id="160" w:name="Tc_EScT8XPCzUO-PK0EKr2qeA_22_8"/>
      <w:bookmarkStart w:id="161" w:name="Tc_4enwPOJdBkqNucKqIvYNnw_22_5"/>
      <w:bookmarkStart w:id="162" w:name="Tc_7qeQ0e9BHU-afGCMHKFj7w_22_2"/>
      <w:bookmarkStart w:id="163" w:name="Tc_t1FI2_4HTESbt9k1VkQGdg_22_0"/>
      <w:bookmarkStart w:id="164" w:name="Tc_l4dTWaEGDES5X4AcHTUTkA_21_11"/>
      <w:bookmarkStart w:id="165" w:name="Tc_sjSvhSfNNE-p08sdcWOdpw_21_8"/>
      <w:bookmarkStart w:id="166" w:name="Tc_2JSmFLh2hEq7G4_mZYHg5Q_21_5"/>
      <w:bookmarkStart w:id="167" w:name="Tc_HeZ0Q7DA00e0oqosEOFkaA_21_2"/>
      <w:bookmarkStart w:id="168" w:name="Tc_Z84HbqtRaECmr3WzGKYKuA_21_0"/>
      <w:bookmarkStart w:id="169" w:name="Tc_zwgKwORZRUuwphiHbBo1-A_20_11"/>
      <w:bookmarkStart w:id="170" w:name="Tc_OQReD7xLVkqy5XD35e4QIw_20_8"/>
      <w:bookmarkStart w:id="171" w:name="Tc_7fuYTVQPKUyAfdPy3kva0A_20_5"/>
      <w:bookmarkStart w:id="172" w:name="Tc_tuEKjdQhP0uIiYjU5UEyDg_20_2"/>
      <w:bookmarkStart w:id="173" w:name="Tc_3mAwDmWv40eZW3CdAUlEyg_20_0"/>
      <w:bookmarkStart w:id="174" w:name="Tc_sMYzdW2I1UKIB737cYpN8A_19_0"/>
      <w:bookmarkStart w:id="175" w:name="Tc_ypK3ILnM2U-yxnsCChVKFg_18_0"/>
      <w:bookmarkStart w:id="176" w:name="Tc_zng43pzb_0Gs4DoE_mWL5A_17_0"/>
      <w:bookmarkStart w:id="177" w:name="Tc_Cq2wwj4IYk2_Yx8EqwGOIg_16_0"/>
      <w:bookmarkStart w:id="178" w:name="Tc_Vq0QfVpe_ESW0RDVXBFpAA_15_0"/>
      <w:bookmarkStart w:id="179" w:name="Tc_URs-F6VkcUaMepGEoqAKtA_14_0"/>
      <w:bookmarkStart w:id="180" w:name="Tc_m5fUMtIPU0ChmpP7gQ-QWw_13_9"/>
      <w:bookmarkStart w:id="181" w:name="Tc_beulXveIiUO8Ee2GNfdqFw_13_3"/>
      <w:bookmarkStart w:id="182" w:name="Tc_Ux-umvPXAEmJNXqaF9x0Iw_13_0"/>
      <w:bookmarkStart w:id="183" w:name="Tc_Rq668xU0N0SWQSnvNFG1gQ_12_0"/>
      <w:bookmarkStart w:id="184" w:name="Tc__gPEHWi5NkOhab5faNOezg_11_0"/>
      <w:bookmarkStart w:id="185" w:name="Tc_IPQb5njLjkG2pgoHoFX8Pg_10_0"/>
      <w:bookmarkStart w:id="186" w:name="Tc_DYlM-3cPD06jjXGjJMPmCA_9_0"/>
      <w:bookmarkStart w:id="187" w:name="Tc_5xNqDNBtl0262-9FBAkYqQ_8_0"/>
      <w:bookmarkStart w:id="188" w:name="Tc_K0ETPNmjbEOk0KAZQ_zlqw_7_0"/>
      <w:bookmarkStart w:id="189" w:name="Tc_VdLs5LVoqEOvua210u8Skg_6_0"/>
      <w:bookmarkStart w:id="190" w:name="Tc_gyqYOMkBW0G4JcIZwyd2oQ_5_0"/>
      <w:bookmarkStart w:id="191" w:name="Tc__jBtPixjxEa9biw0FCyfsQ_4_11"/>
      <w:bookmarkStart w:id="192" w:name="Tc_dNg0HC6Em0aF2cBwVzso3A_4_8"/>
      <w:bookmarkStart w:id="193" w:name="Tc_Zq0pNjFQm0mETwCBARXw4A_4_5"/>
      <w:bookmarkStart w:id="194" w:name="Tc_916aYun16Uav5iD3PvoWlg_4_2"/>
      <w:bookmarkStart w:id="195" w:name="Tc_jsIzV3_fR0ixv2yCCEGGxA_4_0"/>
      <w:bookmarkStart w:id="196" w:name="Tc_pBdm7myOm0Oqp0y7rXQTRA_3_11"/>
      <w:bookmarkStart w:id="197" w:name="Tc_vFUQbyZAg06titbgwGNuew_3_8"/>
      <w:bookmarkStart w:id="198" w:name="Tc_g3d35vInokuyzqbi0_qSPA_3_5"/>
      <w:bookmarkStart w:id="199" w:name="Tc_nIFmFGHGoEqya7UZGDE10A_3_2"/>
      <w:bookmarkStart w:id="200" w:name="Tc_-VH39X0jvkC-FoR0FBUzBA_2_8"/>
      <w:bookmarkStart w:id="201" w:name="Tc_CeXqc6XookGRiKO8Ke0CpA_2_2"/>
      <w:bookmarkStart w:id="202" w:name="_94655d95_3a9a_492f_9919_27e66ae8726e"/>
      <w:bookmarkStart w:id="203" w:name="_fdc0b01b_c892_47a2_ad8b_e4fbdeef6d86"/>
      <w:bookmarkStart w:id="204" w:name="Tc_gUHylgyS3kGsU9mm8az62A_24_0"/>
      <w:bookmarkStart w:id="205" w:name="Tc_Xt2hthE_Q0qCNPgIwheGlQ_23_11"/>
      <w:bookmarkStart w:id="206" w:name="Tc_Zy0p5iqg2UqM3VTXwOVVxg_23_8"/>
      <w:bookmarkStart w:id="207" w:name="Tc_cHdftqLfUEqz3G5lmyf5sQ_23_5"/>
      <w:bookmarkStart w:id="208" w:name="Tc_gHOmWm02rEuXLHWVts5FFg_23_2"/>
      <w:bookmarkStart w:id="209" w:name="Tc_51z8GqHlSU2HdkthaUEjUw_23_0"/>
      <w:bookmarkStart w:id="210" w:name="Tc_p90_mI7LaUKxz8igbBsPYg_22_11"/>
      <w:bookmarkStart w:id="211" w:name="Tc_EScT8XPCzUO-PK0EKr2qeA_22_8"/>
      <w:bookmarkStart w:id="212" w:name="Tc_4enwPOJdBkqNucKqIvYNnw_22_5"/>
      <w:bookmarkStart w:id="213" w:name="Tc_7qeQ0e9BHU-afGCMHKFj7w_22_2"/>
      <w:bookmarkStart w:id="214" w:name="Tc_t1FI2_4HTESbt9k1VkQGdg_22_0"/>
      <w:bookmarkStart w:id="215" w:name="Tc_l4dTWaEGDES5X4AcHTUTkA_21_11"/>
      <w:bookmarkStart w:id="216" w:name="Tc_sjSvhSfNNE-p08sdcWOdpw_21_8"/>
      <w:bookmarkStart w:id="217" w:name="Tc_2JSmFLh2hEq7G4_mZYHg5Q_21_5"/>
      <w:bookmarkStart w:id="218" w:name="Tc_HeZ0Q7DA00e0oqosEOFkaA_21_2"/>
      <w:bookmarkStart w:id="219" w:name="Tc_Z84HbqtRaECmr3WzGKYKuA_21_0"/>
      <w:bookmarkStart w:id="220" w:name="Tc_zwgKwORZRUuwphiHbBo1-A_20_11"/>
      <w:bookmarkStart w:id="221" w:name="Tc_OQReD7xLVkqy5XD35e4QIw_20_8"/>
      <w:bookmarkStart w:id="222" w:name="Tc_7fuYTVQPKUyAfdPy3kva0A_20_5"/>
      <w:bookmarkStart w:id="223" w:name="Tc_tuEKjdQhP0uIiYjU5UEyDg_20_2"/>
      <w:bookmarkStart w:id="224" w:name="Tc_3mAwDmWv40eZW3CdAUlEyg_20_0"/>
      <w:bookmarkStart w:id="225" w:name="Tc_sMYzdW2I1UKIB737cYpN8A_19_0"/>
      <w:bookmarkStart w:id="226" w:name="Tc_ypK3ILnM2U-yxnsCChVKFg_18_0"/>
      <w:bookmarkStart w:id="227" w:name="Tc_zng43pzb_0Gs4DoE_mWL5A_17_0"/>
      <w:bookmarkStart w:id="228" w:name="Tc_Cq2wwj4IYk2_Yx8EqwGOIg_16_0"/>
      <w:bookmarkStart w:id="229" w:name="Tc_Vq0QfVpe_ESW0RDVXBFpAA_15_0"/>
      <w:bookmarkStart w:id="230" w:name="Tc_URs-F6VkcUaMepGEoqAKtA_14_0"/>
      <w:bookmarkStart w:id="231" w:name="Tc_m5fUMtIPU0ChmpP7gQ-QWw_13_9"/>
      <w:bookmarkStart w:id="232" w:name="Tc_beulXveIiUO8Ee2GNfdqFw_13_3"/>
      <w:bookmarkStart w:id="233" w:name="Tc_Ux-umvPXAEmJNXqaF9x0Iw_13_0"/>
      <w:bookmarkStart w:id="234" w:name="Tc_Rq668xU0N0SWQSnvNFG1gQ_12_0"/>
      <w:bookmarkStart w:id="235" w:name="Tc__gPEHWi5NkOhab5faNOezg_11_0"/>
      <w:bookmarkStart w:id="236" w:name="Tc_IPQb5njLjkG2pgoHoFX8Pg_10_0"/>
      <w:bookmarkStart w:id="237" w:name="Tc_DYlM-3cPD06jjXGjJMPmCA_9_0"/>
      <w:bookmarkStart w:id="238" w:name="Tc_5xNqDNBtl0262-9FBAkYqQ_8_0"/>
      <w:bookmarkStart w:id="239" w:name="Tc_K0ETPNmjbEOk0KAZQ_zlqw_7_0"/>
      <w:bookmarkStart w:id="240" w:name="Tc_VdLs5LVoqEOvua210u8Skg_6_0"/>
      <w:bookmarkStart w:id="241" w:name="Tc_gyqYOMkBW0G4JcIZwyd2oQ_5_0"/>
      <w:bookmarkStart w:id="242" w:name="Tc__jBtPixjxEa9biw0FCyfsQ_4_11"/>
      <w:bookmarkStart w:id="243" w:name="Tc_dNg0HC6Em0aF2cBwVzso3A_4_8"/>
      <w:bookmarkStart w:id="244" w:name="Tc_Zq0pNjFQm0mETwCBARXw4A_4_5"/>
      <w:bookmarkStart w:id="245" w:name="Tc_916aYun16Uav5iD3PvoWlg_4_2"/>
      <w:bookmarkStart w:id="246" w:name="Tc_jsIzV3_fR0ixv2yCCEGGxA_4_0"/>
      <w:bookmarkStart w:id="247" w:name="Tc_pBdm7myOm0Oqp0y7rXQTRA_3_11"/>
      <w:bookmarkStart w:id="248" w:name="Tc_vFUQbyZAg06titbgwGNuew_3_8"/>
      <w:bookmarkStart w:id="249" w:name="Tc_g3d35vInokuyzqbi0_qSPA_3_5"/>
      <w:bookmarkStart w:id="250" w:name="Tc_nIFmFGHGoEqya7UZGDE10A_3_2"/>
      <w:bookmarkStart w:id="251" w:name="Tc_-VH39X0jvkC-FoR0FBUzBA_2_8"/>
      <w:bookmarkStart w:id="252" w:name="Tc_CeXqc6XookGRiKO8Ke0CpA_2_2"/>
      <w:bookmarkStart w:id="253" w:name="_94655d95_3a9a_492f_9919_27e66ae8726e"/>
      <w:bookmarkStart w:id="254" w:name="_fdc0b01b_c892_47a2_ad8b_e4fbdeef6d86"/>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4765"/>
        <w:gridCol w:w="326"/>
        <w:gridCol w:w="214"/>
        <w:gridCol w:w="798"/>
        <w:gridCol w:w="330"/>
        <w:gridCol w:w="214"/>
        <w:gridCol w:w="798"/>
        <w:gridCol w:w="326"/>
        <w:gridCol w:w="211"/>
        <w:gridCol w:w="786"/>
        <w:gridCol w:w="326"/>
        <w:gridCol w:w="211"/>
        <w:gridCol w:w="900"/>
      </w:tblGrid>
      <w:tr>
        <w:trPr/>
        <w:tc>
          <w:tcPr>
            <w:tcW w:w="4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5890" cy="175260"/>
                      <wp:effectExtent l="0" t="0" r="0" b="0"/>
                      <wp:wrapNone/>
                      <wp:docPr id="16" name="Frame1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6730" cy="175260"/>
                      <wp:effectExtent l="0" t="0" r="0" b="0"/>
                      <wp:wrapNone/>
                      <wp:docPr id="17" name="Frame1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9550" cy="175260"/>
                      <wp:effectExtent l="0" t="0" r="0" b="0"/>
                      <wp:wrapNone/>
                      <wp:docPr id="18" name="Frame1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5890" cy="175260"/>
                      <wp:effectExtent l="0" t="0" r="0" b="0"/>
                      <wp:wrapNone/>
                      <wp:docPr id="19" name="Frame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6730" cy="175260"/>
                      <wp:effectExtent l="0" t="0" r="0" b="0"/>
                      <wp:wrapNone/>
                      <wp:docPr id="20" name="Frame2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9110" cy="175260"/>
                      <wp:effectExtent l="0" t="0" r="0" b="0"/>
                      <wp:wrapNone/>
                      <wp:docPr id="23" name="Frame2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1500" cy="175260"/>
                      <wp:effectExtent l="0" t="0" r="0" b="0"/>
                      <wp:wrapNone/>
                      <wp:docPr id="26" name="Frame2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left"/>
              <w:rPr/>
            </w:pPr>
            <w:r>
              <w:rPr/>
              <w:t>​</w:t>
            </w:r>
          </w:p>
        </w:tc>
      </w:tr>
      <w:tr>
        <w:trPr/>
        <w:tc>
          <w:tcPr>
            <w:tcW w:w="4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26" w:type="dxa"/>
            <w:tcBorders/>
            <w:vAlign w:val="center"/>
          </w:tcPr>
          <w:p>
            <w:pPr>
              <w:pStyle w:val="TableContents"/>
              <w:bidi w:val="0"/>
              <w:spacing w:before="0" w:after="0"/>
              <w:ind w:left="0" w:right="0" w:hanging="0"/>
              <w:jc w:val="left"/>
              <w:rPr/>
            </w:pPr>
            <w:r>
              <w:rPr/>
              <w:t> </w:t>
            </w:r>
          </w:p>
        </w:tc>
        <w:tc>
          <w:tcPr>
            <w:tcW w:w="24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4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30" w:type="dxa"/>
            <w:tcBorders/>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3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13,522</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23,341</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20,448</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36,160</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(19,882)</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(32,670)</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33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(20,557)</w:t>
            </w:r>
          </w:p>
        </w:tc>
        <w:tc>
          <w:tcPr>
            <w:tcW w:w="33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(19,772)</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used in diluted earnings per share</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diluted</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30"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298,254</w:t>
            </w:r>
          </w:p>
        </w:tc>
        <w:tc>
          <w:tcPr>
            <w:tcW w:w="33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161,705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 w:name="_e079cbf7_e738_4578_9360_7be0f4387436"/>
      <w:bookmarkEnd w:id="255"/>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56" w:name="STATEMENTS_OF_COMPREHENSIVE_LOSS"/>
      <w:bookmarkEnd w:id="256"/>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7" w:name="Tc_390YVC9J1U-nTrZC7II8Ag_11_11"/>
      <w:bookmarkStart w:id="258" w:name="Tc_6C2R0EwQSkWhfPN_Ply4uA_11_8"/>
      <w:bookmarkStart w:id="259" w:name="Tc_dEjAINdMK0qd8APklYhnSw_11_5"/>
      <w:bookmarkStart w:id="260" w:name="Tc_WIUAD04nHkm3Lqbz_HeVvQ_11_2"/>
      <w:bookmarkStart w:id="261" w:name="Tc_gyUDNSq7SkCrS7cEAPdxqQ_11_0"/>
      <w:bookmarkStart w:id="262" w:name="Tc_iqSKFV2RdUOAiBdB5mbOnQ_10_0"/>
      <w:bookmarkStart w:id="263" w:name="Tc_H73lW3CeukaiWN55mU16eg_9_0"/>
      <w:bookmarkStart w:id="264" w:name="Tc_IwEMmYTxFUGfiuKduMS_4w_8_0"/>
      <w:bookmarkStart w:id="265" w:name="Tc_74_q_Do3a0GokrWGki0_RA_7_0"/>
      <w:bookmarkStart w:id="266" w:name="Tc_uBiWh5zoY0i2MZnwjyarqw_6_0"/>
      <w:bookmarkStart w:id="267" w:name="Tc_OLUmOET6g0mqU2LLCvDArw_5_0"/>
      <w:bookmarkStart w:id="268" w:name="Tc_55q6hZlZckK43y_J2ACUbQ_4_11"/>
      <w:bookmarkStart w:id="269" w:name="Tc_aF_QpcdwyUOd1KR09C2Ovw_4_8"/>
      <w:bookmarkStart w:id="270" w:name="Tc_Pq0YhW6X3EGeUGhDhbAJUg_4_5"/>
      <w:bookmarkStart w:id="271" w:name="Tc_7pDG3-2ThEeG-2uWt70pKQ_4_2"/>
      <w:bookmarkStart w:id="272" w:name="Tc_3FCg6f8rK0CsbYfsegXhJQ_4_0"/>
      <w:bookmarkStart w:id="273" w:name="Tc_UnV0XrJCM0GIu0EFD54q6A_3_11"/>
      <w:bookmarkStart w:id="274" w:name="Tc_Usx05j_8rU2Vz72vpgBczA_3_8"/>
      <w:bookmarkStart w:id="275" w:name="Tc_zqbMYa3YYU6EMhEKJDApcg_3_5"/>
      <w:bookmarkStart w:id="276" w:name="Tc_5FL31iW-4kGDLqZcelENWQ_3_2"/>
      <w:bookmarkStart w:id="277" w:name="Tc_MGVn6TkXUUWLf1WEjPs0tA_2_8"/>
      <w:bookmarkStart w:id="278" w:name="Tc_502MhOb5m0qVPw_OxuZUUQ_2_2"/>
      <w:bookmarkStart w:id="279" w:name="_99dc7a5b_c2f8_4f00_98a6_3090063f1ae3"/>
      <w:bookmarkStart w:id="280" w:name="Tc_390YVC9J1U-nTrZC7II8Ag_11_11"/>
      <w:bookmarkStart w:id="281" w:name="Tc_6C2R0EwQSkWhfPN_Ply4uA_11_8"/>
      <w:bookmarkStart w:id="282" w:name="Tc_dEjAINdMK0qd8APklYhnSw_11_5"/>
      <w:bookmarkStart w:id="283" w:name="Tc_WIUAD04nHkm3Lqbz_HeVvQ_11_2"/>
      <w:bookmarkStart w:id="284" w:name="Tc_gyUDNSq7SkCrS7cEAPdxqQ_11_0"/>
      <w:bookmarkStart w:id="285" w:name="Tc_iqSKFV2RdUOAiBdB5mbOnQ_10_0"/>
      <w:bookmarkStart w:id="286" w:name="Tc_H73lW3CeukaiWN55mU16eg_9_0"/>
      <w:bookmarkStart w:id="287" w:name="Tc_IwEMmYTxFUGfiuKduMS_4w_8_0"/>
      <w:bookmarkStart w:id="288" w:name="Tc_74_q_Do3a0GokrWGki0_RA_7_0"/>
      <w:bookmarkStart w:id="289" w:name="Tc_uBiWh5zoY0i2MZnwjyarqw_6_0"/>
      <w:bookmarkStart w:id="290" w:name="Tc_OLUmOET6g0mqU2LLCvDArw_5_0"/>
      <w:bookmarkStart w:id="291" w:name="Tc_55q6hZlZckK43y_J2ACUbQ_4_11"/>
      <w:bookmarkStart w:id="292" w:name="Tc_aF_QpcdwyUOd1KR09C2Ovw_4_8"/>
      <w:bookmarkStart w:id="293" w:name="Tc_Pq0YhW6X3EGeUGhDhbAJUg_4_5"/>
      <w:bookmarkStart w:id="294" w:name="Tc_7pDG3-2ThEeG-2uWt70pKQ_4_2"/>
      <w:bookmarkStart w:id="295" w:name="Tc_3FCg6f8rK0CsbYfsegXhJQ_4_0"/>
      <w:bookmarkStart w:id="296" w:name="Tc_UnV0XrJCM0GIu0EFD54q6A_3_11"/>
      <w:bookmarkStart w:id="297" w:name="Tc_Usx05j_8rU2Vz72vpgBczA_3_8"/>
      <w:bookmarkStart w:id="298" w:name="Tc_zqbMYa3YYU6EMhEKJDApcg_3_5"/>
      <w:bookmarkStart w:id="299" w:name="Tc_5FL31iW-4kGDLqZcelENWQ_3_2"/>
      <w:bookmarkStart w:id="300" w:name="Tc_MGVn6TkXUUWLf1WEjPs0tA_2_8"/>
      <w:bookmarkStart w:id="301" w:name="Tc_502MhOb5m0qVPw_OxuZUUQ_2_2"/>
      <w:bookmarkStart w:id="302" w:name="_99dc7a5b_c2f8_4f00_98a6_3090063f1ae3"/>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5054"/>
        <w:gridCol w:w="326"/>
        <w:gridCol w:w="211"/>
        <w:gridCol w:w="795"/>
        <w:gridCol w:w="326"/>
        <w:gridCol w:w="211"/>
        <w:gridCol w:w="795"/>
        <w:gridCol w:w="326"/>
        <w:gridCol w:w="211"/>
        <w:gridCol w:w="571"/>
        <w:gridCol w:w="326"/>
        <w:gridCol w:w="211"/>
        <w:gridCol w:w="842"/>
      </w:tblGrid>
      <w:tr>
        <w:trPr/>
        <w:tc>
          <w:tcPr>
            <w:tcW w:w="5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09290" cy="175260"/>
                      <wp:effectExtent l="0" t="0" r="0" b="0"/>
                      <wp:wrapNone/>
                      <wp:docPr id="27" name="Frame27"/>
                      <a:graphic xmlns:a="http://schemas.openxmlformats.org/drawingml/2006/main">
                        <a:graphicData uri="http://schemas.microsoft.com/office/word/2010/wordprocessingShape">
                          <wps:wsp>
                            <wps:cNvSpPr txBox="1"/>
                            <wps:spPr>
                              <a:xfrm>
                                <a:off x="0" y="0"/>
                                <a:ext cx="320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4825" cy="175260"/>
                      <wp:effectExtent l="0" t="0" r="0" b="0"/>
                      <wp:wrapNone/>
                      <wp:docPr id="30" name="Frame3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4825" cy="175260"/>
                      <wp:effectExtent l="0" t="0" r="0" b="0"/>
                      <wp:wrapNone/>
                      <wp:docPr id="33" name="Frame33"/>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2585" cy="175260"/>
                      <wp:effectExtent l="0" t="0" r="0" b="0"/>
                      <wp:wrapNone/>
                      <wp:docPr id="36" name="Frame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34670" cy="175260"/>
                      <wp:effectExtent l="0" t="0" r="0" b="0"/>
                      <wp:wrapNone/>
                      <wp:docPr id="39" name="Frame39"/>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 </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pPr>
            <w:r>
              <w:rPr/>
              <w:t>  </w:t>
            </w:r>
          </w:p>
        </w:tc>
      </w:tr>
      <w:tr>
        <w:trPr/>
        <w:tc>
          <w:tcPr>
            <w:tcW w:w="5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3" w:name="_6a500af1_fb7c_4383_a356_47f4294c0366"/>
      <w:bookmarkEnd w:id="303"/>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04" w:name="STATEMENTS_OF_CASH_FLOWS"/>
      <w:bookmarkEnd w:id="30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05" w:name="Tc_WZzqutllT0-lii059F5V9A_49_0"/>
      <w:bookmarkStart w:id="306" w:name="Tc_hObhJEww90WoevgsONOb0g_48_0"/>
      <w:bookmarkStart w:id="307" w:name="Tc_V2IxsqLDtkaHA2acYiw4rA_47_0"/>
      <w:bookmarkStart w:id="308" w:name="Tc_d5PmDIolRkKstIUHBiKVug_46_0"/>
      <w:bookmarkStart w:id="309" w:name="Tc_dal_Q1KOP0CIqzD079KG7g_45_0"/>
      <w:bookmarkStart w:id="310" w:name="Tc_zDP58vNJuEKeVxdwPmvgPw_44_0"/>
      <w:bookmarkStart w:id="311" w:name="Tc_at7zTuFR_0SpryyXcpiEzw_43_0"/>
      <w:bookmarkStart w:id="312" w:name="Tc_RaW5MI-0iE2jChq1fo4Eqw_42_0"/>
      <w:bookmarkStart w:id="313" w:name="Tc_GJq9-pxA5kCh712Vvdk07Q_41_5"/>
      <w:bookmarkStart w:id="314" w:name="Tc_U5rqPY-v_EeGhEIgu7Bdog_41_3"/>
      <w:bookmarkStart w:id="315" w:name="Tc_2cmsTa3BtEmZefIHdJckNw_41_2"/>
      <w:bookmarkStart w:id="316" w:name="Tc_0CdQmUXqCkCgFhCfNkDegw_41_0"/>
      <w:bookmarkStart w:id="317" w:name="Tc_dTxMeIfZWECqu0rErsm8tg_40_0"/>
      <w:bookmarkStart w:id="318" w:name="Tc_iRDvgxKxnECrQjN_dN_EvA_39_5"/>
      <w:bookmarkStart w:id="319" w:name="Tc_Kmj1yTWqx0qtcsna-5Z8JA_39_2"/>
      <w:bookmarkStart w:id="320" w:name="Tc_tTTQLZeRqkq2baGKUHOkZA_39_0"/>
      <w:bookmarkStart w:id="321" w:name="Tc_g1WoSpuY8EWwYJSa8TZQpg_38_0"/>
      <w:bookmarkStart w:id="322" w:name="Tc_SdpkwX98a0K4U4MHxCDi6Q_37_0"/>
      <w:bookmarkStart w:id="323" w:name="Tc_RIZd-sZUQUuUI9bpHP0nAQ_36_0"/>
      <w:bookmarkStart w:id="324" w:name="Tc_SkqNBppPIkyhJkJC9dWsvQ_35_0"/>
      <w:bookmarkStart w:id="325" w:name="Tc_MgcK8WMDskyH6KxXAVub0A_34_0"/>
      <w:bookmarkStart w:id="326" w:name="Tc_rgRUlbO4aESLRPG8PZGVHA_33_0"/>
      <w:bookmarkStart w:id="327" w:name="Tc_4TMEsF82j0uSmvOHmdL8Dg_32_0"/>
      <w:bookmarkStart w:id="328" w:name="Tc_uIBfDvI2Yk6almElsyMPqA_31_0"/>
      <w:bookmarkStart w:id="329" w:name="Tc_ljVJERJK4ESTIpOqTFVL2w_30_0"/>
      <w:bookmarkStart w:id="330" w:name="Tc_tG8Bw0rcQkClu9WyUR7d3Q_29_0"/>
      <w:bookmarkStart w:id="331" w:name="Tc_1Rb1ahgoWkC0D2Th_c3K1Q_28_3"/>
      <w:bookmarkStart w:id="332" w:name="Tc_xMHHgYKD_0ejddXGh4kaCA_28_0"/>
      <w:bookmarkStart w:id="333" w:name="Tc_AjrpJ55Ru02yS8XMwLHHNw_27_0"/>
      <w:bookmarkStart w:id="334" w:name="Tc_KpOqtnfClkurmOIJF-fLjg_26_0"/>
      <w:bookmarkStart w:id="335" w:name="Tc_HYU0YB3im0-pAA_iyqIk3Q_25_0"/>
      <w:bookmarkStart w:id="336" w:name="Tc_LmSWT3MTBUuoA2qRy0O0dA_24_0"/>
      <w:bookmarkStart w:id="337" w:name="Tc_Z2ofqV-kJkyboU56Rri4xA_23_0"/>
      <w:bookmarkStart w:id="338" w:name="Tc_ZObGDV2g1UGPrODtd8_XoA_22_0"/>
      <w:bookmarkStart w:id="339" w:name="Tc_nQj14iORREaploFvpIuyVw_21_0"/>
      <w:bookmarkStart w:id="340" w:name="Tc_DksCrRgT3EWYVFAtqxPfrw_20_0"/>
      <w:bookmarkStart w:id="341" w:name="Tc_yZOYVD103kqDmpjvW6JuYg_19_0"/>
      <w:bookmarkStart w:id="342" w:name="Tc_obPX4DWXwE-CbUzUrSHaOg_18_0"/>
      <w:bookmarkStart w:id="343" w:name="Tc_ypZOU4lSzUmRp_hY89a_Lg_17_0"/>
      <w:bookmarkStart w:id="344" w:name="Tc_6qVQqBpsp0WBQJWdG7YgDg_16_0"/>
      <w:bookmarkStart w:id="345" w:name="Tc_iPX4KbvZkk-RGT2hZDYDdA_15_0"/>
      <w:bookmarkStart w:id="346" w:name="Tc_ipefiyABjkuuh2u3FMXprw_14_0"/>
      <w:bookmarkStart w:id="347" w:name="Tc_Av6HGVUx5kGNDQryYH7HMg_13_0"/>
      <w:bookmarkStart w:id="348" w:name="Tc_V_ioMzWKl0ibnn-u_3Q7JQ_12_3"/>
      <w:bookmarkStart w:id="349" w:name="Tc_qgTTx2NaoE2MBlT6EbLXTQ_12_0"/>
      <w:bookmarkStart w:id="350" w:name="Tc_Bl9ubs6ldEWnFa3daOrhfg_11_0"/>
      <w:bookmarkStart w:id="351" w:name="Tc__yJZBWDmV0ehiGjphFEPcw_10_0"/>
      <w:bookmarkStart w:id="352" w:name="Tc_MHsIXDbaKEKAsGtw5iQXDw_9_0"/>
      <w:bookmarkStart w:id="353" w:name="Tc_2agIyn5C-UGC7tHBSX0ghQ_8_0"/>
      <w:bookmarkStart w:id="354" w:name="Tc_LPJMKtOjxkqxZpiG20Rlkg_7_0"/>
      <w:bookmarkStart w:id="355" w:name="Tc_j3r0Efz6DEOQxD8RGGZc-g_6_0"/>
      <w:bookmarkStart w:id="356" w:name="Tc_rXsHGsZPxE6ctUkikJXw_A_5_5"/>
      <w:bookmarkStart w:id="357" w:name="Tc_o1Z5dSAX9UmuZ5aGe9N3Hw_5_2"/>
      <w:bookmarkStart w:id="358" w:name="Tc_HaDyZmb8YUuQmzaGLdhF_A_5_0"/>
      <w:bookmarkStart w:id="359" w:name="Tc_VS2AHSdXVUeQ00WLutuv_Q_4_0"/>
      <w:bookmarkStart w:id="360" w:name="Tc_65xSdGyhXE6TxYEPhM-erw_3_5"/>
      <w:bookmarkStart w:id="361" w:name="Tc__eByirmBcEesrvpF0jhV6Q_3_2"/>
      <w:bookmarkStart w:id="362" w:name="Tc_hGigxJYdxEW7p603jmX7MQ_2_2"/>
      <w:bookmarkStart w:id="363" w:name="_89fc5de3_f81b_4da5_95e4_97e486411872"/>
      <w:bookmarkStart w:id="364" w:name="Tc_WZzqutllT0-lii059F5V9A_49_0"/>
      <w:bookmarkStart w:id="365" w:name="Tc_hObhJEww90WoevgsONOb0g_48_0"/>
      <w:bookmarkStart w:id="366" w:name="Tc_V2IxsqLDtkaHA2acYiw4rA_47_0"/>
      <w:bookmarkStart w:id="367" w:name="Tc_d5PmDIolRkKstIUHBiKVug_46_0"/>
      <w:bookmarkStart w:id="368" w:name="Tc_dal_Q1KOP0CIqzD079KG7g_45_0"/>
      <w:bookmarkStart w:id="369" w:name="Tc_zDP58vNJuEKeVxdwPmvgPw_44_0"/>
      <w:bookmarkStart w:id="370" w:name="Tc_at7zTuFR_0SpryyXcpiEzw_43_0"/>
      <w:bookmarkStart w:id="371" w:name="Tc_RaW5MI-0iE2jChq1fo4Eqw_42_0"/>
      <w:bookmarkStart w:id="372" w:name="Tc_GJq9-pxA5kCh712Vvdk07Q_41_5"/>
      <w:bookmarkStart w:id="373" w:name="Tc_U5rqPY-v_EeGhEIgu7Bdog_41_3"/>
      <w:bookmarkStart w:id="374" w:name="Tc_2cmsTa3BtEmZefIHdJckNw_41_2"/>
      <w:bookmarkStart w:id="375" w:name="Tc_0CdQmUXqCkCgFhCfNkDegw_41_0"/>
      <w:bookmarkStart w:id="376" w:name="Tc_dTxMeIfZWECqu0rErsm8tg_40_0"/>
      <w:bookmarkStart w:id="377" w:name="Tc_iRDvgxKxnECrQjN_dN_EvA_39_5"/>
      <w:bookmarkStart w:id="378" w:name="Tc_Kmj1yTWqx0qtcsna-5Z8JA_39_2"/>
      <w:bookmarkStart w:id="379" w:name="Tc_tTTQLZeRqkq2baGKUHOkZA_39_0"/>
      <w:bookmarkStart w:id="380" w:name="Tc_g1WoSpuY8EWwYJSa8TZQpg_38_0"/>
      <w:bookmarkStart w:id="381" w:name="Tc_SdpkwX98a0K4U4MHxCDi6Q_37_0"/>
      <w:bookmarkStart w:id="382" w:name="Tc_RIZd-sZUQUuUI9bpHP0nAQ_36_0"/>
      <w:bookmarkStart w:id="383" w:name="Tc_SkqNBppPIkyhJkJC9dWsvQ_35_0"/>
      <w:bookmarkStart w:id="384" w:name="Tc_MgcK8WMDskyH6KxXAVub0A_34_0"/>
      <w:bookmarkStart w:id="385" w:name="Tc_rgRUlbO4aESLRPG8PZGVHA_33_0"/>
      <w:bookmarkStart w:id="386" w:name="Tc_4TMEsF82j0uSmvOHmdL8Dg_32_0"/>
      <w:bookmarkStart w:id="387" w:name="Tc_uIBfDvI2Yk6almElsyMPqA_31_0"/>
      <w:bookmarkStart w:id="388" w:name="Tc_ljVJERJK4ESTIpOqTFVL2w_30_0"/>
      <w:bookmarkStart w:id="389" w:name="Tc_tG8Bw0rcQkClu9WyUR7d3Q_29_0"/>
      <w:bookmarkStart w:id="390" w:name="Tc_1Rb1ahgoWkC0D2Th_c3K1Q_28_3"/>
      <w:bookmarkStart w:id="391" w:name="Tc_xMHHgYKD_0ejddXGh4kaCA_28_0"/>
      <w:bookmarkStart w:id="392" w:name="Tc_AjrpJ55Ru02yS8XMwLHHNw_27_0"/>
      <w:bookmarkStart w:id="393" w:name="Tc_KpOqtnfClkurmOIJF-fLjg_26_0"/>
      <w:bookmarkStart w:id="394" w:name="Tc_HYU0YB3im0-pAA_iyqIk3Q_25_0"/>
      <w:bookmarkStart w:id="395" w:name="Tc_LmSWT3MTBUuoA2qRy0O0dA_24_0"/>
      <w:bookmarkStart w:id="396" w:name="Tc_Z2ofqV-kJkyboU56Rri4xA_23_0"/>
      <w:bookmarkStart w:id="397" w:name="Tc_ZObGDV2g1UGPrODtd8_XoA_22_0"/>
      <w:bookmarkStart w:id="398" w:name="Tc_nQj14iORREaploFvpIuyVw_21_0"/>
      <w:bookmarkStart w:id="399" w:name="Tc_DksCrRgT3EWYVFAtqxPfrw_20_0"/>
      <w:bookmarkStart w:id="400" w:name="Tc_yZOYVD103kqDmpjvW6JuYg_19_0"/>
      <w:bookmarkStart w:id="401" w:name="Tc_obPX4DWXwE-CbUzUrSHaOg_18_0"/>
      <w:bookmarkStart w:id="402" w:name="Tc_ypZOU4lSzUmRp_hY89a_Lg_17_0"/>
      <w:bookmarkStart w:id="403" w:name="Tc_6qVQqBpsp0WBQJWdG7YgDg_16_0"/>
      <w:bookmarkStart w:id="404" w:name="Tc_iPX4KbvZkk-RGT2hZDYDdA_15_0"/>
      <w:bookmarkStart w:id="405" w:name="Tc_ipefiyABjkuuh2u3FMXprw_14_0"/>
      <w:bookmarkStart w:id="406" w:name="Tc_Av6HGVUx5kGNDQryYH7HMg_13_0"/>
      <w:bookmarkStart w:id="407" w:name="Tc_V_ioMzWKl0ibnn-u_3Q7JQ_12_3"/>
      <w:bookmarkStart w:id="408" w:name="Tc_qgTTx2NaoE2MBlT6EbLXTQ_12_0"/>
      <w:bookmarkStart w:id="409" w:name="Tc_Bl9ubs6ldEWnFa3daOrhfg_11_0"/>
      <w:bookmarkStart w:id="410" w:name="Tc__yJZBWDmV0ehiGjphFEPcw_10_0"/>
      <w:bookmarkStart w:id="411" w:name="Tc_MHsIXDbaKEKAsGtw5iQXDw_9_0"/>
      <w:bookmarkStart w:id="412" w:name="Tc_2agIyn5C-UGC7tHBSX0ghQ_8_0"/>
      <w:bookmarkStart w:id="413" w:name="Tc_LPJMKtOjxkqxZpiG20Rlkg_7_0"/>
      <w:bookmarkStart w:id="414" w:name="Tc_j3r0Efz6DEOQxD8RGGZc-g_6_0"/>
      <w:bookmarkStart w:id="415" w:name="Tc_rXsHGsZPxE6ctUkikJXw_A_5_5"/>
      <w:bookmarkStart w:id="416" w:name="Tc_o1Z5dSAX9UmuZ5aGe9N3Hw_5_2"/>
      <w:bookmarkStart w:id="417" w:name="Tc_HaDyZmb8YUuQmzaGLdhF_A_5_0"/>
      <w:bookmarkStart w:id="418" w:name="Tc_VS2AHSdXVUeQ00WLutuv_Q_4_0"/>
      <w:bookmarkStart w:id="419" w:name="Tc_65xSdGyhXE6TxYEPhM-erw_3_5"/>
      <w:bookmarkStart w:id="420" w:name="Tc__eByirmBcEesrvpF0jhV6Q_3_2"/>
      <w:bookmarkStart w:id="421" w:name="Tc_hGigxJYdxEW7p603jmX7MQ_2_2"/>
      <w:bookmarkStart w:id="422" w:name="_89fc5de3_f81b_4da5_95e4_97e486411872"/>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tbl>
      <w:tblPr>
        <w:tblW w:w="10205" w:type="dxa"/>
        <w:jc w:val="left"/>
        <w:tblInd w:w="0" w:type="dxa"/>
        <w:tblLayout w:type="fixed"/>
        <w:tblCellMar>
          <w:top w:w="0" w:type="dxa"/>
          <w:left w:w="0" w:type="dxa"/>
          <w:bottom w:w="0" w:type="dxa"/>
          <w:right w:w="0" w:type="dxa"/>
        </w:tblCellMar>
      </w:tblPr>
      <w:tblGrid>
        <w:gridCol w:w="7465"/>
        <w:gridCol w:w="326"/>
        <w:gridCol w:w="326"/>
        <w:gridCol w:w="805"/>
        <w:gridCol w:w="326"/>
        <w:gridCol w:w="196"/>
        <w:gridCol w:w="761"/>
      </w:tblGrid>
      <w:tr>
        <w:trPr/>
        <w:tc>
          <w:tcPr>
            <w:tcW w:w="7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40275" cy="175260"/>
                      <wp:effectExtent l="0" t="0" r="0" b="0"/>
                      <wp:wrapNone/>
                      <wp:docPr id="40" name="Frame40"/>
                      <a:graphic xmlns:a="http://schemas.openxmlformats.org/drawingml/2006/main">
                        <a:graphicData uri="http://schemas.microsoft.com/office/word/2010/wordprocessingShape">
                          <wps:wsp>
                            <wps:cNvSpPr txBox="1"/>
                            <wps:spPr>
                              <a:xfrm>
                                <a:off x="0" y="0"/>
                                <a:ext cx="474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11175" cy="175260"/>
                      <wp:effectExtent l="0" t="0" r="0" b="0"/>
                      <wp:wrapNone/>
                      <wp:docPr id="43" name="Frame43"/>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3235" cy="175260"/>
                      <wp:effectExtent l="0" t="0" r="0" b="0"/>
                      <wp:wrapNone/>
                      <wp:docPr id="46" name="Frame4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center"/>
              <w:rPr/>
            </w:pPr>
            <w:r>
              <w:rPr/>
              <w:t>​</w:t>
            </w:r>
          </w:p>
        </w:tc>
      </w:tr>
      <w:tr>
        <w:trPr/>
        <w:tc>
          <w:tcPr>
            <w:tcW w:w="7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7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  </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(33,194)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6,278</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(1,776)</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final payment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(26,656)</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  </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(7,538)</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(438,518)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(75,995)</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76,500</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(369,732)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(7,033)</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(6,199)</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At-The-Market (ATM) Offerings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346,719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26,833</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Quanta private placement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proceeds from tax withholdings on sell-to-cover equity award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389,095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33,093</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20,684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earn-out liabilities to additional paid-in capital for 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derivative liabilities to additional paid-in capital due to exercise of Public Warrants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r>
      <w:tr>
        <w:trPr/>
        <w:tc>
          <w:tcPr>
            <w:tcW w:w="7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offering costs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7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gain/(loss) on short term investments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3" w:name="_8bc08b51_4913_4430_af8a_dcfd70e5676c"/>
      <w:bookmarkEnd w:id="423"/>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424" w:name="NOTESTOTHEUNAUDITEDINTERIMCONDENSEDCONSO"/>
      <w:bookmarkEnd w:id="424"/>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center"/>
        <w:rPr/>
      </w:pPr>
      <w:r>
        <w:rPr/>
        <w:t>​</w:t>
      </w:r>
    </w:p>
    <w:tbl>
      <w:tblPr>
        <w:tblW w:w="2477" w:type="dxa"/>
        <w:jc w:val="left"/>
        <w:tblInd w:w="0" w:type="dxa"/>
        <w:tblLayout w:type="fixed"/>
        <w:tblCellMar>
          <w:top w:w="0" w:type="dxa"/>
          <w:left w:w="0" w:type="dxa"/>
          <w:bottom w:w="0" w:type="dxa"/>
          <w:right w:w="0" w:type="dxa"/>
        </w:tblCellMar>
      </w:tblPr>
      <w:tblGrid>
        <w:gridCol w:w="331"/>
        <w:gridCol w:w="2146"/>
      </w:tblGrid>
      <w:tr>
        <w:trPr/>
        <w:tc>
          <w:tcPr>
            <w:tcW w:w="331"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Certain warrants held by SNII became warrants to purchase shares of Common Stock, each entitling the holder to purchase one share of Common Stock at an exercise price of $11.50 per share, that trade on the Nasdaq Capital Market (the “Public Warrants”), while certain other warrants held by SNII became private placement warrants, each entitling the holder to purchase one share of Common Stock at an exercise price of $11.50 per share (the “Private Warrants”). The Company’s Common Stock and Public Warrants trade on the Nasdaq Capital Market under the ticker symbols “RGTI” and “RGTIW,” respectively. 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met liability classification subject to fair value adjustment measurements upon closing of the Business Combination (the “Closing”).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and six months ended June 30, 2025 are not necessarily indicative of the results to be expected for the year ending December 31, 2025 or for other interim periods or future years.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2024,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2024, which was filed with the SEC on March 7,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0"/>
        <w:ind w:left="0" w:right="0" w:firstLine="547"/>
        <w:jc w:val="both"/>
        <w:rPr/>
      </w:pPr>
      <w:r>
        <w:rPr/>
        <w:t> </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 xml:space="preserve">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it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condensed consolidated financial statements may not be comparable to companies that comply with the new or revised accounting standards as of public company effective dates.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On June 30, 2025, the last business day of the Company’s second fiscal quarter in 2025, the aggregate market value of the voting and non-voting common equity of the Company held by non-affiliates exceeded $700.0 million. Accordingly, under the current rules of the SEC, the Company will be deemed to be a “large accelerated filer” as of December 31, 2025. As such, the Company will no longer (i) qualify as an EGC under the rules of the SEC, (ii) be eligible to take advantage of the extended transition period for the adoption of new or revised accounting pronouncements available to an EGC beginning with the Company’s Annual Report on Form 10-K for the fiscal year ending December 31, 2025 and (iii) be exempt from providing an auditor’s attestation report on internal control over financial reporting pursuant to Section 404(b) of the Sarbanes-Oxley Act. In addition, under the current rules of the SEC, the Company will no longer be eligible to take advantage of the scaled disclosures available to smaller reporting companies beginning with its Quarterly Report on Form 10-Q for the first quarter of 2026.</w:t>
      </w:r>
    </w:p>
    <w:p>
      <w:pPr>
        <w:pStyle w:val="TextBody"/>
        <w:bidi w:val="0"/>
        <w:spacing w:before="0" w:after="24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2024, which was filed with the SEC on March 7, 2025.</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international trade policies including tariffs and export controls, national security interests, pandemics, political turmoil, natural catastrophes, warfare, and terrorist attacks in the United States or elsewhere, could negatively affect the Company’s business, including progress toward the development of quantum computing by increasing the cost of materials and components and our operating costs. 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June 2022, the Financial Standards Board (“FASB”) issued Accounting Standards Update (“ASU”) No. 2022-03- Fair Value Measurement (Topic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ASU 2022-03 was effective for the Company for annual periods beginning after December 15, 2024, and interim periods within those fiscal years, with early adoption permitted. The Company determined that the adoption of this standard did not have an impact on the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December 2023, the FASB issued ASU 2023-09, “Income Taxes - Improvements to Income Tax Disclosures” requiring enhancements and further transparency to certain income tax disclosures, most notably the tax rate reconciliation and income taxes paid. ASU 2023-09 is effective for the Company for annual periods beginning after December 15, 2024 on a prospective basis. Retrospective application is also permitted. The Company is still evaluating the impact of this pronouncement on the consolidated financial statements.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condensed consolidated financial statements.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May 2025, the FASB issued ASU 2025-04, “Compensation-Stock Compensation (Topic 718) and Revenue from Contracts with Customers (Topic 606): Clarifications to Share-Based Consideration Payable to a Customer,” which provides clarifying guidance on the accounting for share-based consideration payable to a customer. ASU 2025-04 is effective for the Company for annual periods beginning after December 31, 2026. Early adoption is permitted using either a full retrospective or modified retrospective transition method. The Company is still evaluating the impact of this pronouncement on the condensed consolidated financial statements.</w:t>
      </w:r>
    </w:p>
    <w:p>
      <w:pPr>
        <w:pStyle w:val="TextBody"/>
        <w:bidi w:val="0"/>
        <w:spacing w:before="0" w:after="240"/>
        <w:ind w:left="0" w:right="0" w:firstLine="540"/>
        <w:jc w:val="both"/>
        <w:rPr/>
      </w:pPr>
      <w:r>
        <w:rPr/>
        <w:t>​</w:t>
      </w:r>
    </w:p>
    <w:p>
      <w:pPr>
        <w:pStyle w:val="TextBody"/>
        <w:pBdr/>
        <w:bidi w:val="0"/>
        <w:spacing w:before="0" w:after="0"/>
        <w:ind w:left="0" w:right="0" w:hanging="90"/>
        <w:jc w:val="left"/>
        <w:rPr>
          <w:rFonts w:ascii="Times New Roman;Times;serif" w:hAnsi="Times New Roman;Times;serif"/>
          <w:sz w:val="20"/>
        </w:rPr>
      </w:pPr>
      <w:bookmarkStart w:id="425" w:name="Tc_vYjqcbO-1UOBuW2FM352KQ_16_16"/>
      <w:bookmarkStart w:id="426" w:name="Tc_Jw7EYHpZnEuWH6QQkuuWmw_16_13"/>
      <w:bookmarkStart w:id="427" w:name="Tc_OOUsMufdwE-dXaw3VL-3tw_16_10"/>
      <w:bookmarkStart w:id="428" w:name="Tc_AY2qDoyISUC9vUTu0VrRSw_16_7"/>
      <w:bookmarkStart w:id="429" w:name="Tc_sfonJcYDvESnRDFYfso5GQ_16_4"/>
      <w:bookmarkStart w:id="430" w:name="Tc_82LUvP0u-0uT-vMuXtR18A_16_0"/>
      <w:bookmarkStart w:id="431" w:name="Tc_Xzfq_GgV4E-O8icli0WfVQ_15_11"/>
      <w:bookmarkStart w:id="432" w:name="Tc_35pNOZWupUm5cZ1tIj7kfw_15_8"/>
      <w:bookmarkStart w:id="433" w:name="Tc_pWxadnyDikq0pTxJouDsDA_15_5"/>
      <w:bookmarkStart w:id="434" w:name="Tc_XXUbKm7DkUC-dLG3AtfTUQ_15_2"/>
      <w:bookmarkStart w:id="435" w:name="Tc_YqRbf5Go40mktDKttXJdjw_15_0"/>
      <w:bookmarkStart w:id="436" w:name="Tc_wOUMj49JQUSsws5uWp3IvQ_14_14"/>
      <w:bookmarkStart w:id="437" w:name="Tc_i8_pd2Ejj0Kl13ZGdoQOFg_14_8"/>
      <w:bookmarkStart w:id="438" w:name="Tc_bXXWR4Kpi0q7q6eJp9YEsg_14_5"/>
      <w:bookmarkStart w:id="439" w:name="Tc_DhVq0lUISk6dI5OSti5noA_14_2"/>
      <w:bookmarkStart w:id="440" w:name="Tc_q2Umf41g9U69i8BXoHPsdw_14_0"/>
      <w:bookmarkStart w:id="441" w:name="Tc__fS-FhH9rEKce3fzD_EgEg_13_14"/>
      <w:bookmarkStart w:id="442" w:name="Tc_KemFveHdHUaiwYVmTVM4dg_13_8"/>
      <w:bookmarkStart w:id="443" w:name="Tc_exWcIs_n8kyhDfyjIihk9w_13_5"/>
      <w:bookmarkStart w:id="444" w:name="Tc_6DzW3cgM30mpuV4s7oaMbA_13_2"/>
      <w:bookmarkStart w:id="445" w:name="Tc_Db3LL9Hy4EOR0QMRm6N1KQ_13_0"/>
      <w:bookmarkStart w:id="446" w:name="Tc_V5-lKOC4qUKXMwV4GbgNKg_12_14"/>
      <w:bookmarkStart w:id="447" w:name="Tc_rh7GBYwETU6f6YgrCvW0og_12_11"/>
      <w:bookmarkStart w:id="448" w:name="Tc_SG6w2gz_9U-fXcsqVdik4Q_12_5"/>
      <w:bookmarkStart w:id="449" w:name="Tc_Q3uYzHGmZU6zm1LRQCpgSw_12_2"/>
      <w:bookmarkStart w:id="450" w:name="Tc_rY4P750npEGznw9KAX9rlg_12_0"/>
      <w:bookmarkStart w:id="451" w:name="Tc_5nRK6o1qW0OYbRbN9viLRA_11_14"/>
      <w:bookmarkStart w:id="452" w:name="Tc_8oasBoe5o0uDVRWr7axT3g_11_11"/>
      <w:bookmarkStart w:id="453" w:name="Tc_nBdLlD6gTUCKfO3sz1SQCA_11_5"/>
      <w:bookmarkStart w:id="454" w:name="Tc_Ie8bYXTJqUCMoDrt7PId6Q_11_2"/>
      <w:bookmarkStart w:id="455" w:name="Tc_Awc7NDvEWE2wFUqJIyRoLg_11_0"/>
      <w:bookmarkStart w:id="456" w:name="Tc_POOK35LPEEGRR9nBVZ9q1w_10_14"/>
      <w:bookmarkStart w:id="457" w:name="Tc_l_lDE1bWIES0FmwLa0RZog_10_11"/>
      <w:bookmarkStart w:id="458" w:name="Tc_HRcktMCK3E-EN2Cd3C_kxg_10_0"/>
      <w:bookmarkStart w:id="459" w:name="Tc_k20QT-LZJEytjOtdUB_Aag_9_14"/>
      <w:bookmarkStart w:id="460" w:name="Tc_GVmXau7UsUK6t_MwpamVVg_9_11"/>
      <w:bookmarkStart w:id="461" w:name="Tc_fArTzF9xHkyiuJg8R47vBg_9_5"/>
      <w:bookmarkStart w:id="462" w:name="Tc_nCo0bGCnhUe2wbXVM-I4zA_9_0"/>
      <w:bookmarkStart w:id="463" w:name="Tc_jWB6g_yQ60eQsXTiSL5_rQ_8_17"/>
      <w:bookmarkStart w:id="464" w:name="Tc_vBoyGQR2v0egsXgsTjXB-A_8_14"/>
      <w:bookmarkStart w:id="465" w:name="Tc_DDb1OeW7WEuF7WFRCCOOfg_8_11"/>
      <w:bookmarkStart w:id="466" w:name="Tc_-M1U7hKzmUa5FbluQmo0xQ_8_8"/>
      <w:bookmarkStart w:id="467" w:name="Tc_5C5jnQ9RAUaWggU0C3kstw_8_5"/>
      <w:bookmarkStart w:id="468" w:name="Tc_f_XtCiJswkKOYsa-skAehA_8_0"/>
      <w:bookmarkStart w:id="469" w:name="Tc_JjabdsyYlUi55oZi1WWQPw_7_14"/>
      <w:bookmarkStart w:id="470" w:name="Tc_Cx2yjoqGT0ajumhf8SY4NQ_7_11"/>
      <w:bookmarkStart w:id="471" w:name="Tc_Le-GprGanUi06WPEplzFOQ_7_5"/>
      <w:bookmarkStart w:id="472" w:name="Tc_5oDBioqasUygCHD6volJLg_7_0"/>
      <w:bookmarkStart w:id="473" w:name="Tc_ajOH65JHqUub1Izpjny1Ww_6_14"/>
      <w:bookmarkStart w:id="474" w:name="Tc_d0IrI0r8lEmLkwtKuKapuA_6_11"/>
      <w:bookmarkStart w:id="475" w:name="Tc_icKpnc1TYUeCnUjhEJ8Rng_6_5"/>
      <w:bookmarkStart w:id="476" w:name="Tc_m84NL-vvbEGdi2w36UUk2w_6_0"/>
      <w:bookmarkStart w:id="477" w:name="Tc__qwWCbQ9vUm9Z0xRrl5SYA_5_16"/>
      <w:bookmarkStart w:id="478" w:name="Tc_kTMXtkY2iECcpuZCqFmMyg_5_13"/>
      <w:bookmarkStart w:id="479" w:name="Tc_Ja9Ou8W8f0aDAMsU4whcDg_5_10"/>
      <w:bookmarkStart w:id="480" w:name="Tc_hjQRBN1PDEefNKQ8Cvj5oQ_5_7"/>
      <w:bookmarkStart w:id="481" w:name="Tc_3JpdrWTTXU6Xe-M8MZHuYQ_5_4"/>
      <w:bookmarkStart w:id="482" w:name="Tc_aZedKN-FjESMck8OARssow_5_0"/>
      <w:bookmarkStart w:id="483" w:name="Tc_P9AoucQtvUqjr6KwMShaRQ_4_17"/>
      <w:bookmarkStart w:id="484" w:name="Tc_Izl-4ANGIU2ziiySD3yisQ_4_14"/>
      <w:bookmarkStart w:id="485" w:name="Tc_UAcFlyIKjEqTF0-VtC9wlw_4_11"/>
      <w:bookmarkStart w:id="486" w:name="Tc_Ll2vDQTUpUSbvdVYqP7nFA_4_8"/>
      <w:bookmarkStart w:id="487" w:name="Tc_XW9yvVdV9U6fWddewNFvOg_4_4"/>
      <w:bookmarkStart w:id="488" w:name="Tc_HeokO3HBS0OFiF_3iAIdSQ_4_2"/>
      <w:bookmarkStart w:id="489" w:name="Tc_fT2gYv-zCEKUFVxDeIdkZA_3_17"/>
      <w:bookmarkStart w:id="490" w:name="Tc__gpJ2on2Ekq8ashLTdqMYw_3_14"/>
      <w:bookmarkStart w:id="491" w:name="Tc_TgzOzfD5fk21dHKek9MGcg_3_11"/>
      <w:bookmarkStart w:id="492" w:name="Tc_ohQBah7l10SC6y4gh0DkVA_3_8"/>
      <w:bookmarkStart w:id="493" w:name="Tc_Ty7upNuY_kq7XpSoYVIvyA_3_2"/>
      <w:bookmarkStart w:id="494" w:name="Tc_j_o2o0KGe0yYoiCNiln4Bw_2_17"/>
      <w:bookmarkStart w:id="495" w:name="Tc_Jb3KPkqcYUqrGYwHkrK4tg_2_11"/>
      <w:bookmarkStart w:id="496" w:name="Tc_OrANPbo3KEufgTu7wkqeuA_2_8"/>
      <w:bookmarkStart w:id="497" w:name="Tc_rmrxZVmcUk-_YwB0nvaf6g_1_11"/>
      <w:bookmarkStart w:id="498" w:name="_ad500b62_a949_45ec_8457_29c1b90ca47e"/>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 xml:space="preserve">Changes in Stockholders’ Equity </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2025 and 2024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9"/>
        <w:gridCol w:w="326"/>
        <w:gridCol w:w="781"/>
        <w:gridCol w:w="326"/>
        <w:gridCol w:w="335"/>
        <w:gridCol w:w="356"/>
        <w:gridCol w:w="326"/>
        <w:gridCol w:w="326"/>
        <w:gridCol w:w="931"/>
        <w:gridCol w:w="326"/>
        <w:gridCol w:w="211"/>
        <w:gridCol w:w="902"/>
        <w:gridCol w:w="314"/>
        <w:gridCol w:w="211"/>
        <w:gridCol w:w="846"/>
        <w:gridCol w:w="326"/>
        <w:gridCol w:w="326"/>
        <w:gridCol w:w="1087"/>
      </w:tblGrid>
      <w:tr>
        <w:trPr/>
        <w:tc>
          <w:tcPr>
            <w:tcW w:w="19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2725" cy="175260"/>
                      <wp:effectExtent l="0" t="0" r="0" b="0"/>
                      <wp:wrapNone/>
                      <wp:docPr id="50" name="Frame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6060" cy="175260"/>
                      <wp:effectExtent l="0" t="0" r="0" b="0"/>
                      <wp:wrapNone/>
                      <wp:docPr id="51" name="Frame5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1185" cy="175260"/>
                      <wp:effectExtent l="0" t="0" r="0" b="0"/>
                      <wp:wrapNone/>
                      <wp:docPr id="54" name="Frame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2770" cy="175260"/>
                      <wp:effectExtent l="0" t="0" r="0" b="0"/>
                      <wp:wrapNone/>
                      <wp:docPr id="57" name="Frame57"/>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9390" cy="175260"/>
                      <wp:effectExtent l="0" t="0" r="0" b="0"/>
                      <wp:wrapNone/>
                      <wp:docPr id="58" name="Frame58"/>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7210" cy="175260"/>
                      <wp:effectExtent l="0" t="0" r="0" b="0"/>
                      <wp:wrapNone/>
                      <wp:docPr id="60" name="Frame6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0245" cy="175260"/>
                      <wp:effectExtent l="0" t="0" r="0" b="0"/>
                      <wp:wrapNone/>
                      <wp:docPr id="63" name="Frame63"/>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center"/>
              <w:rPr/>
            </w:pPr>
            <w:r>
              <w:rPr/>
              <w:t>​</w:t>
            </w:r>
          </w:p>
        </w:tc>
      </w:tr>
      <w:tr>
        <w:trPr/>
        <w:tc>
          <w:tcPr>
            <w:tcW w:w="19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11" w:type="dxa"/>
            <w:tcBorders/>
            <w:vAlign w:val="center"/>
          </w:tcPr>
          <w:p>
            <w:pPr>
              <w:pStyle w:val="TableContents"/>
              <w:bidi w:val="0"/>
              <w:spacing w:before="0" w:after="0"/>
              <w:ind w:left="0" w:right="0" w:hanging="0"/>
              <w:jc w:val="center"/>
              <w:rPr/>
            </w:pPr>
            <w:r>
              <w:rPr/>
              <w:t>​</w:t>
            </w:r>
          </w:p>
        </w:tc>
        <w:tc>
          <w:tcPr>
            <w:tcW w:w="11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center"/>
              <w:rPr/>
            </w:pPr>
            <w:r>
              <w:rPr/>
              <w:t>​</w:t>
            </w:r>
          </w:p>
        </w:tc>
        <w:tc>
          <w:tcPr>
            <w:tcW w:w="10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286,975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(512,128)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207,128</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19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 ("RSUs")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r>
      <w:tr>
        <w:trPr/>
        <w:tc>
          <w:tcPr>
            <w:tcW w:w="19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19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offering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r>
      <w:tr>
        <w:trPr/>
        <w:tc>
          <w:tcPr>
            <w:tcW w:w="19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9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r>
      <w:tr>
        <w:trPr/>
        <w:tc>
          <w:tcPr>
            <w:tcW w:w="1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323,762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4"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553,263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499" w:name="Tc_72P3IGZPAEWMU_Igmdtbow_15_16"/>
      <w:bookmarkStart w:id="500" w:name="Tc_WWxAmQKbYk6TMpoGI3fWNw_15_13"/>
      <w:bookmarkStart w:id="501" w:name="Tc_pL0GXiJbQk6voOmpQr7Gsw_15_10"/>
      <w:bookmarkStart w:id="502" w:name="Tc_gngxwWYMn0C8ra8EZ2ESmQ_15_7"/>
      <w:bookmarkStart w:id="503" w:name="Tc_wuTMS-9lKECe3D-Yf28Q-g_15_4"/>
      <w:bookmarkStart w:id="504" w:name="Tc_2eq6XlF1UEmkvGGOPuT0yA_15_0"/>
      <w:bookmarkStart w:id="505" w:name="Tc_JS46UmvXt0KxORtHhvNxww_14_11"/>
      <w:bookmarkStart w:id="506" w:name="Tc_fcyDSThRvU6ruqo6LYj-SA_14_8"/>
      <w:bookmarkStart w:id="507" w:name="Tc_pA4e4R3tkky-N2g-CliteA_14_5"/>
      <w:bookmarkStart w:id="508" w:name="Tc_TT3A-4n3PU-aBe2zoaXpGg_14_2"/>
      <w:bookmarkStart w:id="509" w:name="Tc_X1EqaHoNkE6le6xOeK49Ng_14_0"/>
      <w:bookmarkStart w:id="510" w:name="Tc_H9-ics5iZ0aXi9yoZva3bA_13_14"/>
      <w:bookmarkStart w:id="511" w:name="Tc_ewanXXku6kmxGaxNxUVETQ_13_8"/>
      <w:bookmarkStart w:id="512" w:name="Tc_Rmv9Efe2eEaXKhOCxl6bsg_13_5"/>
      <w:bookmarkStart w:id="513" w:name="Tc_3sy1o32Gc0iLDk8Zn4lTlg_13_2"/>
      <w:bookmarkStart w:id="514" w:name="Tc_PtaTkZRu7UatVkHQwtIDkQ_13_0"/>
      <w:bookmarkStart w:id="515" w:name="Tc_1Euj_tftlEWiL0WyeHYLdQ_12_14"/>
      <w:bookmarkStart w:id="516" w:name="Tc_nRha8Jfbn0Gn-1rtWhpVqg_12_8"/>
      <w:bookmarkStart w:id="517" w:name="Tc_r2HIqsaDiUqJ9-n3oyw2dw_12_5"/>
      <w:bookmarkStart w:id="518" w:name="Tc_yv6zdE47SEm154d4krIL3Q_12_2"/>
      <w:bookmarkStart w:id="519" w:name="Tc_97-bkJ2nhEa2CMq9GCFyVg_12_0"/>
      <w:bookmarkStart w:id="520" w:name="Tc_2nY9oOV6jU2i8cgPIhlG_A_11_14"/>
      <w:bookmarkStart w:id="521" w:name="Tc_GUIAQdp7O0eI_sg6UxjPww_11_11"/>
      <w:bookmarkStart w:id="522" w:name="Tc_kByIt1ogcUOSH8yRdPwWLg_11_5"/>
      <w:bookmarkStart w:id="523" w:name="Tc_FprVagAxV0iZZLI_B6C71A_11_2"/>
      <w:bookmarkStart w:id="524" w:name="Tc_SxGPTGimtkCi1cgd58V7JA_11_0"/>
      <w:bookmarkStart w:id="525" w:name="Tc_CkeZ_7shwk6Z7pQoK4oWXQ_10_14"/>
      <w:bookmarkStart w:id="526" w:name="Tc_E51fTQzcBEa7kEd6vuCghw_10_11"/>
      <w:bookmarkStart w:id="527" w:name="Tc_6I8OzKZPmUKSBM-H5eRqvA_10_5"/>
      <w:bookmarkStart w:id="528" w:name="Tc_8tp0zV7tP0OY0ShveMuH3g_10_2"/>
      <w:bookmarkStart w:id="529" w:name="Tc_inG0ZGi3vEKIT-KoejgzWg_10_0"/>
      <w:bookmarkStart w:id="530" w:name="Tc_VGMXuzAC7EiXZPD-44z4fg_9_14"/>
      <w:bookmarkStart w:id="531" w:name="Tc_eXoP2N4g1ECBWIUMKe-zrQ_9_11"/>
      <w:bookmarkStart w:id="532" w:name="Tc_RdowvgFsLEexXvnh9aBBcw_9_0"/>
      <w:bookmarkStart w:id="533" w:name="Tc_PsnG-jkAU0efj0hJHa7wfg_8_14"/>
      <w:bookmarkStart w:id="534" w:name="Tc_bw9EULkfW0qale-g_ReFUw_8_11"/>
      <w:bookmarkStart w:id="535" w:name="Tc_s4JBDHC_kk6Fm8vCI_5ACw_8_0"/>
      <w:bookmarkStart w:id="536" w:name="Tc_GfqoRA3AokSIKxTowFs21g_7_17"/>
      <w:bookmarkStart w:id="537" w:name="Tc_AWMifoYQKku_EPeADg_8jQ_7_14"/>
      <w:bookmarkStart w:id="538" w:name="Tc_UFdebTkeeEmTQ6N8cuZKLQ_7_11"/>
      <w:bookmarkStart w:id="539" w:name="Tc_Jau0dQ_AeEuzPZiJ1-ZHdA_7_8"/>
      <w:bookmarkStart w:id="540" w:name="Tc_vldGolMFLkavY0DbtGkX7Q_7_5"/>
      <w:bookmarkStart w:id="541" w:name="Tc_Rfpbc-AQQkO2I6Pm2z2GxQ_7_0"/>
      <w:bookmarkStart w:id="542" w:name="Tc_EPw-2-3e-kiPZpA2vWpHDQ_6_14"/>
      <w:bookmarkStart w:id="543" w:name="Tc_jyEgLLLYIUyVzHC9MKpKEw_6_11"/>
      <w:bookmarkStart w:id="544" w:name="Tc_eHAafDpEv0aVyod4P6mN9w_6_5"/>
      <w:bookmarkStart w:id="545" w:name="Tc_oKaU_PTHXUyNwhhGNPoLjQ_6_0"/>
      <w:bookmarkStart w:id="546" w:name="Tc_dixXOwfbA0OUUaQW8zbmqg_5_16"/>
      <w:bookmarkStart w:id="547" w:name="Tc_Y4awb7iVsUeS-p4NYSoOgw_5_13"/>
      <w:bookmarkStart w:id="548" w:name="Tc_bMpTBUrDW0-_YMSaRRRMOg_5_10"/>
      <w:bookmarkStart w:id="549" w:name="Tc_i3oPUVfnx0m6eTg-SSH-Hw_5_7"/>
      <w:bookmarkStart w:id="550" w:name="Tc_BK54zQS16E2Se9iXMiTz2g_5_4"/>
      <w:bookmarkStart w:id="551" w:name="Tc_4LEAHVItP0mAkHgtL1mZPw_5_0"/>
      <w:bookmarkStart w:id="552" w:name="Tc_ZMxezNVwq0-qYtBXQo7JfQ_4_16"/>
      <w:bookmarkStart w:id="553" w:name="Tc_gPoDRiYA6ki7FSphNbNOBw_4_13"/>
      <w:bookmarkStart w:id="554" w:name="Tc_J_RaLjrkhk6XPb5pS6cyTw_4_10"/>
      <w:bookmarkStart w:id="555" w:name="Tc_l7AaS--4MUKIW0IKoe475Q_4_7"/>
      <w:bookmarkStart w:id="556" w:name="Tc_6EDOxelg0UGTN1uASaYt1g_4_4"/>
      <w:bookmarkStart w:id="557" w:name="Tc_IYmlDtk670WjoMptGL7TEQ_4_2"/>
      <w:bookmarkStart w:id="558" w:name="Tc_FS0vjjcoT0KFi53Z7VHgog_3_16"/>
      <w:bookmarkStart w:id="559" w:name="Tc_R8BzMZcW-kahetLAFvDqKA_3_13"/>
      <w:bookmarkStart w:id="560" w:name="Tc_ve82EzPc3EigWyKrYDMY8g_3_10"/>
      <w:bookmarkStart w:id="561" w:name="Tc_Syrr6U_mfUi3MD8jvkWqXA_3_7"/>
      <w:bookmarkStart w:id="562" w:name="Tc_a8aGJGyLqkORRfK0aEQyRQ_3_2"/>
      <w:bookmarkStart w:id="563" w:name="Tc_qFRqjZXyVEC1PLfRGujPMQ_2_16"/>
      <w:bookmarkStart w:id="564" w:name="Tc_AXqhyAWt-kOxubglXH1YqQ_2_10"/>
      <w:bookmarkStart w:id="565" w:name="Tc_scC4frEIWUGFgo9PgEps2g_2_7"/>
      <w:bookmarkStart w:id="566" w:name="Tc_pE8mgv34q067Vj42NSpKpg_1_10"/>
      <w:bookmarkStart w:id="567" w:name="_6007a34d_8081_4b8c_96f4_c6da09326556"/>
      <w:bookmarkStart w:id="568" w:name="Tc_6cU38HqEkUSaluRDu_cC2A_14_16"/>
      <w:bookmarkStart w:id="569" w:name="Tc_g-rfc1a-Z0Ot7YnMn0zKuQ_14_13"/>
      <w:bookmarkStart w:id="570" w:name="Tc_AKwXM_yl_U-mJysbDL1azQ_14_10"/>
      <w:bookmarkStart w:id="571" w:name="Tc_Mie8iq1WVkiGjvYpvb_EKQ_14_7"/>
      <w:bookmarkStart w:id="572" w:name="Tc_xQI9s7_Y1E6CmsCyNHRbFQ_14_4"/>
      <w:bookmarkStart w:id="573" w:name="Tc_PcBLx7H2NU2Pjp0eJ_ctFA_14_0"/>
      <w:bookmarkStart w:id="574" w:name="Tc_crswkmp49Umo7cf3VwNgkg_13_11"/>
      <w:bookmarkStart w:id="575" w:name="Tc_2Z_z2xFjA0Oin-0ocEbHJA_13_8"/>
      <w:bookmarkStart w:id="576" w:name="Tc_px2Rwk4Gx0CucD6YHXfBNg_13_5"/>
      <w:bookmarkStart w:id="577" w:name="Tc_Dhs89tirDkS4OG2meopzYw_13_2"/>
      <w:bookmarkStart w:id="578" w:name="Tc_Drcl8CE1ZEqM8DvFvv3bKg_13_0"/>
      <w:bookmarkStart w:id="579" w:name="Tc_qXmEQgU4xESOUyN9iMFtwg_12_14"/>
      <w:bookmarkStart w:id="580" w:name="Tc_jLlK9hU15UyW3aRCeWTSaw_12_8"/>
      <w:bookmarkStart w:id="581" w:name="Tc_4DPGkXI2w0ip5h2sweIM3w_12_5"/>
      <w:bookmarkStart w:id="582" w:name="Tc_KFGa1hZES0WsvL-6sx6_4w_12_2"/>
      <w:bookmarkStart w:id="583" w:name="Tc_cNFegqJ3xU61685FnIqbJw_12_0"/>
      <w:bookmarkStart w:id="584" w:name="Tc_yZ-uqfYFQkCp5u3DO4apoQ_11_14"/>
      <w:bookmarkStart w:id="585" w:name="Tc_fG5EPO9KQ0GTMpLf4a2q8w_11_8"/>
      <w:bookmarkStart w:id="586" w:name="Tc_JHak2dvlpUKUXS-ku0mMYg_11_5"/>
      <w:bookmarkStart w:id="587" w:name="Tc_Rri54Q-tDky-Mz5k3d4XYw_11_2"/>
      <w:bookmarkStart w:id="588" w:name="Tc_vevNNNU7vEeip5o60U_EXA_11_0"/>
      <w:bookmarkStart w:id="589" w:name="Tc_Ua0_m7T1x0uqFxmeY8FJPQ_10_14"/>
      <w:bookmarkStart w:id="590" w:name="Tc_ZzMb6ldejEOhPNxkEaX_xw_10_11"/>
      <w:bookmarkStart w:id="591" w:name="Tc_r9fPPbOsdEOTy-QfybYGXA_10_5"/>
      <w:bookmarkStart w:id="592" w:name="Tc_IhjxM4JKrEyz9TSiy8YeYg_10_2"/>
      <w:bookmarkStart w:id="593" w:name="Tc_SqnDDZPSMUqB8KzsjnFhgg_10_0"/>
      <w:bookmarkStart w:id="594" w:name="Tc_yVD3t-fxGkqajDzgyPnIhQ_9_14"/>
      <w:bookmarkStart w:id="595" w:name="Tc_sApyBGT1QESmr2qS61ut8g_9_11"/>
      <w:bookmarkStart w:id="596" w:name="Tc_idbXAHp4nk2bh5kFi4Rj3g_9_5"/>
      <w:bookmarkStart w:id="597" w:name="Tc_dqX4zb2HnEWycLF00pl5Tw_9_2"/>
      <w:bookmarkStart w:id="598" w:name="Tc_TW1_5uAbqUGJfjMNislCWw_9_0"/>
      <w:bookmarkStart w:id="599" w:name="Tc_fknF-C0HREqN_-Etr8oWTw_8_14"/>
      <w:bookmarkStart w:id="600" w:name="Tc_ZbHyQ6Fwvk-8QbuDbo1KnQ_8_11"/>
      <w:bookmarkStart w:id="601" w:name="Tc_HCjbvTnKcE2FGrejOB3Uow_8_0"/>
      <w:bookmarkStart w:id="602" w:name="Tc_8abHCcgoXEKrIL6uy0OrHA_7_17"/>
      <w:bookmarkStart w:id="603" w:name="Tc_EnhKzaiskku78zln3TIwYw_7_14"/>
      <w:bookmarkStart w:id="604" w:name="Tc_h11dCPmPsUC9ghoMT5aUgQ_7_11"/>
      <w:bookmarkStart w:id="605" w:name="Tc_wl_hZEVdekmidLN7SY0ynQ_7_8"/>
      <w:bookmarkStart w:id="606" w:name="Tc_5GFWt9iP1EenZ6SfMaicFw_7_5"/>
      <w:bookmarkStart w:id="607" w:name="Tc_fNpe4_MHukeG9PqrOQHUNw_7_0"/>
      <w:bookmarkStart w:id="608" w:name="Tc_Xdr4CCrBv0SYuqoMbMk5EA_6_14"/>
      <w:bookmarkStart w:id="609" w:name="Tc_KjSVkpS_okSwbNNOgVG9EA_6_11"/>
      <w:bookmarkStart w:id="610" w:name="Tc_Jg_Qsh-ouU6wktvRfWzCWg_6_5"/>
      <w:bookmarkStart w:id="611" w:name="Tc_yrt4PltVt0GO2FNuZDjI7w_6_0"/>
      <w:bookmarkStart w:id="612" w:name="Tc_C1jlmO7ZCU2qSO3mjS02Rg_5_16"/>
      <w:bookmarkStart w:id="613" w:name="Tc_5vGfpFEhYEK0ItTsetZ4xw_5_13"/>
      <w:bookmarkStart w:id="614" w:name="Tc_jmuS_9ExAE6FxGcm1IN0Tw_5_10"/>
      <w:bookmarkStart w:id="615" w:name="Tc_xDnbjxIjVEmG6ZanSJOxrw_5_7"/>
      <w:bookmarkStart w:id="616" w:name="Tc_SjdLaK9Pl0-7v_k-kec9Tg_5_4"/>
      <w:bookmarkStart w:id="617" w:name="Tc_ACDyiBdfA0Cyjx3t2FG9Ag_5_0"/>
      <w:bookmarkStart w:id="618" w:name="Tc_UpkE1MoLs0KPU3E1Zt5Ciw_4_16"/>
      <w:bookmarkStart w:id="619" w:name="Tc_dbuOeZI-CkaFJEiF8PfFDA_4_13"/>
      <w:bookmarkStart w:id="620" w:name="Tc_UzJZRAoNxUiwzQxPKeElQQ_4_10"/>
      <w:bookmarkStart w:id="621" w:name="Tc_txi4XGdy3EimThzF32M8qQ_4_7"/>
      <w:bookmarkStart w:id="622" w:name="Tc_40swqiH-qE2UC2iYkAD5ug_4_4"/>
      <w:bookmarkStart w:id="623" w:name="Tc_jDkHEZOD9kizj-t0ezZB3g_4_2"/>
      <w:bookmarkStart w:id="624" w:name="Tc_t1SJr4Ap6ECQ4MICQTmuAA_3_16"/>
      <w:bookmarkStart w:id="625" w:name="Tc_jS5_hJXciEq4BJ6FstHmbA_3_13"/>
      <w:bookmarkStart w:id="626" w:name="Tc_zc-98SAjIkKQtFSpD5NBkw_3_10"/>
      <w:bookmarkStart w:id="627" w:name="Tc_L4BBKeYIFEKg-bwKNQ_qYQ_3_7"/>
      <w:bookmarkStart w:id="628" w:name="Tc_5MTAp3FGmkO4LoWVwD5ewg_3_2"/>
      <w:bookmarkStart w:id="629" w:name="Tc_XDSaQhTTMEeei_chz6HBLw_2_16"/>
      <w:bookmarkStart w:id="630" w:name="Tc_ATSJEbUPi0OORcFMNJB_UA_2_10"/>
      <w:bookmarkStart w:id="631" w:name="Tc_XbRsxAT91Ue2KWCOTPhBZQ_2_7"/>
      <w:bookmarkStart w:id="632" w:name="Tc_GK-uoBB6HkqBZo07jHoahA_1_10"/>
      <w:bookmarkStart w:id="633" w:name="_f3ae4884_7dcc_4693_8ff0_4da3591f5090"/>
      <w:bookmarkStart w:id="634" w:name="Tc_O65wdxQpe0inN3eQWTlZEw_17_16"/>
      <w:bookmarkStart w:id="635" w:name="Tc_7U9_WQETc0mZ4s3GTjeKxw_17_13"/>
      <w:bookmarkStart w:id="636" w:name="Tc_3rLlwqJ07k2ssTVv5-A0kw_17_10"/>
      <w:bookmarkStart w:id="637" w:name="Tc_9W4eqgXgrka6bO-Gb1Y04w_17_7"/>
      <w:bookmarkStart w:id="638" w:name="Tc_datHgayHpkCpho443m8ExA_17_4"/>
      <w:bookmarkStart w:id="639" w:name="Tc_auIE9z_fJEGLYXp5eQlbwA_17_0"/>
      <w:bookmarkStart w:id="640" w:name="Tc_6csZRIWIn0qoN9khpJpzXA_16_11"/>
      <w:bookmarkStart w:id="641" w:name="Tc_MhbtmzqxiUCElryrwc6wCw_16_8"/>
      <w:bookmarkStart w:id="642" w:name="Tc_H0UBIyBB-kapfipKAHN8nQ_16_5"/>
      <w:bookmarkStart w:id="643" w:name="Tc_Tna0mGKrO0-WwpDhx4xN0g_16_2"/>
      <w:bookmarkStart w:id="644" w:name="Tc_QITbaDjS80SV3_U9tTAFdg_16_0"/>
      <w:bookmarkStart w:id="645" w:name="Tc_EC0KiVtQSk-7zL07CsqmVA_15_14"/>
      <w:bookmarkStart w:id="646" w:name="Tc_uIG5t7dZEEy0V1gzZoAOQg_15_8"/>
      <w:bookmarkStart w:id="647" w:name="Tc_QTQL2GSkZUe9IG8bv8HOmQ_15_5"/>
      <w:bookmarkStart w:id="648" w:name="Tc_cIcIXFnueEChuJuvyJLZKw_15_2"/>
      <w:bookmarkStart w:id="649" w:name="Tc_E-WDuEG8i069V5eK110xQA_15_0"/>
      <w:bookmarkStart w:id="650" w:name="Tc_fUJOM0_N4kWuIGwaBSk4Tg_14_14"/>
      <w:bookmarkStart w:id="651" w:name="Tc_Id6Y0-I_A0Ox0x9ASSyeTA_14_8"/>
      <w:bookmarkStart w:id="652" w:name="Tc_IO1FdZSL906YOw1OeOxqeA_14_5"/>
      <w:bookmarkStart w:id="653" w:name="Tc_RgCsi4UoB0abjMbKIaCElg_14_2"/>
      <w:bookmarkStart w:id="654" w:name="Tc_ASZiZTRQz0SLepqCGhgarQ_14_0"/>
      <w:bookmarkStart w:id="655" w:name="Tc_CIqV7Uy04kmtR2zahOAwmg_13_14"/>
      <w:bookmarkStart w:id="656" w:name="Tc_HaG634UkB0WUc0O8u3U--Q_13_11"/>
      <w:bookmarkStart w:id="657" w:name="Tc_Yq5dSiHubEWKb_n9RwPIrA_13_5"/>
      <w:bookmarkStart w:id="658" w:name="Tc_6Mc5vUrir0io5omJO0LyfQ_13_2"/>
      <w:bookmarkStart w:id="659" w:name="Tc_XLIK1_BLLUSkDRYrbg2ehA_13_0"/>
      <w:bookmarkStart w:id="660" w:name="Tc_MJDaV30ndkyLgOMKhdHK4w_12_14"/>
      <w:bookmarkStart w:id="661" w:name="Tc_zZboHv6rOkOtZW6LBidq2w_12_11"/>
      <w:bookmarkStart w:id="662" w:name="Tc_d-xbTDb4Skug94P4FSXALQ_12_5"/>
      <w:bookmarkStart w:id="663" w:name="Tc_cp59zzUdxkyJGQhaNj8PMQ_12_2"/>
      <w:bookmarkStart w:id="664" w:name="Tc_-QI2hrmRNEeaJdYWbqqjLQ_12_0"/>
      <w:bookmarkStart w:id="665" w:name="Tc_k8ibSUFRH0665Ov_Ogz6dg_11_14"/>
      <w:bookmarkStart w:id="666" w:name="Tc_u8gHzLve9UCBdaucsBBK1Q_11_11"/>
      <w:bookmarkStart w:id="667" w:name="Tc_Wri2NhIDMEKY01kyehh4PQ_11_5"/>
      <w:bookmarkStart w:id="668" w:name="Tc_-BVSN80jRkeaJokVCU4Eaw_11_2"/>
      <w:bookmarkStart w:id="669" w:name="Tc_A7LuOSG2pEqPW_46e2ep7Q_11_0"/>
      <w:bookmarkStart w:id="670" w:name="Tc_KjjmmonqS06tKn8PSXW0aA_10_14"/>
      <w:bookmarkStart w:id="671" w:name="Tc_kCqHL9allki4UkLL5Jf_tg_10_11"/>
      <w:bookmarkStart w:id="672" w:name="Tc_sKsTl1lkTESXi7RZrwR-YA_10_0"/>
      <w:bookmarkStart w:id="673" w:name="Tc_0khC8vctq0Ok5QbDtocNeA_9_14"/>
      <w:bookmarkStart w:id="674" w:name="Tc_cbcuq3-ToUupc1nezxX-DA_9_11"/>
      <w:bookmarkStart w:id="675" w:name="Tc_1Lj6mbEcqke-jDw9ybUerQ_9_5"/>
      <w:bookmarkStart w:id="676" w:name="Tc_D3K3x2Ynl02yEb9dasdEWA_9_0"/>
      <w:bookmarkStart w:id="677" w:name="Tc_vC4a8kdsnkycgjF9GkhoeA_8_17"/>
      <w:bookmarkStart w:id="678" w:name="Tc_BPpWoYN860KFMQomQny3BA_8_14"/>
      <w:bookmarkStart w:id="679" w:name="Tc_N520RlUt6kmsH5xHJk--ig_8_11"/>
      <w:bookmarkStart w:id="680" w:name="Tc_x-px-goG00-9eiMTjR6yhA_8_8"/>
      <w:bookmarkStart w:id="681" w:name="Tc_wWvRESfkgESrfv-5_kpDaA_8_5"/>
      <w:bookmarkStart w:id="682" w:name="Tc_Px9ohpo4iUuPpdGLlZ2vIQ_8_0"/>
      <w:bookmarkStart w:id="683" w:name="Tc_iZm59WSimUqLMI86bFIOow_7_14"/>
      <w:bookmarkStart w:id="684" w:name="Tc_IOF811ws8kuoAYpUyJVJ9Q_7_11"/>
      <w:bookmarkStart w:id="685" w:name="Tc_jWelUxfIC0qx5Rd6tS4p_w_7_5"/>
      <w:bookmarkStart w:id="686" w:name="Tc_XlCXv22cmEWYupGrwQB8gA_7_0"/>
      <w:bookmarkStart w:id="687" w:name="Tc_2rzrHNyEdkS7GPrUDjQ5oQ_6_14"/>
      <w:bookmarkStart w:id="688" w:name="Tc_Lqn95PMReEaXPZi0ei9crg_6_11"/>
      <w:bookmarkStart w:id="689" w:name="Tc_p1idSAt7xkGbwofnj5Lbqg_6_5"/>
      <w:bookmarkStart w:id="690" w:name="Tc_mrz_ZzbGLkCxYtQC8V6y2A_6_0"/>
      <w:bookmarkStart w:id="691" w:name="Tc_RvGMxmDto06n0cOGeSSu2Q_5_16"/>
      <w:bookmarkStart w:id="692" w:name="Tc_rhIsUmdMpkawJRUi4F4xGg_5_13"/>
      <w:bookmarkStart w:id="693" w:name="Tc_6vohVBeTsUyQGyHpVwLWeg_5_10"/>
      <w:bookmarkStart w:id="694" w:name="Tc_E7Rq6SpLw0qg23oj6fdvAA_5_7"/>
      <w:bookmarkStart w:id="695" w:name="Tc_94qdioNg7kWmyDuPM5qaNA_5_4"/>
      <w:bookmarkStart w:id="696" w:name="Tc_jw1RE5CWgUq-zR4QDFpRGA_5_0"/>
      <w:bookmarkStart w:id="697" w:name="Tc_rdvVrRS990uJ-zNV2XZzpg_4_16"/>
      <w:bookmarkStart w:id="698" w:name="Tc_4WvNxWgD6EKIgCnbIfMYHg_4_13"/>
      <w:bookmarkStart w:id="699" w:name="Tc_nyIgotDOX0mjTGXh9kBm8g_4_10"/>
      <w:bookmarkStart w:id="700" w:name="Tc_9orrCASjIUGd7YwFeczUJQ_4_7"/>
      <w:bookmarkStart w:id="701" w:name="Tc_HkS-k6TraEyQD-uqRTk6gQ_4_4"/>
      <w:bookmarkStart w:id="702" w:name="Tc_d96erxqM3EiSxL_GS9qOaQ_4_2"/>
      <w:bookmarkStart w:id="703" w:name="Tc_B9A7PTy4KkmK650onFJzkQ_3_16"/>
      <w:bookmarkStart w:id="704" w:name="Tc_9DkFgEGLEke1fEj1qilfcQ_3_13"/>
      <w:bookmarkStart w:id="705" w:name="Tc_Agec89B6PkK0GdN5CnM0Og_3_10"/>
      <w:bookmarkStart w:id="706" w:name="Tc_ehXGtn81BEy7eBWInX5Q9Q_3_7"/>
      <w:bookmarkStart w:id="707" w:name="Tc_VXjLMj4tMU-3L7xwBimGSA_3_2"/>
      <w:bookmarkStart w:id="708" w:name="Tc_toqR9xj9uE-0iRQxmeLK1Q_2_16"/>
      <w:bookmarkStart w:id="709" w:name="Tc_gYsfwmi5ak6zg4jr95BN3Q_2_10"/>
      <w:bookmarkStart w:id="710" w:name="Tc_3hAPxMpaBkqsTOZweY9Sdw_2_7"/>
      <w:bookmarkStart w:id="711" w:name="Tc_TD_HKD1U1EKBtFlV2xcfoA_1_10"/>
      <w:bookmarkStart w:id="712" w:name="_e28cfd39_e158_4291_932c_106867f0025a"/>
      <w:bookmarkStart w:id="713" w:name="Tc_72P3IGZPAEWMU_Igmdtbow_15_16"/>
      <w:bookmarkStart w:id="714" w:name="Tc_WWxAmQKbYk6TMpoGI3fWNw_15_13"/>
      <w:bookmarkStart w:id="715" w:name="Tc_pL0GXiJbQk6voOmpQr7Gsw_15_10"/>
      <w:bookmarkStart w:id="716" w:name="Tc_gngxwWYMn0C8ra8EZ2ESmQ_15_7"/>
      <w:bookmarkStart w:id="717" w:name="Tc_wuTMS-9lKECe3D-Yf28Q-g_15_4"/>
      <w:bookmarkStart w:id="718" w:name="Tc_2eq6XlF1UEmkvGGOPuT0yA_15_0"/>
      <w:bookmarkStart w:id="719" w:name="Tc_JS46UmvXt0KxORtHhvNxww_14_11"/>
      <w:bookmarkStart w:id="720" w:name="Tc_fcyDSThRvU6ruqo6LYj-SA_14_8"/>
      <w:bookmarkStart w:id="721" w:name="Tc_pA4e4R3tkky-N2g-CliteA_14_5"/>
      <w:bookmarkStart w:id="722" w:name="Tc_TT3A-4n3PU-aBe2zoaXpGg_14_2"/>
      <w:bookmarkStart w:id="723" w:name="Tc_X1EqaHoNkE6le6xOeK49Ng_14_0"/>
      <w:bookmarkStart w:id="724" w:name="Tc_H9-ics5iZ0aXi9yoZva3bA_13_14"/>
      <w:bookmarkStart w:id="725" w:name="Tc_ewanXXku6kmxGaxNxUVETQ_13_8"/>
      <w:bookmarkStart w:id="726" w:name="Tc_Rmv9Efe2eEaXKhOCxl6bsg_13_5"/>
      <w:bookmarkStart w:id="727" w:name="Tc_3sy1o32Gc0iLDk8Zn4lTlg_13_2"/>
      <w:bookmarkStart w:id="728" w:name="Tc_PtaTkZRu7UatVkHQwtIDkQ_13_0"/>
      <w:bookmarkStart w:id="729" w:name="Tc_1Euj_tftlEWiL0WyeHYLdQ_12_14"/>
      <w:bookmarkStart w:id="730" w:name="Tc_nRha8Jfbn0Gn-1rtWhpVqg_12_8"/>
      <w:bookmarkStart w:id="731" w:name="Tc_r2HIqsaDiUqJ9-n3oyw2dw_12_5"/>
      <w:bookmarkStart w:id="732" w:name="Tc_yv6zdE47SEm154d4krIL3Q_12_2"/>
      <w:bookmarkStart w:id="733" w:name="Tc_97-bkJ2nhEa2CMq9GCFyVg_12_0"/>
      <w:bookmarkStart w:id="734" w:name="Tc_2nY9oOV6jU2i8cgPIhlG_A_11_14"/>
      <w:bookmarkStart w:id="735" w:name="Tc_GUIAQdp7O0eI_sg6UxjPww_11_11"/>
      <w:bookmarkStart w:id="736" w:name="Tc_kByIt1ogcUOSH8yRdPwWLg_11_5"/>
      <w:bookmarkStart w:id="737" w:name="Tc_FprVagAxV0iZZLI_B6C71A_11_2"/>
      <w:bookmarkStart w:id="738" w:name="Tc_SxGPTGimtkCi1cgd58V7JA_11_0"/>
      <w:bookmarkStart w:id="739" w:name="Tc_CkeZ_7shwk6Z7pQoK4oWXQ_10_14"/>
      <w:bookmarkStart w:id="740" w:name="Tc_E51fTQzcBEa7kEd6vuCghw_10_11"/>
      <w:bookmarkStart w:id="741" w:name="Tc_6I8OzKZPmUKSBM-H5eRqvA_10_5"/>
      <w:bookmarkStart w:id="742" w:name="Tc_8tp0zV7tP0OY0ShveMuH3g_10_2"/>
      <w:bookmarkStart w:id="743" w:name="Tc_inG0ZGi3vEKIT-KoejgzWg_10_0"/>
      <w:bookmarkStart w:id="744" w:name="Tc_VGMXuzAC7EiXZPD-44z4fg_9_14"/>
      <w:bookmarkStart w:id="745" w:name="Tc_eXoP2N4g1ECBWIUMKe-zrQ_9_11"/>
      <w:bookmarkStart w:id="746" w:name="Tc_RdowvgFsLEexXvnh9aBBcw_9_0"/>
      <w:bookmarkStart w:id="747" w:name="Tc_PsnG-jkAU0efj0hJHa7wfg_8_14"/>
      <w:bookmarkStart w:id="748" w:name="Tc_bw9EULkfW0qale-g_ReFUw_8_11"/>
      <w:bookmarkStart w:id="749" w:name="Tc_s4JBDHC_kk6Fm8vCI_5ACw_8_0"/>
      <w:bookmarkStart w:id="750" w:name="Tc_GfqoRA3AokSIKxTowFs21g_7_17"/>
      <w:bookmarkStart w:id="751" w:name="Tc_AWMifoYQKku_EPeADg_8jQ_7_14"/>
      <w:bookmarkStart w:id="752" w:name="Tc_UFdebTkeeEmTQ6N8cuZKLQ_7_11"/>
      <w:bookmarkStart w:id="753" w:name="Tc_Jau0dQ_AeEuzPZiJ1-ZHdA_7_8"/>
      <w:bookmarkStart w:id="754" w:name="Tc_vldGolMFLkavY0DbtGkX7Q_7_5"/>
      <w:bookmarkStart w:id="755" w:name="Tc_Rfpbc-AQQkO2I6Pm2z2GxQ_7_0"/>
      <w:bookmarkStart w:id="756" w:name="Tc_EPw-2-3e-kiPZpA2vWpHDQ_6_14"/>
      <w:bookmarkStart w:id="757" w:name="Tc_jyEgLLLYIUyVzHC9MKpKEw_6_11"/>
      <w:bookmarkStart w:id="758" w:name="Tc_eHAafDpEv0aVyod4P6mN9w_6_5"/>
      <w:bookmarkStart w:id="759" w:name="Tc_oKaU_PTHXUyNwhhGNPoLjQ_6_0"/>
      <w:bookmarkStart w:id="760" w:name="Tc_dixXOwfbA0OUUaQW8zbmqg_5_16"/>
      <w:bookmarkStart w:id="761" w:name="Tc_Y4awb7iVsUeS-p4NYSoOgw_5_13"/>
      <w:bookmarkStart w:id="762" w:name="Tc_bMpTBUrDW0-_YMSaRRRMOg_5_10"/>
      <w:bookmarkStart w:id="763" w:name="Tc_i3oPUVfnx0m6eTg-SSH-Hw_5_7"/>
      <w:bookmarkStart w:id="764" w:name="Tc_BK54zQS16E2Se9iXMiTz2g_5_4"/>
      <w:bookmarkStart w:id="765" w:name="Tc_4LEAHVItP0mAkHgtL1mZPw_5_0"/>
      <w:bookmarkStart w:id="766" w:name="Tc_ZMxezNVwq0-qYtBXQo7JfQ_4_16"/>
      <w:bookmarkStart w:id="767" w:name="Tc_gPoDRiYA6ki7FSphNbNOBw_4_13"/>
      <w:bookmarkStart w:id="768" w:name="Tc_J_RaLjrkhk6XPb5pS6cyTw_4_10"/>
      <w:bookmarkStart w:id="769" w:name="Tc_l7AaS--4MUKIW0IKoe475Q_4_7"/>
      <w:bookmarkStart w:id="770" w:name="Tc_6EDOxelg0UGTN1uASaYt1g_4_4"/>
      <w:bookmarkStart w:id="771" w:name="Tc_IYmlDtk670WjoMptGL7TEQ_4_2"/>
      <w:bookmarkStart w:id="772" w:name="Tc_FS0vjjcoT0KFi53Z7VHgog_3_16"/>
      <w:bookmarkStart w:id="773" w:name="Tc_R8BzMZcW-kahetLAFvDqKA_3_13"/>
      <w:bookmarkStart w:id="774" w:name="Tc_ve82EzPc3EigWyKrYDMY8g_3_10"/>
      <w:bookmarkStart w:id="775" w:name="Tc_Syrr6U_mfUi3MD8jvkWqXA_3_7"/>
      <w:bookmarkStart w:id="776" w:name="Tc_a8aGJGyLqkORRfK0aEQyRQ_3_2"/>
      <w:bookmarkStart w:id="777" w:name="Tc_qFRqjZXyVEC1PLfRGujPMQ_2_16"/>
      <w:bookmarkStart w:id="778" w:name="Tc_AXqhyAWt-kOxubglXH1YqQ_2_10"/>
      <w:bookmarkStart w:id="779" w:name="Tc_scC4frEIWUGFgo9PgEps2g_2_7"/>
      <w:bookmarkStart w:id="780" w:name="Tc_pE8mgv34q067Vj42NSpKpg_1_10"/>
      <w:bookmarkStart w:id="781" w:name="_6007a34d_8081_4b8c_96f4_c6da09326556"/>
      <w:bookmarkStart w:id="782" w:name="Tc_6cU38HqEkUSaluRDu_cC2A_14_16"/>
      <w:bookmarkStart w:id="783" w:name="Tc_g-rfc1a-Z0Ot7YnMn0zKuQ_14_13"/>
      <w:bookmarkStart w:id="784" w:name="Tc_AKwXM_yl_U-mJysbDL1azQ_14_10"/>
      <w:bookmarkStart w:id="785" w:name="Tc_Mie8iq1WVkiGjvYpvb_EKQ_14_7"/>
      <w:bookmarkStart w:id="786" w:name="Tc_xQI9s7_Y1E6CmsCyNHRbFQ_14_4"/>
      <w:bookmarkStart w:id="787" w:name="Tc_PcBLx7H2NU2Pjp0eJ_ctFA_14_0"/>
      <w:bookmarkStart w:id="788" w:name="Tc_crswkmp49Umo7cf3VwNgkg_13_11"/>
      <w:bookmarkStart w:id="789" w:name="Tc_2Z_z2xFjA0Oin-0ocEbHJA_13_8"/>
      <w:bookmarkStart w:id="790" w:name="Tc_px2Rwk4Gx0CucD6YHXfBNg_13_5"/>
      <w:bookmarkStart w:id="791" w:name="Tc_Dhs89tirDkS4OG2meopzYw_13_2"/>
      <w:bookmarkStart w:id="792" w:name="Tc_Drcl8CE1ZEqM8DvFvv3bKg_13_0"/>
      <w:bookmarkStart w:id="793" w:name="Tc_qXmEQgU4xESOUyN9iMFtwg_12_14"/>
      <w:bookmarkStart w:id="794" w:name="Tc_jLlK9hU15UyW3aRCeWTSaw_12_8"/>
      <w:bookmarkStart w:id="795" w:name="Tc_4DPGkXI2w0ip5h2sweIM3w_12_5"/>
      <w:bookmarkStart w:id="796" w:name="Tc_KFGa1hZES0WsvL-6sx6_4w_12_2"/>
      <w:bookmarkStart w:id="797" w:name="Tc_cNFegqJ3xU61685FnIqbJw_12_0"/>
      <w:bookmarkStart w:id="798" w:name="Tc_yZ-uqfYFQkCp5u3DO4apoQ_11_14"/>
      <w:bookmarkStart w:id="799" w:name="Tc_fG5EPO9KQ0GTMpLf4a2q8w_11_8"/>
      <w:bookmarkStart w:id="800" w:name="Tc_JHak2dvlpUKUXS-ku0mMYg_11_5"/>
      <w:bookmarkStart w:id="801" w:name="Tc_Rri54Q-tDky-Mz5k3d4XYw_11_2"/>
      <w:bookmarkStart w:id="802" w:name="Tc_vevNNNU7vEeip5o60U_EXA_11_0"/>
      <w:bookmarkStart w:id="803" w:name="Tc_Ua0_m7T1x0uqFxmeY8FJPQ_10_14"/>
      <w:bookmarkStart w:id="804" w:name="Tc_ZzMb6ldejEOhPNxkEaX_xw_10_11"/>
      <w:bookmarkStart w:id="805" w:name="Tc_r9fPPbOsdEOTy-QfybYGXA_10_5"/>
      <w:bookmarkStart w:id="806" w:name="Tc_IhjxM4JKrEyz9TSiy8YeYg_10_2"/>
      <w:bookmarkStart w:id="807" w:name="Tc_SqnDDZPSMUqB8KzsjnFhgg_10_0"/>
      <w:bookmarkStart w:id="808" w:name="Tc_yVD3t-fxGkqajDzgyPnIhQ_9_14"/>
      <w:bookmarkStart w:id="809" w:name="Tc_sApyBGT1QESmr2qS61ut8g_9_11"/>
      <w:bookmarkStart w:id="810" w:name="Tc_idbXAHp4nk2bh5kFi4Rj3g_9_5"/>
      <w:bookmarkStart w:id="811" w:name="Tc_dqX4zb2HnEWycLF00pl5Tw_9_2"/>
      <w:bookmarkStart w:id="812" w:name="Tc_TW1_5uAbqUGJfjMNislCWw_9_0"/>
      <w:bookmarkStart w:id="813" w:name="Tc_fknF-C0HREqN_-Etr8oWTw_8_14"/>
      <w:bookmarkStart w:id="814" w:name="Tc_ZbHyQ6Fwvk-8QbuDbo1KnQ_8_11"/>
      <w:bookmarkStart w:id="815" w:name="Tc_HCjbvTnKcE2FGrejOB3Uow_8_0"/>
      <w:bookmarkStart w:id="816" w:name="Tc_8abHCcgoXEKrIL6uy0OrHA_7_17"/>
      <w:bookmarkStart w:id="817" w:name="Tc_EnhKzaiskku78zln3TIwYw_7_14"/>
      <w:bookmarkStart w:id="818" w:name="Tc_h11dCPmPsUC9ghoMT5aUgQ_7_11"/>
      <w:bookmarkStart w:id="819" w:name="Tc_wl_hZEVdekmidLN7SY0ynQ_7_8"/>
      <w:bookmarkStart w:id="820" w:name="Tc_5GFWt9iP1EenZ6SfMaicFw_7_5"/>
      <w:bookmarkStart w:id="821" w:name="Tc_fNpe4_MHukeG9PqrOQHUNw_7_0"/>
      <w:bookmarkStart w:id="822" w:name="Tc_Xdr4CCrBv0SYuqoMbMk5EA_6_14"/>
      <w:bookmarkStart w:id="823" w:name="Tc_KjSVkpS_okSwbNNOgVG9EA_6_11"/>
      <w:bookmarkStart w:id="824" w:name="Tc_Jg_Qsh-ouU6wktvRfWzCWg_6_5"/>
      <w:bookmarkStart w:id="825" w:name="Tc_yrt4PltVt0GO2FNuZDjI7w_6_0"/>
      <w:bookmarkStart w:id="826" w:name="Tc_C1jlmO7ZCU2qSO3mjS02Rg_5_16"/>
      <w:bookmarkStart w:id="827" w:name="Tc_5vGfpFEhYEK0ItTsetZ4xw_5_13"/>
      <w:bookmarkStart w:id="828" w:name="Tc_jmuS_9ExAE6FxGcm1IN0Tw_5_10"/>
      <w:bookmarkStart w:id="829" w:name="Tc_xDnbjxIjVEmG6ZanSJOxrw_5_7"/>
      <w:bookmarkStart w:id="830" w:name="Tc_SjdLaK9Pl0-7v_k-kec9Tg_5_4"/>
      <w:bookmarkStart w:id="831" w:name="Tc_ACDyiBdfA0Cyjx3t2FG9Ag_5_0"/>
      <w:bookmarkStart w:id="832" w:name="Tc_UpkE1MoLs0KPU3E1Zt5Ciw_4_16"/>
      <w:bookmarkStart w:id="833" w:name="Tc_dbuOeZI-CkaFJEiF8PfFDA_4_13"/>
      <w:bookmarkStart w:id="834" w:name="Tc_UzJZRAoNxUiwzQxPKeElQQ_4_10"/>
      <w:bookmarkStart w:id="835" w:name="Tc_txi4XGdy3EimThzF32M8qQ_4_7"/>
      <w:bookmarkStart w:id="836" w:name="Tc_40swqiH-qE2UC2iYkAD5ug_4_4"/>
      <w:bookmarkStart w:id="837" w:name="Tc_jDkHEZOD9kizj-t0ezZB3g_4_2"/>
      <w:bookmarkStart w:id="838" w:name="Tc_t1SJr4Ap6ECQ4MICQTmuAA_3_16"/>
      <w:bookmarkStart w:id="839" w:name="Tc_jS5_hJXciEq4BJ6FstHmbA_3_13"/>
      <w:bookmarkStart w:id="840" w:name="Tc_zc-98SAjIkKQtFSpD5NBkw_3_10"/>
      <w:bookmarkStart w:id="841" w:name="Tc_L4BBKeYIFEKg-bwKNQ_qYQ_3_7"/>
      <w:bookmarkStart w:id="842" w:name="Tc_5MTAp3FGmkO4LoWVwD5ewg_3_2"/>
      <w:bookmarkStart w:id="843" w:name="Tc_XDSaQhTTMEeei_chz6HBLw_2_16"/>
      <w:bookmarkStart w:id="844" w:name="Tc_ATSJEbUPi0OORcFMNJB_UA_2_10"/>
      <w:bookmarkStart w:id="845" w:name="Tc_XbRsxAT91Ue2KWCOTPhBZQ_2_7"/>
      <w:bookmarkStart w:id="846" w:name="Tc_GK-uoBB6HkqBZo07jHoahA_1_10"/>
      <w:bookmarkStart w:id="847" w:name="_f3ae4884_7dcc_4693_8ff0_4da3591f5090"/>
      <w:bookmarkStart w:id="848" w:name="Tc_O65wdxQpe0inN3eQWTlZEw_17_16"/>
      <w:bookmarkStart w:id="849" w:name="Tc_7U9_WQETc0mZ4s3GTjeKxw_17_13"/>
      <w:bookmarkStart w:id="850" w:name="Tc_3rLlwqJ07k2ssTVv5-A0kw_17_10"/>
      <w:bookmarkStart w:id="851" w:name="Tc_9W4eqgXgrka6bO-Gb1Y04w_17_7"/>
      <w:bookmarkStart w:id="852" w:name="Tc_datHgayHpkCpho443m8ExA_17_4"/>
      <w:bookmarkStart w:id="853" w:name="Tc_auIE9z_fJEGLYXp5eQlbwA_17_0"/>
      <w:bookmarkStart w:id="854" w:name="Tc_6csZRIWIn0qoN9khpJpzXA_16_11"/>
      <w:bookmarkStart w:id="855" w:name="Tc_MhbtmzqxiUCElryrwc6wCw_16_8"/>
      <w:bookmarkStart w:id="856" w:name="Tc_H0UBIyBB-kapfipKAHN8nQ_16_5"/>
      <w:bookmarkStart w:id="857" w:name="Tc_Tna0mGKrO0-WwpDhx4xN0g_16_2"/>
      <w:bookmarkStart w:id="858" w:name="Tc_QITbaDjS80SV3_U9tTAFdg_16_0"/>
      <w:bookmarkStart w:id="859" w:name="Tc_EC0KiVtQSk-7zL07CsqmVA_15_14"/>
      <w:bookmarkStart w:id="860" w:name="Tc_uIG5t7dZEEy0V1gzZoAOQg_15_8"/>
      <w:bookmarkStart w:id="861" w:name="Tc_QTQL2GSkZUe9IG8bv8HOmQ_15_5"/>
      <w:bookmarkStart w:id="862" w:name="Tc_cIcIXFnueEChuJuvyJLZKw_15_2"/>
      <w:bookmarkStart w:id="863" w:name="Tc_E-WDuEG8i069V5eK110xQA_15_0"/>
      <w:bookmarkStart w:id="864" w:name="Tc_fUJOM0_N4kWuIGwaBSk4Tg_14_14"/>
      <w:bookmarkStart w:id="865" w:name="Tc_Id6Y0-I_A0Ox0x9ASSyeTA_14_8"/>
      <w:bookmarkStart w:id="866" w:name="Tc_IO1FdZSL906YOw1OeOxqeA_14_5"/>
      <w:bookmarkStart w:id="867" w:name="Tc_RgCsi4UoB0abjMbKIaCElg_14_2"/>
      <w:bookmarkStart w:id="868" w:name="Tc_ASZiZTRQz0SLepqCGhgarQ_14_0"/>
      <w:bookmarkStart w:id="869" w:name="Tc_CIqV7Uy04kmtR2zahOAwmg_13_14"/>
      <w:bookmarkStart w:id="870" w:name="Tc_HaG634UkB0WUc0O8u3U--Q_13_11"/>
      <w:bookmarkStart w:id="871" w:name="Tc_Yq5dSiHubEWKb_n9RwPIrA_13_5"/>
      <w:bookmarkStart w:id="872" w:name="Tc_6Mc5vUrir0io5omJO0LyfQ_13_2"/>
      <w:bookmarkStart w:id="873" w:name="Tc_XLIK1_BLLUSkDRYrbg2ehA_13_0"/>
      <w:bookmarkStart w:id="874" w:name="Tc_MJDaV30ndkyLgOMKhdHK4w_12_14"/>
      <w:bookmarkStart w:id="875" w:name="Tc_zZboHv6rOkOtZW6LBidq2w_12_11"/>
      <w:bookmarkStart w:id="876" w:name="Tc_d-xbTDb4Skug94P4FSXALQ_12_5"/>
      <w:bookmarkStart w:id="877" w:name="Tc_cp59zzUdxkyJGQhaNj8PMQ_12_2"/>
      <w:bookmarkStart w:id="878" w:name="Tc_-QI2hrmRNEeaJdYWbqqjLQ_12_0"/>
      <w:bookmarkStart w:id="879" w:name="Tc_k8ibSUFRH0665Ov_Ogz6dg_11_14"/>
      <w:bookmarkStart w:id="880" w:name="Tc_u8gHzLve9UCBdaucsBBK1Q_11_11"/>
      <w:bookmarkStart w:id="881" w:name="Tc_Wri2NhIDMEKY01kyehh4PQ_11_5"/>
      <w:bookmarkStart w:id="882" w:name="Tc_-BVSN80jRkeaJokVCU4Eaw_11_2"/>
      <w:bookmarkStart w:id="883" w:name="Tc_A7LuOSG2pEqPW_46e2ep7Q_11_0"/>
      <w:bookmarkStart w:id="884" w:name="Tc_KjjmmonqS06tKn8PSXW0aA_10_14"/>
      <w:bookmarkStart w:id="885" w:name="Tc_kCqHL9allki4UkLL5Jf_tg_10_11"/>
      <w:bookmarkStart w:id="886" w:name="Tc_sKsTl1lkTESXi7RZrwR-YA_10_0"/>
      <w:bookmarkStart w:id="887" w:name="Tc_0khC8vctq0Ok5QbDtocNeA_9_14"/>
      <w:bookmarkStart w:id="888" w:name="Tc_cbcuq3-ToUupc1nezxX-DA_9_11"/>
      <w:bookmarkStart w:id="889" w:name="Tc_1Lj6mbEcqke-jDw9ybUerQ_9_5"/>
      <w:bookmarkStart w:id="890" w:name="Tc_D3K3x2Ynl02yEb9dasdEWA_9_0"/>
      <w:bookmarkStart w:id="891" w:name="Tc_vC4a8kdsnkycgjF9GkhoeA_8_17"/>
      <w:bookmarkStart w:id="892" w:name="Tc_BPpWoYN860KFMQomQny3BA_8_14"/>
      <w:bookmarkStart w:id="893" w:name="Tc_N520RlUt6kmsH5xHJk--ig_8_11"/>
      <w:bookmarkStart w:id="894" w:name="Tc_x-px-goG00-9eiMTjR6yhA_8_8"/>
      <w:bookmarkStart w:id="895" w:name="Tc_wWvRESfkgESrfv-5_kpDaA_8_5"/>
      <w:bookmarkStart w:id="896" w:name="Tc_Px9ohpo4iUuPpdGLlZ2vIQ_8_0"/>
      <w:bookmarkStart w:id="897" w:name="Tc_iZm59WSimUqLMI86bFIOow_7_14"/>
      <w:bookmarkStart w:id="898" w:name="Tc_IOF811ws8kuoAYpUyJVJ9Q_7_11"/>
      <w:bookmarkStart w:id="899" w:name="Tc_jWelUxfIC0qx5Rd6tS4p_w_7_5"/>
      <w:bookmarkStart w:id="900" w:name="Tc_XlCXv22cmEWYupGrwQB8gA_7_0"/>
      <w:bookmarkStart w:id="901" w:name="Tc_2rzrHNyEdkS7GPrUDjQ5oQ_6_14"/>
      <w:bookmarkStart w:id="902" w:name="Tc_Lqn95PMReEaXPZi0ei9crg_6_11"/>
      <w:bookmarkStart w:id="903" w:name="Tc_p1idSAt7xkGbwofnj5Lbqg_6_5"/>
      <w:bookmarkStart w:id="904" w:name="Tc_mrz_ZzbGLkCxYtQC8V6y2A_6_0"/>
      <w:bookmarkStart w:id="905" w:name="Tc_RvGMxmDto06n0cOGeSSu2Q_5_16"/>
      <w:bookmarkStart w:id="906" w:name="Tc_rhIsUmdMpkawJRUi4F4xGg_5_13"/>
      <w:bookmarkStart w:id="907" w:name="Tc_6vohVBeTsUyQGyHpVwLWeg_5_10"/>
      <w:bookmarkStart w:id="908" w:name="Tc_E7Rq6SpLw0qg23oj6fdvAA_5_7"/>
      <w:bookmarkStart w:id="909" w:name="Tc_94qdioNg7kWmyDuPM5qaNA_5_4"/>
      <w:bookmarkStart w:id="910" w:name="Tc_jw1RE5CWgUq-zR4QDFpRGA_5_0"/>
      <w:bookmarkStart w:id="911" w:name="Tc_rdvVrRS990uJ-zNV2XZzpg_4_16"/>
      <w:bookmarkStart w:id="912" w:name="Tc_4WvNxWgD6EKIgCnbIfMYHg_4_13"/>
      <w:bookmarkStart w:id="913" w:name="Tc_nyIgotDOX0mjTGXh9kBm8g_4_10"/>
      <w:bookmarkStart w:id="914" w:name="Tc_9orrCASjIUGd7YwFeczUJQ_4_7"/>
      <w:bookmarkStart w:id="915" w:name="Tc_HkS-k6TraEyQD-uqRTk6gQ_4_4"/>
      <w:bookmarkStart w:id="916" w:name="Tc_d96erxqM3EiSxL_GS9qOaQ_4_2"/>
      <w:bookmarkStart w:id="917" w:name="Tc_B9A7PTy4KkmK650onFJzkQ_3_16"/>
      <w:bookmarkStart w:id="918" w:name="Tc_9DkFgEGLEke1fEj1qilfcQ_3_13"/>
      <w:bookmarkStart w:id="919" w:name="Tc_Agec89B6PkK0GdN5CnM0Og_3_10"/>
      <w:bookmarkStart w:id="920" w:name="Tc_ehXGtn81BEy7eBWInX5Q9Q_3_7"/>
      <w:bookmarkStart w:id="921" w:name="Tc_VXjLMj4tMU-3L7xwBimGSA_3_2"/>
      <w:bookmarkStart w:id="922" w:name="Tc_toqR9xj9uE-0iRQxmeLK1Q_2_16"/>
      <w:bookmarkStart w:id="923" w:name="Tc_gYsfwmi5ak6zg4jr95BN3Q_2_10"/>
      <w:bookmarkStart w:id="924" w:name="Tc_3hAPxMpaBkqsTOZweY9Sdw_2_7"/>
      <w:bookmarkStart w:id="925" w:name="Tc_TD_HKD1U1EKBtFlV2xcfoA_1_10"/>
      <w:bookmarkStart w:id="926" w:name="_e28cfd39_e158_4291_932c_106867f0025a"/>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tbl>
      <w:tblPr>
        <w:tblW w:w="10205" w:type="dxa"/>
        <w:jc w:val="left"/>
        <w:tblInd w:w="0" w:type="dxa"/>
        <w:tblLayout w:type="fixed"/>
        <w:tblCellMar>
          <w:top w:w="0" w:type="dxa"/>
          <w:left w:w="0" w:type="dxa"/>
          <w:bottom w:w="0" w:type="dxa"/>
          <w:right w:w="0" w:type="dxa"/>
        </w:tblCellMar>
      </w:tblPr>
      <w:tblGrid>
        <w:gridCol w:w="2022"/>
        <w:gridCol w:w="326"/>
        <w:gridCol w:w="781"/>
        <w:gridCol w:w="326"/>
        <w:gridCol w:w="335"/>
        <w:gridCol w:w="356"/>
        <w:gridCol w:w="326"/>
        <w:gridCol w:w="326"/>
        <w:gridCol w:w="931"/>
        <w:gridCol w:w="326"/>
        <w:gridCol w:w="404"/>
        <w:gridCol w:w="812"/>
        <w:gridCol w:w="326"/>
        <w:gridCol w:w="211"/>
        <w:gridCol w:w="846"/>
        <w:gridCol w:w="326"/>
        <w:gridCol w:w="326"/>
        <w:gridCol w:w="899"/>
      </w:tblGrid>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725" cy="175260"/>
                      <wp:effectExtent l="0" t="0" r="0" b="0"/>
                      <wp:wrapNone/>
                      <wp:docPr id="67" name="Frame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8" name="Frame6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56540" cy="175260"/>
                      <wp:effectExtent l="0" t="0" r="0" b="0"/>
                      <wp:wrapNone/>
                      <wp:docPr id="73" name="Frame73"/>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5620" cy="175260"/>
                      <wp:effectExtent l="0" t="0" r="0" b="0"/>
                      <wp:wrapNone/>
                      <wp:docPr id="74" name="Frame7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7210" cy="175260"/>
                      <wp:effectExtent l="0" t="0" r="0" b="0"/>
                      <wp:wrapNone/>
                      <wp:docPr id="77" name="Frame7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0865" cy="175260"/>
                      <wp:effectExtent l="0" t="0" r="0" b="0"/>
                      <wp:wrapNone/>
                      <wp:docPr id="80" name="Frame8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w:t>
            </w:r>
          </w:p>
        </w:tc>
      </w:tr>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202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r>
      <w:tr>
        <w:trPr/>
        <w:tc>
          <w:tcPr>
            <w:tcW w:w="202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346,716</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offering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c>
          <w:tcPr>
            <w:tcW w:w="326"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vAlign w:val="center"/>
          </w:tcPr>
          <w:p>
            <w:pPr>
              <w:pStyle w:val="TableContents"/>
              <w:bidi w:val="0"/>
              <w:spacing w:before="0" w:after="0"/>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323,762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553,263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9"/>
        <w:gridCol w:w="326"/>
        <w:gridCol w:w="781"/>
        <w:gridCol w:w="326"/>
        <w:gridCol w:w="335"/>
        <w:gridCol w:w="356"/>
        <w:gridCol w:w="326"/>
        <w:gridCol w:w="326"/>
        <w:gridCol w:w="781"/>
        <w:gridCol w:w="326"/>
        <w:gridCol w:w="404"/>
        <w:gridCol w:w="812"/>
        <w:gridCol w:w="326"/>
        <w:gridCol w:w="211"/>
        <w:gridCol w:w="849"/>
        <w:gridCol w:w="326"/>
        <w:gridCol w:w="326"/>
        <w:gridCol w:w="899"/>
      </w:tblGrid>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2725" cy="175260"/>
                      <wp:effectExtent l="0" t="0" r="0" b="0"/>
                      <wp:wrapNone/>
                      <wp:docPr id="84" name="Frame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6540" cy="175260"/>
                      <wp:effectExtent l="0" t="0" r="0" b="0"/>
                      <wp:wrapNone/>
                      <wp:docPr id="90" name="Frame90"/>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5620" cy="175260"/>
                      <wp:effectExtent l="0" t="0" r="0" b="0"/>
                      <wp:wrapNone/>
                      <wp:docPr id="91" name="Frame9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9115" cy="175260"/>
                      <wp:effectExtent l="0" t="0" r="0" b="0"/>
                      <wp:wrapNone/>
                      <wp:docPr id="94" name="Frame94"/>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0865" cy="175260"/>
                      <wp:effectExtent l="0" t="0" r="0" b="0"/>
                      <wp:wrapNone/>
                      <wp:docPr id="97" name="Frame9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165,311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489,955</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(374,532)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115,577</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15,801</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15,802</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offering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7"/>
        <w:gridCol w:w="326"/>
        <w:gridCol w:w="781"/>
        <w:gridCol w:w="326"/>
        <w:gridCol w:w="326"/>
        <w:gridCol w:w="346"/>
        <w:gridCol w:w="326"/>
        <w:gridCol w:w="326"/>
        <w:gridCol w:w="781"/>
        <w:gridCol w:w="326"/>
        <w:gridCol w:w="310"/>
        <w:gridCol w:w="711"/>
        <w:gridCol w:w="326"/>
        <w:gridCol w:w="326"/>
        <w:gridCol w:w="850"/>
        <w:gridCol w:w="326"/>
        <w:gridCol w:w="326"/>
        <w:gridCol w:w="899"/>
      </w:tblGrid>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6850" cy="175260"/>
                      <wp:effectExtent l="0" t="0" r="0" b="0"/>
                      <wp:wrapNone/>
                      <wp:docPr id="107" name="Frame10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51485" cy="175260"/>
                      <wp:effectExtent l="0" t="0" r="0" b="0"/>
                      <wp:wrapNone/>
                      <wp:docPr id="108" name="Frame10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9750" cy="175260"/>
                      <wp:effectExtent l="0" t="0" r="0" b="0"/>
                      <wp:wrapNone/>
                      <wp:docPr id="111" name="Frame111"/>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0865" cy="175260"/>
                      <wp:effectExtent l="0" t="0" r="0" b="0"/>
                      <wp:wrapNone/>
                      <wp:docPr id="114" name="Frame11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147,066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26,831</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26,833</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offering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27" w:name="Tc_eDSkHdc-c0aVThT0IUZY6w_13_11"/>
      <w:bookmarkStart w:id="928" w:name="Tc_0zLo-VigtUCXx2JwcMzOLA_13_9"/>
      <w:bookmarkStart w:id="929" w:name="Tc_szrK6JKsvUemrOuv-jo2yw_13_8"/>
      <w:bookmarkStart w:id="930" w:name="Tc_wURcuVIbokGEYQ07ctH0DQ_13_5"/>
      <w:bookmarkStart w:id="931" w:name="Tc_lsJeKYn2oU6gQO-86a61Zw_13_2"/>
      <w:bookmarkStart w:id="932" w:name="Tc_igXHuJIKBkiYLT44WatiVg_13_0"/>
      <w:bookmarkStart w:id="933" w:name="Tc_Pg7kWY7NOUSWWc0wl0cbIA_12_11"/>
      <w:bookmarkStart w:id="934" w:name="Tc_TAhjkeIj_USXY2sE9nUoMw_12_9"/>
      <w:bookmarkStart w:id="935" w:name="Tc_yUayye2DQU6LZD-t9VdKrw_12_8"/>
      <w:bookmarkStart w:id="936" w:name="Tc_a29l7ZZmwE-9NE5AOwpwKA_12_5"/>
      <w:bookmarkStart w:id="937" w:name="Tc_AWWgBtZ0k0ug82jGGUZfsg_12_2"/>
      <w:bookmarkStart w:id="938" w:name="Tc_falopoRdzUOXFMwidaPr-Q_12_0"/>
      <w:bookmarkStart w:id="939" w:name="Tc_5n78ljE0hkCJ7p45JrNkww_11_0"/>
      <w:bookmarkStart w:id="940" w:name="Tc_UQD1sp7hskS15ZQmQRQW0A_10_11"/>
      <w:bookmarkStart w:id="941" w:name="Tc_klE4e9e3J0a-HDATGqrT9Q_10_8"/>
      <w:bookmarkStart w:id="942" w:name="Tc_r9rcnI9bHU-CsV1E8lP6kg_10_5"/>
      <w:bookmarkStart w:id="943" w:name="Tc_kYZKUj5FIUu_P9sQpjYiZw_10_2"/>
      <w:bookmarkStart w:id="944" w:name="Tc_pShjKxoLY0yzl_bUAhDNuQ_10_0"/>
      <w:bookmarkStart w:id="945" w:name="Tc_XATer1FcYUy6O6NLBqgOcw_9_11"/>
      <w:bookmarkStart w:id="946" w:name="Tc_HG1X5y_qY0SdlHaQAKElRw_9_8"/>
      <w:bookmarkStart w:id="947" w:name="Tc_atncEyOp2k2cg1Wa63lryw_9_5"/>
      <w:bookmarkStart w:id="948" w:name="Tc_qAuVH6BtGkqWknn4kk0IYQ_9_2"/>
      <w:bookmarkStart w:id="949" w:name="Tc_012yJc5h6EaADUvKEPDblw_9_0"/>
      <w:bookmarkStart w:id="950" w:name="Tc_v_ouUmzo702nbhoxRTIOzw_8_0"/>
      <w:bookmarkStart w:id="951" w:name="Tc_C7x9jjwcnUeAx4wZ1TqNNg_7_11"/>
      <w:bookmarkStart w:id="952" w:name="Tc_iKkxHHJ8rkuRBRZh3ErtQg_7_9"/>
      <w:bookmarkStart w:id="953" w:name="Tc_l9YnGCyiPkCyqDs51nm3sQ_7_8"/>
      <w:bookmarkStart w:id="954" w:name="Tc_ORmovGbto0eeGBrTGVt3MA_7_6"/>
      <w:bookmarkStart w:id="955" w:name="Tc_uUTV5RV3y0yiGMAW-YdjVw_7_5"/>
      <w:bookmarkStart w:id="956" w:name="Tc_3tl12Dp1wUeQomY6bE3ZcQ_7_2"/>
      <w:bookmarkStart w:id="957" w:name="Tc_Q_M7LwGgGEGYmdtJk0rzgg_7_0"/>
      <w:bookmarkStart w:id="958" w:name="Tc_QFdi5Vx97EClzbOZ7ci9Yw_6_9"/>
      <w:bookmarkStart w:id="959" w:name="Tc_T89ptQnwgUaAvi_1mVGIuw_6_6"/>
      <w:bookmarkStart w:id="960" w:name="Tc_CBGmXkFOLESOXqEyrLNWBA_6_0"/>
      <w:bookmarkStart w:id="961" w:name="Tc_nIJTExJJ-kWe_hkcK3aADA_5_11"/>
      <w:bookmarkStart w:id="962" w:name="Tc_t2yyuvDSEkmJkuESXfkCWw_5_9"/>
      <w:bookmarkStart w:id="963" w:name="Tc_ad0I0Nrj102IXjXSbc8VsA_5_8"/>
      <w:bookmarkStart w:id="964" w:name="Tc_ZMIBfBtM-kGec6NU0SNWdw_5_6"/>
      <w:bookmarkStart w:id="965" w:name="Tc_b8fE2hmL_0mPUJTgkPqMNQ_5_5"/>
      <w:bookmarkStart w:id="966" w:name="Tc_dftskrM-jUGE8-HYeHsL3Q_5_2"/>
      <w:bookmarkStart w:id="967" w:name="Tc_j4gcIucT9E67VpM27NGvOw_5_0"/>
      <w:bookmarkStart w:id="968" w:name="Tc___vmGsuNi068IbYbm3yv3Q_4_0"/>
      <w:bookmarkStart w:id="969" w:name="Tc_aif-txMo3EaBB-Dpm53wuA_3_11"/>
      <w:bookmarkStart w:id="970" w:name="Tc_adhEJGeC5EWTziPsw2YAjw_3_8"/>
      <w:bookmarkStart w:id="971" w:name="Tc_9Cth1ZN6Y0u9zX609jym2Q_3_5"/>
      <w:bookmarkStart w:id="972" w:name="Tc_lu1d_QsyhUG-uukcL22irA_3_2"/>
      <w:bookmarkStart w:id="973" w:name="Tc_Mmy4GCR0lkq-3fJKlqev2w_2_11"/>
      <w:bookmarkStart w:id="974" w:name="Tc_PZhpgtjS1USrcV8kOTyFRg_2_8"/>
      <w:bookmarkStart w:id="975" w:name="Tc_g5A0LI9TM0uxHT7FxPVIqA_2_5"/>
      <w:bookmarkStart w:id="976" w:name="Tc_Bkp-4_3ELEKgIFqjAwYGow_2_2"/>
      <w:bookmarkStart w:id="977" w:name="Tc_AlXJF1k4TU-lvoatOYxr5w_1_2"/>
      <w:bookmarkStart w:id="978" w:name="_4676b9d9_027a_4f0f_98fc_ca628d11bc74"/>
      <w:bookmarkStart w:id="979" w:name="Tc_sv4MVIktKk-dMK4JYgShDA_12_11"/>
      <w:bookmarkStart w:id="980" w:name="Tc_jCKQeahwLEaojaduj617LQ_12_9"/>
      <w:bookmarkStart w:id="981" w:name="Tc_-67gD_a9c0GeTUhrj9BgFA_12_8"/>
      <w:bookmarkStart w:id="982" w:name="Tc_fYZk7_HsOkyLQgsh1wF4og_12_5"/>
      <w:bookmarkStart w:id="983" w:name="Tc_ephSc39yVEOukZM__EKHGQ_12_2"/>
      <w:bookmarkStart w:id="984" w:name="Tc_N6ViOfY2ekSbuVQ-UglLug_12_0"/>
      <w:bookmarkStart w:id="985" w:name="Tc_NGs1cS55XUegtiV9JmV7FQ_11_11"/>
      <w:bookmarkStart w:id="986" w:name="Tc_XnfYWucK8E2UjVGbk21gCg_11_9"/>
      <w:bookmarkStart w:id="987" w:name="Tc_kG7NJudUp0m9Jo2oVYPKtg_11_8"/>
      <w:bookmarkStart w:id="988" w:name="Tc_Ir92U0EDJUS92mLbl2fRcQ_11_5"/>
      <w:bookmarkStart w:id="989" w:name="Tc_jCgEkWAhd0OHjxLnmv4mJw_11_2"/>
      <w:bookmarkStart w:id="990" w:name="Tc_KLMpCpmPUUCAO8azMOz7fg_11_0"/>
      <w:bookmarkStart w:id="991" w:name="Tc_wBx4fNeRWkuzlfU0xzAkCg_10_0"/>
      <w:bookmarkStart w:id="992" w:name="Tc_3rNr0Xr51kCnov96BcmvJg_9_11"/>
      <w:bookmarkStart w:id="993" w:name="Tc_4gtYf5FkTUyrygCi1mjspw_9_8"/>
      <w:bookmarkStart w:id="994" w:name="Tc_bTheq0k3FECa2am_kB3xDw_9_5"/>
      <w:bookmarkStart w:id="995" w:name="Tc_RE7Fxw2JPEW2EcryADKdoA_9_2"/>
      <w:bookmarkStart w:id="996" w:name="Tc_guduQ0A_GkqJb92Ju834zg_9_0"/>
      <w:bookmarkStart w:id="997" w:name="Tc_odwdXOTe90mJcE8-SA2NyA_8_11"/>
      <w:bookmarkStart w:id="998" w:name="Tc_QWTBcGTwgECeZIkDlcrAiQ_8_8"/>
      <w:bookmarkStart w:id="999" w:name="Tc_twVa63xoVkWXhzaLYjjhOQ_8_5"/>
      <w:bookmarkStart w:id="1000" w:name="Tc_M4yiqZJBekWD_GUO4u5yaQ_8_2"/>
      <w:bookmarkStart w:id="1001" w:name="Tc_8rucgM-yKUeHiUcN7nDcKw_8_0"/>
      <w:bookmarkStart w:id="1002" w:name="Tc_hl595XY4GEmrKVmUfoETlA_7_0"/>
      <w:bookmarkStart w:id="1003" w:name="Tc_0y5Wxq5tH0ix8FXKmP3wPg_6_11"/>
      <w:bookmarkStart w:id="1004" w:name="Tc_vBik8YV5pUKDfg3U7qGviA_6_9"/>
      <w:bookmarkStart w:id="1005" w:name="Tc_0Tm6la55rUaZzjxgAvwkyg_6_8"/>
      <w:bookmarkStart w:id="1006" w:name="Tc_D1m2SEIWgkmRUrIPxN7T1g_6_6"/>
      <w:bookmarkStart w:id="1007" w:name="Tc_aAapuwaNjUCaqrhyGQ1Dhg_6_5"/>
      <w:bookmarkStart w:id="1008" w:name="Tc_PZm7Hxu3FUuErzRXC7R-jg_6_2"/>
      <w:bookmarkStart w:id="1009" w:name="Tc_o6nil286QUaYWdaLNhtk0A_6_0"/>
      <w:bookmarkStart w:id="1010" w:name="Tc_Y0LyzRUnYE25j_OTSpzLig_5_11"/>
      <w:bookmarkStart w:id="1011" w:name="Tc_wuy9IghVSkaUF1XDoPOeyA_5_9"/>
      <w:bookmarkStart w:id="1012" w:name="Tc_AN_HFBXUCUa5B3MCnvWdnA_5_8"/>
      <w:bookmarkStart w:id="1013" w:name="Tc_II0KPfEBBkyaaQ2pQfCxSA_5_6"/>
      <w:bookmarkStart w:id="1014" w:name="Tc_SaezaHrYskmNxUcw1HLaKg_5_5"/>
      <w:bookmarkStart w:id="1015" w:name="Tc_IPlGaHfNu0G3dgqBnzCj8Q_5_2"/>
      <w:bookmarkStart w:id="1016" w:name="Tc_dZ6OYGnYUEWS0ujbNgixcQ_5_0"/>
      <w:bookmarkStart w:id="1017" w:name="Tc_u6shxSof90SbmkVypXGv1g_4_0"/>
      <w:bookmarkStart w:id="1018" w:name="Tc_rLGRTvpt8Eetr1TXXBZ1UQ_3_11"/>
      <w:bookmarkStart w:id="1019" w:name="Tc_NYiajS5AtkmZieiLARgFxA_3_8"/>
      <w:bookmarkStart w:id="1020" w:name="Tc_pruZFhpxLE6PPKpy1traEw_3_5"/>
      <w:bookmarkStart w:id="1021" w:name="Tc_HckfNwYBnEekT1RtVwVsJA_3_2"/>
      <w:bookmarkStart w:id="1022" w:name="Tc_ibj00gEzIEKqyVNmzaPiNQ_2_11"/>
      <w:bookmarkStart w:id="1023" w:name="Tc_8LscQt07o0aYxr7uQTkaiw_2_8"/>
      <w:bookmarkStart w:id="1024" w:name="Tc_O3pgw50dOEW1YAkCHSueDA_2_5"/>
      <w:bookmarkStart w:id="1025" w:name="Tc_FSWbIxYwE0KWafOWh3BYkg_2_2"/>
      <w:bookmarkStart w:id="1026" w:name="Tc_ptd6wlEpq0G60mJmtdihVw_1_2"/>
      <w:bookmarkStart w:id="1027" w:name="_1e4d5122_7d71_4397_96b1_61a4c47b722b"/>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Investments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condensed consolidated balance sheets based on the underlying maturity date of each investment. Fixed income securities are recorded at their estimated fair value. The amortized cost, gross unrealized holding gains and losses included in accumulated other comprehensive income and the fair value of the fixed income securities as of June 30, 2025 and December 31, 2024 are presented in the tables below (in thousands):</w:t>
      </w:r>
    </w:p>
    <w:p>
      <w:pPr>
        <w:pStyle w:val="TextBody"/>
        <w:bidi w:val="0"/>
        <w:spacing w:before="0" w:after="0"/>
        <w:ind w:left="0" w:right="0" w:firstLine="547"/>
        <w:jc w:val="both"/>
        <w:rPr/>
      </w:pPr>
      <w:r>
        <w:rPr/>
        <w:t>​</w:t>
      </w:r>
    </w:p>
    <w:tbl>
      <w:tblPr>
        <w:tblW w:w="8920" w:type="dxa"/>
        <w:jc w:val="left"/>
        <w:tblInd w:w="0" w:type="dxa"/>
        <w:tblLayout w:type="fixed"/>
        <w:tblCellMar>
          <w:top w:w="0" w:type="dxa"/>
          <w:left w:w="0" w:type="dxa"/>
          <w:bottom w:w="0" w:type="dxa"/>
          <w:right w:w="0" w:type="dxa"/>
        </w:tblCellMar>
      </w:tblPr>
      <w:tblGrid>
        <w:gridCol w:w="3706"/>
        <w:gridCol w:w="326"/>
        <w:gridCol w:w="211"/>
        <w:gridCol w:w="781"/>
        <w:gridCol w:w="326"/>
        <w:gridCol w:w="335"/>
        <w:gridCol w:w="551"/>
        <w:gridCol w:w="326"/>
        <w:gridCol w:w="318"/>
        <w:gridCol w:w="568"/>
        <w:gridCol w:w="32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2725" cy="175260"/>
                      <wp:effectExtent l="0" t="0" r="0" b="0"/>
                      <wp:wrapNone/>
                      <wp:docPr id="119" name="Frame11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49885" cy="175260"/>
                      <wp:effectExtent l="0" t="0" r="0" b="0"/>
                      <wp:wrapNone/>
                      <wp:docPr id="120" name="Frame12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1930" cy="175260"/>
                      <wp:effectExtent l="0" t="0" r="0" b="0"/>
                      <wp:wrapNone/>
                      <wp:docPr id="122" name="Frame12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0680" cy="175260"/>
                      <wp:effectExtent l="0" t="0" r="0" b="0"/>
                      <wp:wrapNone/>
                      <wp:docPr id="123" name="Frame12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23,697</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23,697</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368,519</w:t>
            </w:r>
          </w:p>
        </w:tc>
        <w:tc>
          <w:tcPr>
            <w:tcW w:w="326" w:type="dxa"/>
            <w:tcBorders/>
            <w:shd w:fill="CCEEFF" w:val="clear"/>
            <w:vAlign w:val="center"/>
          </w:tcPr>
          <w:p>
            <w:pPr>
              <w:pStyle w:val="TableContents"/>
              <w:bidi w:val="0"/>
              <w:spacing w:before="0" w:after="0"/>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368,519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368,556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145,806</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145,806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811" w:type="dxa"/>
        <w:jc w:val="left"/>
        <w:tblInd w:w="0" w:type="dxa"/>
        <w:tblLayout w:type="fixed"/>
        <w:tblCellMar>
          <w:top w:w="0" w:type="dxa"/>
          <w:left w:w="0" w:type="dxa"/>
          <w:bottom w:w="0" w:type="dxa"/>
          <w:right w:w="0" w:type="dxa"/>
        </w:tblCellMar>
      </w:tblPr>
      <w:tblGrid>
        <w:gridCol w:w="3706"/>
        <w:gridCol w:w="326"/>
        <w:gridCol w:w="211"/>
        <w:gridCol w:w="781"/>
        <w:gridCol w:w="326"/>
        <w:gridCol w:w="335"/>
        <w:gridCol w:w="551"/>
        <w:gridCol w:w="326"/>
        <w:gridCol w:w="335"/>
        <w:gridCol w:w="551"/>
        <w:gridCol w:w="326"/>
        <w:gridCol w:w="211"/>
        <w:gridCol w:w="826"/>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725" cy="175260"/>
                      <wp:effectExtent l="0" t="0" r="0" b="0"/>
                      <wp:wrapNone/>
                      <wp:docPr id="132" name="Frame13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9885" cy="175260"/>
                      <wp:effectExtent l="0" t="0" r="0" b="0"/>
                      <wp:wrapNone/>
                      <wp:docPr id="133" name="Frame13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2725" cy="175260"/>
                      <wp:effectExtent l="0" t="0" r="0" b="0"/>
                      <wp:wrapNone/>
                      <wp:docPr id="135" name="Frame13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49885" cy="175260"/>
                      <wp:effectExtent l="0" t="0" r="0" b="0"/>
                      <wp:wrapNone/>
                      <wp:docPr id="136" name="Frame13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4510" cy="175260"/>
                      <wp:effectExtent l="0" t="0" r="0" b="0"/>
                      <wp:wrapNone/>
                      <wp:docPr id="139" name="Frame1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25,068</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invests in highly rated investment grade debt securities. As of June 30, 2025, all of the Company’s available-for-sale securities have final maturities of one year or less, except for five U.S. treasury securities classified as long-term with final maturities extending through November 15, 2026.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June 30, 2025 or December 31, 2024.</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the Company determined that none of the unrealized losses were other-than-temporary, and that recognition of an impairment charge was not required as of June 30, 2025 or December 31, 2024. As of June 30, 2025, there were eight securities with an aggregate market value of $186.2 million that were in an unrealized loss position. The cumulative loss related to these securities was less than $0.1 million. None of the Company’s available-for-sale securities have been in an unrealized loss position for more than one year. No available-for-sale securities were sold during the six months ended June 30, 2025 or June 30, 2024.</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028" w:name="Tc_RuIpt8mixE61Qete1LLwkw_16_8"/>
      <w:bookmarkStart w:id="1029" w:name="Tc_j0_hxadMsky_5-PW4pAp9Q_16_6"/>
      <w:bookmarkStart w:id="1030" w:name="Tc_Mbe0RzC6_0KCxYXPnShkWQ_16_5"/>
      <w:bookmarkStart w:id="1031" w:name="Tc_yRj1nSbKZ0CAuvV1CJoBng_16_2"/>
      <w:bookmarkStart w:id="1032" w:name="Tc_IyTZHehbt0-pqBHzbNd7Cg_16_0"/>
      <w:bookmarkStart w:id="1033" w:name="Tc_Xa53cklr_k2QzQJkolEQFQ_15_6"/>
      <w:bookmarkStart w:id="1034" w:name="Tc_iKls6_6fJk6dAZgoRthU-g_15_3"/>
      <w:bookmarkStart w:id="1035" w:name="Tc_xtLEvNlQoEm49EgPqI3MXg_15_0"/>
      <w:bookmarkStart w:id="1036" w:name="Tc_AZEorkgRX06yMnNCmF_XJA_14_6"/>
      <w:bookmarkStart w:id="1037" w:name="Tc_dsFLpmHXwkG2dcgpAtL-rQ_14_3"/>
      <w:bookmarkStart w:id="1038" w:name="Tc_e5g3OYnP-keXL00onc4T_A_14_0"/>
      <w:bookmarkStart w:id="1039" w:name="Tc_obCCKJjez0KB6SRnDN_tvg_13_9"/>
      <w:bookmarkStart w:id="1040" w:name="Tc_KQKxh6jQREi_WBQtqa6mYQ_13_8"/>
      <w:bookmarkStart w:id="1041" w:name="Tc_9-LWRwMl5Uy7aD85sXp7Mg_13_6"/>
      <w:bookmarkStart w:id="1042" w:name="Tc_WLQyvA_Ks0ih8NFhbOSafQ_13_5"/>
      <w:bookmarkStart w:id="1043" w:name="Tc_LaixpgPKtUeoQJbkE65T_g_13_2"/>
      <w:bookmarkStart w:id="1044" w:name="Tc_IdiFLDmfqEmAuzGHzmHnpA_13_0"/>
      <w:bookmarkStart w:id="1045" w:name="Tc_jkJMTT0xb0-obrLRBuu4Tw_12_0"/>
      <w:bookmarkStart w:id="1046" w:name="Tc_xnjuPYLj3k-0srW0mNXrOg_11_9"/>
      <w:bookmarkStart w:id="1047" w:name="Tc_ARfyoUe7LEWX4G3Re4SLxg_11_8"/>
      <w:bookmarkStart w:id="1048" w:name="Tc_qpxMbDpMiEm2Q083j-N6Ag_11_5"/>
      <w:bookmarkStart w:id="1049" w:name="Tc_rG9nuIDYPEWI0Wy6xWDFMA_11_2"/>
      <w:bookmarkStart w:id="1050" w:name="Tc_1fubhc14mUaP0y2xUqktNQ_11_0"/>
      <w:bookmarkStart w:id="1051" w:name="Tc_DU0kNdi9BkGxonoKlCg9Qg_10_9"/>
      <w:bookmarkStart w:id="1052" w:name="Tc_KW9dU3lUFEy0jp4-cGtYIg_10_3"/>
      <w:bookmarkStart w:id="1053" w:name="Tc_2Gz940VIDku6pMQWdtjtXQ_10_0"/>
      <w:bookmarkStart w:id="1054" w:name="Tc_VMKuFR-uT0S3WgEibr57ww_9_0"/>
      <w:bookmarkStart w:id="1055" w:name="Tc_G6hucq3QL0i0uWzWgpbegQ_8_9"/>
      <w:bookmarkStart w:id="1056" w:name="Tc_DRSUMmla60q99nO2LTBX3Q_8_3"/>
      <w:bookmarkStart w:id="1057" w:name="Tc_jz7c4SUcNEeeE0ptE2DX-g_8_0"/>
      <w:bookmarkStart w:id="1058" w:name="Tc_kicCWVA2v0KDhNBgWos8bQ_7_0"/>
      <w:bookmarkStart w:id="1059" w:name="Tc_ub2jBF38wkmCQQ-ZVyT5Rg_6_9"/>
      <w:bookmarkStart w:id="1060" w:name="Tc_lthChw4lO0-ftSpgHAMWTQ_6_3"/>
      <w:bookmarkStart w:id="1061" w:name="Tc_u5EokZ0eS0mr7qFtFx8eRg_6_0"/>
      <w:bookmarkStart w:id="1062" w:name="Tc_nvhGZ2sjuECcHe0UPVKwyg_5_9"/>
      <w:bookmarkStart w:id="1063" w:name="Tc_G9M0APz6pkef0T8NghbSyw_5_8"/>
      <w:bookmarkStart w:id="1064" w:name="Tc_pOJht0cafUmikOw3jvtdTA_5_6"/>
      <w:bookmarkStart w:id="1065" w:name="Tc_sazV6AFdzEWhuiGnErl9yg_5_5"/>
      <w:bookmarkStart w:id="1066" w:name="Tc_WjspBA4lxUm81bMAYgI1qw_5_2"/>
      <w:bookmarkStart w:id="1067" w:name="Tc_wFCYdNBgZ02tM1nlhd4n2g_5_0"/>
      <w:bookmarkStart w:id="1068" w:name="Tc_-Z984e58nUOXqjbmaD4s6g_4_0"/>
      <w:bookmarkStart w:id="1069" w:name="Tc_Qvn7X-iUGUu6NlzkT-DyZQ_3_0"/>
      <w:bookmarkStart w:id="1070" w:name="Tc_USwG-On-rkuooM2lHPIrPA_2_8"/>
      <w:bookmarkStart w:id="1071" w:name="Tc_2yVGgvfzEU2GcO-sJX-brA_2_5"/>
      <w:bookmarkStart w:id="1072" w:name="Tc_2ZR96BUZIkaFT-Lnep5vXQ_2_2"/>
      <w:bookmarkStart w:id="1073" w:name="Tc_CQ99BjtwV0GrqpSet88WFA_1_2"/>
      <w:bookmarkStart w:id="1074" w:name="_80ad89a5_e3b4_40c7_8692_e88711b9f121"/>
      <w:bookmarkStart w:id="1075" w:name="Tc_iShCfN1OR0GPrQBjkwfzxA_15_8"/>
      <w:bookmarkStart w:id="1076" w:name="Tc_WwtX5oGK-kCCiLt0Q6ez-Q_15_6"/>
      <w:bookmarkStart w:id="1077" w:name="Tc_4rAsKx6EwkC8Rgs74bx28Q_15_5"/>
      <w:bookmarkStart w:id="1078" w:name="Tc_Xex0Zb0Clkebxsy1ru9H0Q_15_2"/>
      <w:bookmarkStart w:id="1079" w:name="Tc_I3s-wTivnkmhgQPgkgWgYQ_15_0"/>
      <w:bookmarkStart w:id="1080" w:name="Tc_E2ZF57LXN0Cq5KpuVysxkw_14_6"/>
      <w:bookmarkStart w:id="1081" w:name="Tc_kJ4fWXoK602eXqu7kHC-cg_14_3"/>
      <w:bookmarkStart w:id="1082" w:name="Tc_H80QngYPXUyGHxY45tVLvg_14_0"/>
      <w:bookmarkStart w:id="1083" w:name="Tc_p1YIZJzDiUy7Qf4B31G07A_13_6"/>
      <w:bookmarkStart w:id="1084" w:name="Tc_agmBc_POrUK9mElPUqjzFg_13_3"/>
      <w:bookmarkStart w:id="1085" w:name="Tc_Kifg7Cdlj0-64bxapP3wZA_13_0"/>
      <w:bookmarkStart w:id="1086" w:name="Tc_j5z3-a2GGEqRYm3Pkyu7fg_12_9"/>
      <w:bookmarkStart w:id="1087" w:name="Tc_n6WecnUy7k-5JNRf0SeLFw_12_8"/>
      <w:bookmarkStart w:id="1088" w:name="Tc_ysjfWbLQU0KNkAItj8r8IQ_12_6"/>
      <w:bookmarkStart w:id="1089" w:name="Tc_eIaQ3wmZJUysEmuQPSqtLA_12_5"/>
      <w:bookmarkStart w:id="1090" w:name="Tc_Yrn75MHsl06WRX2TlgznGQ_12_2"/>
      <w:bookmarkStart w:id="1091" w:name="Tc_JcizidBEMk-1rfAr9X87HQ_12_0"/>
      <w:bookmarkStart w:id="1092" w:name="Tc_d-6c9czMUUuv1kN3QUaudQ_11_0"/>
      <w:bookmarkStart w:id="1093" w:name="Tc_rBzQH3k1mky7zLcpvrE0uw_10_9"/>
      <w:bookmarkStart w:id="1094" w:name="Tc_JIUN0iGZZEeysUVqef_uxw_10_8"/>
      <w:bookmarkStart w:id="1095" w:name="Tc_OJW0LAiUM0GX-8aotYfGdQ_10_5"/>
      <w:bookmarkStart w:id="1096" w:name="Tc_OyMWcKzqzEC3-MzuIGbTUA_10_2"/>
      <w:bookmarkStart w:id="1097" w:name="Tc_zHYiOthoz06VOqAvPX3cqA_10_0"/>
      <w:bookmarkStart w:id="1098" w:name="Tc_hOrXF9MnOk-MEIPaxSjUEw_9_9"/>
      <w:bookmarkStart w:id="1099" w:name="Tc_N80ydEid7kmN67PU7aDCbg_9_3"/>
      <w:bookmarkStart w:id="1100" w:name="Tc_V6oWUCbD3ku7Hm-1I_RuSg_9_0"/>
      <w:bookmarkStart w:id="1101" w:name="Tc_1wsWpI44-0yjr3HxC93PrA_8_0"/>
      <w:bookmarkStart w:id="1102" w:name="Tc_AqdagvrlxU2EOqtBV3-ajQ_7_9"/>
      <w:bookmarkStart w:id="1103" w:name="Tc_xNW1LlyOQ02gPzkmhpLCEw_7_0"/>
      <w:bookmarkStart w:id="1104" w:name="Tc_qMVwgMrR7kisG-YVGf3SXA_6_0"/>
      <w:bookmarkStart w:id="1105" w:name="Tc_qLumIh-eIE2EvCGWFKE_ww_5_9"/>
      <w:bookmarkStart w:id="1106" w:name="Tc_Gw3VHcpDskCN_iQTSG18ZA_5_8"/>
      <w:bookmarkStart w:id="1107" w:name="Tc_Jox9SWj1lE6qXUCi0WToYw_5_6"/>
      <w:bookmarkStart w:id="1108" w:name="Tc_7Ug5XjfhYkSvLNIKjYeJrA_5_5"/>
      <w:bookmarkStart w:id="1109" w:name="Tc_CqM2eDkyfEmefNa3neqwyA_5_2"/>
      <w:bookmarkStart w:id="1110" w:name="Tc_4LChWYwHS0mwfaYvP-rm1g_5_0"/>
      <w:bookmarkStart w:id="1111" w:name="Tc_asMTgnBJ5kSP45IsQM40Xw_4_0"/>
      <w:bookmarkStart w:id="1112" w:name="Tc_p6ruHjgLg069fblEEs9MsQ_3_0"/>
      <w:bookmarkStart w:id="1113" w:name="Tc_a8EKq7ea7EWhD3ydxhG5qQ_2_8"/>
      <w:bookmarkStart w:id="1114" w:name="Tc_Xg7f3U6Gc0GbUJ6_uHo2mA_2_5"/>
      <w:bookmarkStart w:id="1115" w:name="Tc_jOOE5owzuEWIwe03aYDefQ_2_2"/>
      <w:bookmarkStart w:id="1116" w:name="Tc_MZZV4XPvhkezC-dXJdeR0Q_1_2"/>
      <w:bookmarkStart w:id="1117" w:name="_795cc3c0_ac8c_44a3_9511_86db4026b985"/>
      <w:bookmarkStart w:id="1118" w:name="Tc_RuIpt8mixE61Qete1LLwkw_16_8"/>
      <w:bookmarkStart w:id="1119" w:name="Tc_j0_hxadMsky_5-PW4pAp9Q_16_6"/>
      <w:bookmarkStart w:id="1120" w:name="Tc_Mbe0RzC6_0KCxYXPnShkWQ_16_5"/>
      <w:bookmarkStart w:id="1121" w:name="Tc_yRj1nSbKZ0CAuvV1CJoBng_16_2"/>
      <w:bookmarkStart w:id="1122" w:name="Tc_IyTZHehbt0-pqBHzbNd7Cg_16_0"/>
      <w:bookmarkStart w:id="1123" w:name="Tc_Xa53cklr_k2QzQJkolEQFQ_15_6"/>
      <w:bookmarkStart w:id="1124" w:name="Tc_iKls6_6fJk6dAZgoRthU-g_15_3"/>
      <w:bookmarkStart w:id="1125" w:name="Tc_xtLEvNlQoEm49EgPqI3MXg_15_0"/>
      <w:bookmarkStart w:id="1126" w:name="Tc_AZEorkgRX06yMnNCmF_XJA_14_6"/>
      <w:bookmarkStart w:id="1127" w:name="Tc_dsFLpmHXwkG2dcgpAtL-rQ_14_3"/>
      <w:bookmarkStart w:id="1128" w:name="Tc_e5g3OYnP-keXL00onc4T_A_14_0"/>
      <w:bookmarkStart w:id="1129" w:name="Tc_obCCKJjez0KB6SRnDN_tvg_13_9"/>
      <w:bookmarkStart w:id="1130" w:name="Tc_KQKxh6jQREi_WBQtqa6mYQ_13_8"/>
      <w:bookmarkStart w:id="1131" w:name="Tc_9-LWRwMl5Uy7aD85sXp7Mg_13_6"/>
      <w:bookmarkStart w:id="1132" w:name="Tc_WLQyvA_Ks0ih8NFhbOSafQ_13_5"/>
      <w:bookmarkStart w:id="1133" w:name="Tc_LaixpgPKtUeoQJbkE65T_g_13_2"/>
      <w:bookmarkStart w:id="1134" w:name="Tc_IdiFLDmfqEmAuzGHzmHnpA_13_0"/>
      <w:bookmarkStart w:id="1135" w:name="Tc_jkJMTT0xb0-obrLRBuu4Tw_12_0"/>
      <w:bookmarkStart w:id="1136" w:name="Tc_xnjuPYLj3k-0srW0mNXrOg_11_9"/>
      <w:bookmarkStart w:id="1137" w:name="Tc_ARfyoUe7LEWX4G3Re4SLxg_11_8"/>
      <w:bookmarkStart w:id="1138" w:name="Tc_qpxMbDpMiEm2Q083j-N6Ag_11_5"/>
      <w:bookmarkStart w:id="1139" w:name="Tc_rG9nuIDYPEWI0Wy6xWDFMA_11_2"/>
      <w:bookmarkStart w:id="1140" w:name="Tc_1fubhc14mUaP0y2xUqktNQ_11_0"/>
      <w:bookmarkStart w:id="1141" w:name="Tc_DU0kNdi9BkGxonoKlCg9Qg_10_9"/>
      <w:bookmarkStart w:id="1142" w:name="Tc_KW9dU3lUFEy0jp4-cGtYIg_10_3"/>
      <w:bookmarkStart w:id="1143" w:name="Tc_2Gz940VIDku6pMQWdtjtXQ_10_0"/>
      <w:bookmarkStart w:id="1144" w:name="Tc_VMKuFR-uT0S3WgEibr57ww_9_0"/>
      <w:bookmarkStart w:id="1145" w:name="Tc_G6hucq3QL0i0uWzWgpbegQ_8_9"/>
      <w:bookmarkStart w:id="1146" w:name="Tc_DRSUMmla60q99nO2LTBX3Q_8_3"/>
      <w:bookmarkStart w:id="1147" w:name="Tc_jz7c4SUcNEeeE0ptE2DX-g_8_0"/>
      <w:bookmarkStart w:id="1148" w:name="Tc_kicCWVA2v0KDhNBgWos8bQ_7_0"/>
      <w:bookmarkStart w:id="1149" w:name="Tc_ub2jBF38wkmCQQ-ZVyT5Rg_6_9"/>
      <w:bookmarkStart w:id="1150" w:name="Tc_lthChw4lO0-ftSpgHAMWTQ_6_3"/>
      <w:bookmarkStart w:id="1151" w:name="Tc_u5EokZ0eS0mr7qFtFx8eRg_6_0"/>
      <w:bookmarkStart w:id="1152" w:name="Tc_nvhGZ2sjuECcHe0UPVKwyg_5_9"/>
      <w:bookmarkStart w:id="1153" w:name="Tc_G9M0APz6pkef0T8NghbSyw_5_8"/>
      <w:bookmarkStart w:id="1154" w:name="Tc_pOJht0cafUmikOw3jvtdTA_5_6"/>
      <w:bookmarkStart w:id="1155" w:name="Tc_sazV6AFdzEWhuiGnErl9yg_5_5"/>
      <w:bookmarkStart w:id="1156" w:name="Tc_WjspBA4lxUm81bMAYgI1qw_5_2"/>
      <w:bookmarkStart w:id="1157" w:name="Tc_wFCYdNBgZ02tM1nlhd4n2g_5_0"/>
      <w:bookmarkStart w:id="1158" w:name="Tc_-Z984e58nUOXqjbmaD4s6g_4_0"/>
      <w:bookmarkStart w:id="1159" w:name="Tc_Qvn7X-iUGUu6NlzkT-DyZQ_3_0"/>
      <w:bookmarkStart w:id="1160" w:name="Tc_USwG-On-rkuooM2lHPIrPA_2_8"/>
      <w:bookmarkStart w:id="1161" w:name="Tc_2yVGgvfzEU2GcO-sJX-brA_2_5"/>
      <w:bookmarkStart w:id="1162" w:name="Tc_2ZR96BUZIkaFT-Lnep5vXQ_2_2"/>
      <w:bookmarkStart w:id="1163" w:name="Tc_CQ99BjtwV0GrqpSet88WFA_1_2"/>
      <w:bookmarkStart w:id="1164" w:name="_80ad89a5_e3b4_40c7_8692_e88711b9f121"/>
      <w:bookmarkStart w:id="1165" w:name="Tc_iShCfN1OR0GPrQBjkwfzxA_15_8"/>
      <w:bookmarkStart w:id="1166" w:name="Tc_WwtX5oGK-kCCiLt0Q6ez-Q_15_6"/>
      <w:bookmarkStart w:id="1167" w:name="Tc_4rAsKx6EwkC8Rgs74bx28Q_15_5"/>
      <w:bookmarkStart w:id="1168" w:name="Tc_Xex0Zb0Clkebxsy1ru9H0Q_15_2"/>
      <w:bookmarkStart w:id="1169" w:name="Tc_I3s-wTivnkmhgQPgkgWgYQ_15_0"/>
      <w:bookmarkStart w:id="1170" w:name="Tc_E2ZF57LXN0Cq5KpuVysxkw_14_6"/>
      <w:bookmarkStart w:id="1171" w:name="Tc_kJ4fWXoK602eXqu7kHC-cg_14_3"/>
      <w:bookmarkStart w:id="1172" w:name="Tc_H80QngYPXUyGHxY45tVLvg_14_0"/>
      <w:bookmarkStart w:id="1173" w:name="Tc_p1YIZJzDiUy7Qf4B31G07A_13_6"/>
      <w:bookmarkStart w:id="1174" w:name="Tc_agmBc_POrUK9mElPUqjzFg_13_3"/>
      <w:bookmarkStart w:id="1175" w:name="Tc_Kifg7Cdlj0-64bxapP3wZA_13_0"/>
      <w:bookmarkStart w:id="1176" w:name="Tc_j5z3-a2GGEqRYm3Pkyu7fg_12_9"/>
      <w:bookmarkStart w:id="1177" w:name="Tc_n6WecnUy7k-5JNRf0SeLFw_12_8"/>
      <w:bookmarkStart w:id="1178" w:name="Tc_ysjfWbLQU0KNkAItj8r8IQ_12_6"/>
      <w:bookmarkStart w:id="1179" w:name="Tc_eIaQ3wmZJUysEmuQPSqtLA_12_5"/>
      <w:bookmarkStart w:id="1180" w:name="Tc_Yrn75MHsl06WRX2TlgznGQ_12_2"/>
      <w:bookmarkStart w:id="1181" w:name="Tc_JcizidBEMk-1rfAr9X87HQ_12_0"/>
      <w:bookmarkStart w:id="1182" w:name="Tc_d-6c9czMUUuv1kN3QUaudQ_11_0"/>
      <w:bookmarkStart w:id="1183" w:name="Tc_rBzQH3k1mky7zLcpvrE0uw_10_9"/>
      <w:bookmarkStart w:id="1184" w:name="Tc_JIUN0iGZZEeysUVqef_uxw_10_8"/>
      <w:bookmarkStart w:id="1185" w:name="Tc_OJW0LAiUM0GX-8aotYfGdQ_10_5"/>
      <w:bookmarkStart w:id="1186" w:name="Tc_OyMWcKzqzEC3-MzuIGbTUA_10_2"/>
      <w:bookmarkStart w:id="1187" w:name="Tc_zHYiOthoz06VOqAvPX3cqA_10_0"/>
      <w:bookmarkStart w:id="1188" w:name="Tc_hOrXF9MnOk-MEIPaxSjUEw_9_9"/>
      <w:bookmarkStart w:id="1189" w:name="Tc_N80ydEid7kmN67PU7aDCbg_9_3"/>
      <w:bookmarkStart w:id="1190" w:name="Tc_V6oWUCbD3ku7Hm-1I_RuSg_9_0"/>
      <w:bookmarkStart w:id="1191" w:name="Tc_1wsWpI44-0yjr3HxC93PrA_8_0"/>
      <w:bookmarkStart w:id="1192" w:name="Tc_AqdagvrlxU2EOqtBV3-ajQ_7_9"/>
      <w:bookmarkStart w:id="1193" w:name="Tc_xNW1LlyOQ02gPzkmhpLCEw_7_0"/>
      <w:bookmarkStart w:id="1194" w:name="Tc_qMVwgMrR7kisG-YVGf3SXA_6_0"/>
      <w:bookmarkStart w:id="1195" w:name="Tc_qLumIh-eIE2EvCGWFKE_ww_5_9"/>
      <w:bookmarkStart w:id="1196" w:name="Tc_Gw3VHcpDskCN_iQTSG18ZA_5_8"/>
      <w:bookmarkStart w:id="1197" w:name="Tc_Jox9SWj1lE6qXUCi0WToYw_5_6"/>
      <w:bookmarkStart w:id="1198" w:name="Tc_7Ug5XjfhYkSvLNIKjYeJrA_5_5"/>
      <w:bookmarkStart w:id="1199" w:name="Tc_CqM2eDkyfEmefNa3neqwyA_5_2"/>
      <w:bookmarkStart w:id="1200" w:name="Tc_4LChWYwHS0mwfaYvP-rm1g_5_0"/>
      <w:bookmarkStart w:id="1201" w:name="Tc_asMTgnBJ5kSP45IsQM40Xw_4_0"/>
      <w:bookmarkStart w:id="1202" w:name="Tc_p6ruHjgLg069fblEEs9MsQ_3_0"/>
      <w:bookmarkStart w:id="1203" w:name="Tc_a8EKq7ea7EWhD3ydxhG5qQ_2_8"/>
      <w:bookmarkStart w:id="1204" w:name="Tc_Xg7f3U6Gc0GbUJ6_uHo2mA_2_5"/>
      <w:bookmarkStart w:id="1205" w:name="Tc_jOOE5owzuEWIwe03aYDefQ_2_2"/>
      <w:bookmarkStart w:id="1206" w:name="Tc_MZZV4XPvhkezC-dXJdeR0Q_1_2"/>
      <w:bookmarkStart w:id="1207" w:name="_795cc3c0_ac8c_44a3_9511_86db4026b985"/>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June 30, 2025 and December 31, 2024, respectively (in thousands):</w:t>
      </w:r>
    </w:p>
    <w:p>
      <w:pPr>
        <w:pStyle w:val="TextBody"/>
        <w:bidi w:val="0"/>
        <w:spacing w:before="0" w:after="240"/>
        <w:ind w:left="0" w:right="0" w:firstLine="540"/>
        <w:jc w:val="both"/>
        <w:rPr/>
      </w:pPr>
      <w:r>
        <w:rPr/>
        <w:t>​</w:t>
      </w:r>
    </w:p>
    <w:tbl>
      <w:tblPr>
        <w:tblW w:w="771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781"/>
        <w:gridCol w:w="32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45"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3555" cy="175260"/>
                      <wp:effectExtent l="0" t="0" r="0" b="0"/>
                      <wp:wrapNone/>
                      <wp:docPr id="148" name="Frame14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17,807</w:t>
            </w:r>
          </w:p>
        </w:tc>
      </w:tr>
    </w:tbl>
    <w:p>
      <w:pPr>
        <w:pStyle w:val="TextBody"/>
        <w:bidi w:val="0"/>
        <w:spacing w:before="0" w:after="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781"/>
        <w:gridCol w:w="32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03555" cy="175260"/>
                      <wp:effectExtent l="0" t="0" r="0" b="0"/>
                      <wp:wrapNone/>
                      <wp:docPr id="157" name="Frame15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68,727</w:t>
            </w:r>
          </w:p>
        </w:tc>
      </w:tr>
    </w:tbl>
    <w:p>
      <w:pPr>
        <w:pStyle w:val="TextBody"/>
        <w:bidi w:val="0"/>
        <w:spacing w:before="0" w:after="0"/>
        <w:ind w:left="0" w:right="0" w:hanging="0"/>
        <w:jc w:val="left"/>
        <w:rPr/>
      </w:pPr>
      <w:r>
        <w:rPr/>
        <w:t>​</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As of June 30, 2025 and December 31, 2024, the Company has recorded the following financial instruments subject to fair value measurements: 1) Derivative warrant liabilities—Public Warrants and Private Warrants, 2) Money market funds, 3) U.S. treasury securities and 4) Earn-out liabilities.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208" w:name="Tc_kerpOE7fY0uEQoXonnxOcA_15_5"/>
      <w:bookmarkStart w:id="1209" w:name="Tc_xIYHkjAy3E-3mFLXTe9CHQ_15_2"/>
      <w:bookmarkStart w:id="1210" w:name="Tc_nBNWiJbvGESPY9K9mtSwNg_15_0"/>
      <w:bookmarkStart w:id="1211" w:name="Tc_70ayqToAo0-68P2rZI0xpA_14_0"/>
      <w:bookmarkStart w:id="1212" w:name="Tc_KYqdFOZ0RECflBn4nyVEVg_13_0"/>
      <w:bookmarkStart w:id="1213" w:name="Tc_itkXs_VMa0eJc3CIoT0muA_12_5"/>
      <w:bookmarkStart w:id="1214" w:name="Tc_rkDeYDM6M0KhkdvYncFu9A_12_2"/>
      <w:bookmarkStart w:id="1215" w:name="Tc_l7XjckC0PEi_Xx__ni9MCQ_12_0"/>
      <w:bookmarkStart w:id="1216" w:name="Tc_jaathtGUBUGdKjdD6C8zNA_10_5"/>
      <w:bookmarkStart w:id="1217" w:name="Tc_ltGQzFuev0mDzmX-_2h5wA_10_2"/>
      <w:bookmarkStart w:id="1218" w:name="Tc_jqCHfwFN0keWBUDrlnWKlQ_10_0"/>
      <w:bookmarkStart w:id="1219" w:name="Tc_hiXRL3eV-UuKPhLYMqlKDg_9_6"/>
      <w:bookmarkStart w:id="1220" w:name="Tc_Nck9cLjdOky7b7ZKqpe2jg_9_0"/>
      <w:bookmarkStart w:id="1221" w:name="Tc_ERils3E7T0qJRFrs5x4F4Q_8_0"/>
      <w:bookmarkStart w:id="1222" w:name="Tc_ZJfoxvnbUEOvzx-lmJW8Bg_7_6"/>
      <w:bookmarkStart w:id="1223" w:name="Tc_mi7Ir026hEOqRZAEnr4tAw_7_0"/>
      <w:bookmarkStart w:id="1224" w:name="Tc_yJIs34zry0mN2l66clC2kA_6_3"/>
      <w:bookmarkStart w:id="1225" w:name="Tc_oYHheA6_LkeFmj-3A_2-0g_6_0"/>
      <w:bookmarkStart w:id="1226" w:name="Tc_8PmjIJ80DUeQhLi53TYaZg_5_0"/>
      <w:bookmarkStart w:id="1227" w:name="Tc_5lYDPQ6NS0WIeMQoHYgcdQ_4_5"/>
      <w:bookmarkStart w:id="1228" w:name="Tc_76DVmvhjKkecKR6_n7AFeg_4_2"/>
      <w:bookmarkStart w:id="1229" w:name="Tc_4qqvZm7BHUCrdBkblQjg-Q_4_0"/>
      <w:bookmarkStart w:id="1230" w:name="Tc_B5Y8zQa7k0WVb_4ZeMGO3g_3_5"/>
      <w:bookmarkStart w:id="1231" w:name="Tc_ucKYeTRXl0yhPjtwLLcmag_3_2"/>
      <w:bookmarkStart w:id="1232" w:name="Tc_uTDPIXK1jkeWUCUUmJpfaA_2_5"/>
      <w:bookmarkStart w:id="1233" w:name="Tc_jUTL0-HPZkG7my1uYRu01A_2_2"/>
      <w:bookmarkStart w:id="1234" w:name="Tc_z9dk7w3OgU6s6YUhnqF8GQ_1_2"/>
      <w:bookmarkStart w:id="1235" w:name="_cf66f3f5_b9b9_48d5_95d5_e01294a9e4ea"/>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Pr>
          <w:rFonts w:ascii="Times New Roman;Times;serif" w:hAnsi="Times New Roman;Times;serif"/>
          <w:sz w:val="20"/>
        </w:rPr>
        <w:t xml:space="preserve">The fair value of the Public Warrants, money market funds and on-the-run U.S. treasury securities have been measured based on their observable listed prices, a Level 1 measurement. The fair value of the Company’s Level 2 financial assets are determined by using inputs based on quoted market prices for similar instruments.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other financial instruments are classified as Level 3 instruments as they all include unobservable inputs. The Private Warrants are measured at fair value using a Black Scholes model. The fair value of the Earn-out liabilities are estimated using a Monte Carlo simulation model. The Company estimates the volatility of its Private Warrants and Earn-out liabilities based on the historical volatility of the Company’s Common Stock.</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six months ended June 30, 2025, the vesting condition for the Promote Sponsor Vesting Shares (as defined below) was satisfied, and the underlying earn-out liability (Refer to Note 8 for Earn-out liabilities) was adjusted to fair value using the closing market price of the Company’s Common Stock on the vesting date. The earn-out liability for the Promote Sponsor Vesting Shares as of the February 6, 2025 vesting date of $32.9 million was recorded to additional paid-in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Previously, the Company used the implied volatility of its Public Warrants in its valuation models for the Private Warrants and Earn-out liabilities. As of December 31, 2024, the Company used the historical volatility of its Common Stock for these valuation models because the implied volatility of the Public Warrants was no longer meaningful due to the rapid increase in the price of the Public Warrants during the fourth quarter of 2024. There were no other changes in fair value measurement techniques during the six months ended June 30, 2025 or June 30, 2024.</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and six months ended June 30, 2025, the number of Private Warrants (a Level 3 measurement) converted to Public Warrants (a Level 1 measurement) were 29,599 and 575,000, respectively. As of the date of conversion, the favorable impact of the transfer of the Private Warrants to Public Warrants on the Company’s net income (loss) for the three and six months ended June 30, 2025, was $0.1 million and $3.4 million, respectively. Current estimates of fair value may differ from the amounts presented.</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six months ended June 30, 2025, and June 30, 2024 is as follows (in thousands):</w:t>
      </w:r>
    </w:p>
    <w:p>
      <w:pPr>
        <w:pStyle w:val="TextBody"/>
        <w:bidi w:val="0"/>
        <w:spacing w:before="0" w:after="24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6985"/>
        <w:gridCol w:w="326"/>
        <w:gridCol w:w="360"/>
        <w:gridCol w:w="1156"/>
        <w:gridCol w:w="326"/>
        <w:gridCol w:w="211"/>
        <w:gridCol w:w="841"/>
      </w:tblGrid>
      <w:tr>
        <w:trPr/>
        <w:tc>
          <w:tcPr>
            <w:tcW w:w="69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8600" cy="175260"/>
                      <wp:effectExtent l="0" t="0" r="0" b="0"/>
                      <wp:wrapNone/>
                      <wp:docPr id="159"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34060" cy="175260"/>
                      <wp:effectExtent l="0" t="0" r="0" b="0"/>
                      <wp:wrapNone/>
                      <wp:docPr id="160" name="Frame16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4035" cy="175260"/>
                      <wp:effectExtent l="0" t="0" r="0" b="0"/>
                      <wp:wrapNone/>
                      <wp:docPr id="163" name="Frame1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w:t>
            </w:r>
          </w:p>
        </w:tc>
      </w:tr>
      <w:tr>
        <w:trPr/>
        <w:tc>
          <w:tcPr>
            <w:tcW w:w="69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69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March 31,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June 30, 2025</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w:t>
            </w:r>
          </w:p>
        </w:tc>
      </w:tr>
      <w:tr>
        <w:trPr/>
        <w:tc>
          <w:tcPr>
            <w:tcW w:w="69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2024</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2024</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12" w:type="dxa"/>
        <w:jc w:val="left"/>
        <w:tblInd w:w="0" w:type="dxa"/>
        <w:tblLayout w:type="fixed"/>
        <w:tblCellMar>
          <w:top w:w="0" w:type="dxa"/>
          <w:left w:w="0" w:type="dxa"/>
          <w:bottom w:w="0" w:type="dxa"/>
          <w:right w:w="0" w:type="dxa"/>
        </w:tblCellMar>
      </w:tblPr>
      <w:tblGrid>
        <w:gridCol w:w="346"/>
        <w:gridCol w:w="2266"/>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(6)</w:t>
            </w:r>
          </w:p>
        </w:tc>
        <w:tc>
          <w:tcPr>
            <w:tcW w:w="22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pBdr/>
        <w:bidi w:val="0"/>
        <w:spacing w:before="0" w:after="0"/>
        <w:ind w:left="0" w:right="0" w:hanging="360"/>
        <w:jc w:val="left"/>
        <w:rPr/>
      </w:pPr>
      <w:r>
        <w:rPr/>
        <w:t>​</w:t>
      </w:r>
    </w:p>
    <w:p>
      <w:pPr>
        <w:pStyle w:val="TextBody"/>
        <w:pBdr/>
        <w:bidi w:val="0"/>
        <w:spacing w:before="0" w:after="0"/>
        <w:ind w:left="0" w:right="0" w:hanging="547"/>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pBdr/>
        <w:bidi w:val="0"/>
        <w:spacing w:before="0" w:after="0"/>
        <w:ind w:left="0" w:right="0" w:hanging="547"/>
        <w:jc w:val="left"/>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June 21, 2024, (the “Amendment Date”), the Company entered into the Amended and Restated Loan and Security Agreement (the “Amended Loan Agreement”), by and between Trinity Capital Inc., as lender (the “Lender”), and Rigetti &amp; Co, LLC and Rigetti Intermediate LLC, as borrowers, which amended and restated in its entirety the Company’s existing loan and security agreement, dated as of March 10, 2021 (as amended from time to time, the “Existing Loan Agreement”). The economic terms and cash flows of the Term Loans (defined below) remain unchanged under the Amended Loan Agreement.</w:t>
      </w:r>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Each Term Loan was to be amortized in equal monthly installments through 48 months following the disbursement date of each Term Loan (each, a “Maturity Date”), with interest at a rate equal to the greater of 11% or the </w:t>
      </w:r>
      <w:r>
        <w:rPr>
          <w:rFonts w:ascii="Times New Roman;Times;serif" w:hAnsi="Times New Roman;Times;serif"/>
          <w:b w:val="false"/>
          <w:i w:val="false"/>
          <w:caps w:val="false"/>
          <w:smallCaps w:val="false"/>
          <w:sz w:val="20"/>
        </w:rPr>
        <w:t>US Prime Rate</w:t>
      </w:r>
      <w:r>
        <w:rPr>
          <w:rFonts w:ascii="Times New Roman;Times;serif" w:hAnsi="Times New Roman;Times;serif"/>
          <w:sz w:val="20"/>
        </w:rPr>
        <w:t> plus 7.50% per annum, payable monthly.</w:t>
      </w:r>
    </w:p>
    <w:p>
      <w:pPr>
        <w:pStyle w:val="TextBody"/>
        <w:shd w:fill="FFFFFF" w:val="clear"/>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had the right to prepay the outstanding Term Loans, in whole or in part, subject to a prepayment premium that remains unchanged from the Existing Loan Agreement. In addition, the Company was required to pay on the respective Maturity Date, or the date of an earlier prepayment, a final payment fee equal to 2.75% of the aggregate original principal amount of the Term Loans, which remains consistent with the Existing Loan Agreement. The final payment fees were being accreted and amortized into interest expense using the effective interest rate method over the term of the loan.</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On December 9, 2024, the Company prepaid in full all amounts owed under the Amended Loan Agreement. The Company prepaid an aggregate of $9.5 million in outstanding principal balance, final payment fees of $0.9 million, plus accrued interest and a prepayment premium aggregating $0.1 million. </w:t>
      </w:r>
    </w:p>
    <w:p>
      <w:pPr>
        <w:pStyle w:val="TextBody"/>
        <w:shd w:fill="FFFFFF" w:val="clear"/>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During the three and six months ended June 30, 2024, the Company recorded interest expense of $1.0 million and $2.1 million, respectively, which included accretion of the end-of-term liability, amortization of the commitment fee asset and amortization of debt issuance costs totaling $0.2 million and $0.5 million, respectively. </w:t>
      </w:r>
      <w:r>
        <w:rPr>
          <w:rFonts w:ascii="Times New Roman;Times;serif" w:hAnsi="Times New Roman;Times;serif"/>
          <w:sz w:val="20"/>
          <w:shd w:fill="FFFFFF" w:val="clear"/>
        </w:rPr>
        <w:t>The effective interest rate for all tranches of the debt was approximately 23.1% as of June 30, 2024.</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(7) Warrants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 xml:space="preserve">per share on the trading day prior to the date on which the Company sends the notice of redemption to the warrant holders.   </w:t>
            </w:r>
          </w:p>
        </w:tc>
      </w:tr>
    </w:tbl>
    <w:p>
      <w:pPr>
        <w:pStyle w:val="TextBody"/>
        <w:bidi w:val="0"/>
        <w:spacing w:before="0" w:after="0"/>
        <w:ind w:left="907"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June 30, 2025 and December 31, 2024, Public Warrants issued and outstanding were 11,618,076 and 11,082,870, respectively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firstLine="63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30"/>
        <w:jc w:val="both"/>
        <w:rPr>
          <w:rFonts w:ascii="Times New Roman;Times;serif" w:hAnsi="Times New Roman;Times;serif"/>
          <w:sz w:val="20"/>
        </w:rPr>
      </w:pPr>
      <w:bookmarkStart w:id="1236" w:name="Tc_0rA7ejayWU2NhZIqIy8aaA_8_0"/>
      <w:bookmarkStart w:id="1237" w:name="Tc_E561UFLQ8EOxOsnPeEl40w_7_0"/>
      <w:bookmarkStart w:id="1238" w:name="Tc_6mGLEHvBVU2nbyVeMdAl0w_6_0"/>
      <w:bookmarkStart w:id="1239" w:name="Tc_THnnipPAlUqwvTfWUR6RgA_5_0"/>
      <w:bookmarkStart w:id="1240" w:name="Tc_6WHoGxPYCkaS1OqRf8sodg_4_5"/>
      <w:bookmarkStart w:id="1241" w:name="Tc_elQTWYyB_Eyq3rIXNHXF-w_4_2"/>
      <w:bookmarkStart w:id="1242" w:name="Tc_BqEuiutO7kiH0uMVrf3Z8w_4_0"/>
      <w:bookmarkStart w:id="1243" w:name="Tc_YRrMFCzrLE6a4lujJNJeHw_3_5"/>
      <w:bookmarkStart w:id="1244" w:name="Tc_37sfTo9u5kWBs4WYFXP7YQ_3_2"/>
      <w:bookmarkStart w:id="1245" w:name="Tc_fICOrI_5eUafC-gjuvqLQg_3_0"/>
      <w:bookmarkStart w:id="1246" w:name="Tc_dEu0tYm8okmkRiEhDsFWlg_2_5"/>
      <w:bookmarkStart w:id="1247" w:name="Tc_SfvVk6d0hUm0cc7rzTsDmA_2_2"/>
      <w:bookmarkStart w:id="1248" w:name="Tc_DsZ8AAld0UuJJfQ4dJQU_Q_2_0"/>
      <w:bookmarkEnd w:id="1236"/>
      <w:bookmarkEnd w:id="1237"/>
      <w:bookmarkEnd w:id="1238"/>
      <w:bookmarkEnd w:id="1239"/>
      <w:bookmarkEnd w:id="1240"/>
      <w:bookmarkEnd w:id="1241"/>
      <w:bookmarkEnd w:id="1242"/>
      <w:bookmarkEnd w:id="1243"/>
      <w:bookmarkEnd w:id="1244"/>
      <w:bookmarkEnd w:id="1245"/>
      <w:bookmarkEnd w:id="1246"/>
      <w:bookmarkEnd w:id="1247"/>
      <w:bookmarkEnd w:id="1248"/>
      <w:r>
        <w:rPr>
          <w:rFonts w:ascii="Times New Roman;Times;serif" w:hAnsi="Times New Roman;Times;serif"/>
          <w:sz w:val="20"/>
        </w:rPr>
        <w:t>During the three and six months ended June 30, 2025, the number of Public Warrants exercised, each for one share of Common Stock in exchange for cash proceeds of $11.50 per share, were 4,248 and 39,794, respectively. During the three months ended June 30, 2025, the proceeds from the warrant exercises and the underlying Public Warrant derivative liabilities on the exercise dates totaled less than $0.1 million. During the six months ended June 30, 2025, the proceeds from the warrant exercises totaled $0.5 million and the underlying Public Warrant derivative liabilities on the exercise dates totaled $0.3 million. The proceeds from the warrant exercises and the underlying Public Warrant derivative liabilities on the exercise dates were recorded to par value of Common Stock and additional paid-in capital.</w:t>
      </w:r>
    </w:p>
    <w:p>
      <w:pPr>
        <w:pStyle w:val="TextBody"/>
        <w:bidi w:val="0"/>
        <w:spacing w:before="0" w:after="240"/>
        <w:ind w:left="0" w:right="0" w:firstLine="63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June 30, 2025 and December 31, 2024 were $48.7 million and $70.3 million, respectively. The change in the fair value of the Public Warrants included in the condensed consolidated statement of operations during the three and six months ended June 30, 2025 was a loss of $16.7 million and a gain of $28.8 million, respectively. The change in the fair value of the Public Warrants included in the condensed consolidated statement of operations during the three and six months ended June 30, 2024 was a gain of $1.0 million and a loss of $0.1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June 30, 2025 and December 31, 2024, Private Warrants issued and outstanding were 1,417,102 and 1,992,102, respectively (Refer to Note 5 for fair value measurement).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June 30, 2025 and December 31, 2024 was $11.4 million and $22.8 million, respectively. The change in the fair value of Private Warrants included in the condensed consolidated statements of operations during the three and six months ended June 30, 2025 was a loss of $3.9 million and a gain of $3.9 million, respectively. The change in the fair value of the Private Warrants included in the condensed consolidated statements of operations during the three and six months ended June 30, 2024 was a gain of $1.1 million and a loss of $0.4 million, respectively.</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June 30, 2025 and December 31, 2024 are as follows:</w:t>
      </w:r>
    </w:p>
    <w:p>
      <w:pPr>
        <w:pStyle w:val="TextBody"/>
        <w:bidi w:val="0"/>
        <w:spacing w:before="0" w:after="0"/>
        <w:ind w:left="0" w:right="0" w:hanging="0"/>
        <w:jc w:val="left"/>
        <w:rPr/>
      </w:pPr>
      <w:r>
        <w:rPr/>
        <w:t>​</w:t>
      </w:r>
    </w:p>
    <w:tbl>
      <w:tblPr>
        <w:tblW w:w="6860" w:type="dxa"/>
        <w:jc w:val="left"/>
        <w:tblInd w:w="0" w:type="dxa"/>
        <w:tblLayout w:type="fixed"/>
        <w:tblCellMar>
          <w:top w:w="0" w:type="dxa"/>
          <w:left w:w="0" w:type="dxa"/>
          <w:bottom w:w="0" w:type="dxa"/>
          <w:right w:w="0" w:type="dxa"/>
        </w:tblCellMar>
      </w:tblPr>
      <w:tblGrid>
        <w:gridCol w:w="3016"/>
        <w:gridCol w:w="566"/>
        <w:gridCol w:w="326"/>
        <w:gridCol w:w="841"/>
        <w:gridCol w:w="566"/>
        <w:gridCol w:w="415"/>
        <w:gridCol w:w="1130"/>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59410" cy="175260"/>
                      <wp:effectExtent l="0" t="0" r="0" b="0"/>
                      <wp:wrapNone/>
                      <wp:docPr id="164" name="Frame16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59410" cy="175260"/>
                      <wp:effectExtent l="0" t="0" r="0" b="0"/>
                      <wp:wrapNone/>
                      <wp:docPr id="167" name="Frame16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3525" cy="175260"/>
                      <wp:effectExtent l="0" t="0" r="0" b="0"/>
                      <wp:wrapNone/>
                      <wp:docPr id="168" name="Frame16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17550" cy="175260"/>
                      <wp:effectExtent l="0" t="0" r="0" b="0"/>
                      <wp:wrapNone/>
                      <wp:docPr id="169" name="Frame169"/>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56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149.00%</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The Series C Warrants can be exercised for cash or on a cashless basis. The Company determined that the Series C Warrants met the requirements for equity classification under ASC 480 and ASC 815. The Company estimated the fair value of the Series C aarrants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and six months ended June 30, 2025, 5,560 and 16,682 Series C Warrants were exercised, respectively, each for one share of Common Stock, in exchange for cash proceeds of $0.01 per share. The proceeds from the warrant exercises were recorded to par value of Common Stock and additional-paid-in capital. As of June 30, 2025 and December 31, 2024, Series C Warrants issued and outstanding were 777,118 and 793,800,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49" w:name="Tc_3N_R0mBYN0C5VcKJMPHo3w_3_0"/>
      <w:bookmarkStart w:id="1250" w:name="Tc_EjdTHRK4kUKk1nZ3NNZarw_2_0"/>
      <w:bookmarkStart w:id="1251" w:name="Tc_24AM2X1khE-XgmJ-fW3RzQ_1_4"/>
      <w:bookmarkStart w:id="1252" w:name="Tc_WLy13_HL3k63YLCjGq0kTw_1_2"/>
      <w:bookmarkEnd w:id="1249"/>
      <w:bookmarkEnd w:id="1250"/>
      <w:bookmarkEnd w:id="1251"/>
      <w:bookmarkEnd w:id="1252"/>
      <w:r>
        <w:rPr>
          <w:rFonts w:ascii="Times New Roman;Times;serif" w:hAnsi="Times New Roman;Times;serif"/>
          <w:b/>
          <w:sz w:val="20"/>
        </w:rPr>
        <w:t>Customer Warrant</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2,680,607 shares of Class A Common Stock to a customer in conjunction with a revenue arrangement (the “Customer Warrant”). The Customer Warrant has an exercise price of $1.152 per share and has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The Customer Warrant was assumed by the Company in connection with the Business Combination and converted into a warrant to purchase shares of Common Stock.</w:t>
      </w:r>
    </w:p>
    <w:p>
      <w:pPr>
        <w:pStyle w:val="TextBody"/>
        <w:bidi w:val="0"/>
        <w:spacing w:before="0" w:after="0"/>
        <w:ind w:left="0" w:right="0" w:firstLine="540"/>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June 30, 2025 and December 31, 2024, the deferred asset balance outstanding is approximately $0.1 million, which will be recognized as a reduction in revenue in future periods.</w:t>
      </w:r>
    </w:p>
    <w:p>
      <w:pPr>
        <w:pStyle w:val="TextBody"/>
        <w:bidi w:val="0"/>
        <w:spacing w:before="0" w:after="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240"/>
        <w:ind w:left="0" w:right="0" w:firstLine="540"/>
        <w:jc w:val="both"/>
        <w:rPr/>
      </w:pPr>
      <w:r>
        <w:rPr/>
        <w:t>​</w:t>
      </w:r>
    </w:p>
    <w:tbl>
      <w:tblPr>
        <w:tblW w:w="6745" w:type="dxa"/>
        <w:jc w:val="left"/>
        <w:tblInd w:w="0" w:type="dxa"/>
        <w:tblLayout w:type="fixed"/>
        <w:tblCellMar>
          <w:top w:w="0" w:type="dxa"/>
          <w:left w:w="0" w:type="dxa"/>
          <w:bottom w:w="0" w:type="dxa"/>
          <w:right w:w="0" w:type="dxa"/>
        </w:tblCellMar>
      </w:tblPr>
      <w:tblGrid>
        <w:gridCol w:w="2941"/>
        <w:gridCol w:w="566"/>
        <w:gridCol w:w="1126"/>
        <w:gridCol w:w="566"/>
        <w:gridCol w:w="1546"/>
      </w:tblGrid>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59410" cy="175260"/>
                      <wp:effectExtent l="0" t="0" r="0" b="0"/>
                      <wp:wrapNone/>
                      <wp:docPr id="170" name="Frame17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15010" cy="175260"/>
                      <wp:effectExtent l="0" t="0" r="0" b="0"/>
                      <wp:wrapNone/>
                      <wp:docPr id="171" name="Frame17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59410" cy="175260"/>
                      <wp:effectExtent l="0" t="0" r="0" b="0"/>
                      <wp:wrapNone/>
                      <wp:docPr id="172" name="Frame17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81710" cy="175260"/>
                      <wp:effectExtent l="0" t="0" r="0" b="0"/>
                      <wp:wrapNone/>
                      <wp:docPr id="173" name="Frame17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pBdr/>
        <w:bidi w:val="0"/>
        <w:spacing w:before="240" w:after="0"/>
        <w:ind w:left="0" w:right="0" w:hanging="360"/>
        <w:jc w:val="left"/>
        <w:rPr>
          <w:rFonts w:ascii="Times New Roman;Times;serif" w:hAnsi="Times New Roman;Times;serif"/>
          <w:b/>
          <w:sz w:val="20"/>
        </w:rPr>
      </w:pPr>
      <w:r>
        <w:rPr>
          <w:rFonts w:ascii="Times New Roman;Times;serif" w:hAnsi="Times New Roman;Times;serif"/>
          <w:b/>
          <w:sz w:val="20"/>
        </w:rPr>
        <w:t>(8) Earn-out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(the “Sponsor”)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pStyle w:val="TextBody"/>
        <w:bidi w:val="0"/>
        <w:spacing w:before="0" w:after="240"/>
        <w:ind w:left="0" w:right="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p>
      <w:pPr>
        <w:pStyle w:val="TextBody"/>
        <w:bidi w:val="0"/>
        <w:spacing w:before="0" w:after="240"/>
        <w:ind w:left="0" w:right="0" w:firstLine="54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p>
      <w:pPr>
        <w:pStyle w:val="TextBody"/>
        <w:bidi w:val="0"/>
        <w:spacing w:before="0" w:after="24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tc>
      </w:tr>
    </w:tbl>
    <w:p>
      <w:pPr>
        <w:pStyle w:val="TextBody"/>
        <w:bidi w:val="0"/>
        <w:spacing w:before="0" w:after="240"/>
        <w:ind w:left="108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six months ended June 30, 2025, the vesting condition for the Promote Sponsor Vesting Shares was satisfied, and the underlying earn-out liability was adjusted to fair value using the closing market price of the Company’s Common Stock on the vesting date. The earn-out liability for the Promote Sponsor Vesting Shares as of the February 6, 2025 (“vesting date”) of $32.9 million was recorded to additional paid-in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As of June 30, 2025, the vesting condition for the Sponsor Redemption-Based Vesting shares remained unsatisfied. As of the market close on August 8, 2025, the volume weighted average price of the Company’s Common Stock equaled or exceeded $15.00 for 16 days out of the last </w:t>
      </w:r>
      <w:r>
        <w:rPr>
          <w:rFonts w:ascii="Times New Roman;Times;serif" w:hAnsi="Times New Roman;Times;serif"/>
          <w:b w:val="false"/>
          <w:i w:val="false"/>
          <w:caps w:val="false"/>
          <w:smallCaps w:val="false"/>
          <w:sz w:val="20"/>
        </w:rPr>
        <w:t>18</w:t>
      </w:r>
      <w:r>
        <w:rPr>
          <w:rFonts w:ascii="Times New Roman;Times;serif" w:hAnsi="Times New Roman;Times;serif"/>
          <w:sz w:val="20"/>
        </w:rPr>
        <w:t xml:space="preserve"> trading days. If the volume weighted average price of the Company’s Common Stock were to equal or exceed $15.00 for 4 days out of the next </w:t>
      </w: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trading days commencing on August 11, 2025, the vesting condition for the Sponsor Redemption-Based Vesting shares would be satisfied.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253" w:name="Tc_w29_4Kvk0kSsljXYcWD-YQ_6_0"/>
      <w:bookmarkStart w:id="1254" w:name="Tc_6K4whyItEkezJTc-R7AUKQ_5_0"/>
      <w:bookmarkStart w:id="1255" w:name="Tc_Wbljjm6ktEiZnNrZbxTqnw_4_0"/>
      <w:bookmarkStart w:id="1256" w:name="Tc_XPYcaSlagkeIE0Xr26vcsw_3_0"/>
      <w:bookmarkStart w:id="1257" w:name="Tc_6vaxPvlOb0SNbZZqLwhhEw_2_5"/>
      <w:bookmarkStart w:id="1258" w:name="Tc_ELTc_S65vkOlNNpMvHyNFw_2_2"/>
      <w:bookmarkStart w:id="1259" w:name="Tc_MkadoWMppEWheeFIQzJFRw_2_0"/>
      <w:bookmarkStart w:id="1260" w:name="Tc_zHSEK5YVl0qPflnYiTZkXg_1_5"/>
      <w:bookmarkStart w:id="1261" w:name="Tc_-C_VmMphOU6kjEv1rKA-4w_1_2"/>
      <w:bookmarkStart w:id="1262" w:name="Tc_rryQtRPdAkS__yFt_Mqvhw_1_0"/>
      <w:bookmarkEnd w:id="1253"/>
      <w:bookmarkEnd w:id="1254"/>
      <w:bookmarkEnd w:id="1255"/>
      <w:bookmarkEnd w:id="1256"/>
      <w:bookmarkEnd w:id="1257"/>
      <w:bookmarkEnd w:id="1258"/>
      <w:bookmarkEnd w:id="1259"/>
      <w:bookmarkEnd w:id="1260"/>
      <w:bookmarkEnd w:id="1261"/>
      <w:bookmarkEnd w:id="1262"/>
      <w:r>
        <w:rPr>
          <w:rFonts w:ascii="Times New Roman;Times;serif" w:hAnsi="Times New Roman;Times;serif"/>
          <w:sz w:val="20"/>
        </w:rPr>
        <w:t>The Earn-out liabilities related to the unvested Sponsor Vesting Shares are adjusted to fair value each reporting period using the Monte Carlo simulation model until such time as the Earn-Out Triggering Events are achieved or the Sponsor Vesting Shares are forfeited.</w:t>
      </w:r>
    </w:p>
    <w:p>
      <w:pPr>
        <w:pStyle w:val="TextBody"/>
        <w:bidi w:val="0"/>
        <w:spacing w:before="0" w:after="0"/>
        <w:ind w:left="0" w:right="0" w:firstLine="547"/>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Earn-out liabilities with respect to the unvested Sponsor Vesting Shares as of June 30, 2025 and December 31, 2024 were $6.4 million and $45.9 million, respectively. The change in the fair value of the Earn-out liabilities included in the condensed consolidated statements of operations during the three and six months ended June 30, 2025 was a loss of $2.3 million and a gain of $6.6 million, respectively. The change in the fair value of the Earn-out liabilities included in the condensed consolidated statements of operations during the three and six months ended June 30, 2024 was a gain of $1.3 million and a loss of $0.3 million, respectively.</w:t>
      </w:r>
    </w:p>
    <w:p>
      <w:pPr>
        <w:pStyle w:val="TextBody"/>
        <w:shd w:fill="FFFFFF" w:val="clear"/>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June 30, 2025 and December 31, 2024 were as follows:</w:t>
      </w:r>
    </w:p>
    <w:p>
      <w:pPr>
        <w:pStyle w:val="TextBody"/>
        <w:bidi w:val="0"/>
        <w:spacing w:before="0" w:after="240"/>
        <w:ind w:left="0" w:right="0" w:firstLine="540"/>
        <w:jc w:val="both"/>
        <w:rPr/>
      </w:pPr>
      <w:r>
        <w:rPr/>
        <w:t>​</w:t>
      </w:r>
    </w:p>
    <w:tbl>
      <w:tblPr>
        <w:tblW w:w="6549" w:type="dxa"/>
        <w:jc w:val="left"/>
        <w:tblInd w:w="0" w:type="dxa"/>
        <w:tblLayout w:type="fixed"/>
        <w:tblCellMar>
          <w:top w:w="0" w:type="dxa"/>
          <w:left w:w="0" w:type="dxa"/>
          <w:bottom w:w="0" w:type="dxa"/>
          <w:right w:w="0" w:type="dxa"/>
        </w:tblCellMar>
      </w:tblPr>
      <w:tblGrid>
        <w:gridCol w:w="3226"/>
        <w:gridCol w:w="326"/>
        <w:gridCol w:w="225"/>
        <w:gridCol w:w="900"/>
        <w:gridCol w:w="326"/>
        <w:gridCol w:w="350"/>
        <w:gridCol w:w="1196"/>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2875" cy="175260"/>
                      <wp:effectExtent l="0" t="0" r="0" b="0"/>
                      <wp:wrapNone/>
                      <wp:docPr id="175" name="Frame17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71500" cy="175260"/>
                      <wp:effectExtent l="0" t="0" r="0" b="0"/>
                      <wp:wrapNone/>
                      <wp:docPr id="176" name="Frame17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2250" cy="175260"/>
                      <wp:effectExtent l="0" t="0" r="0" b="0"/>
                      <wp:wrapNone/>
                      <wp:docPr id="178" name="Frame178"/>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59460" cy="175260"/>
                      <wp:effectExtent l="0" t="0" r="0" b="0"/>
                      <wp:wrapNone/>
                      <wp:docPr id="179" name="Frame179"/>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263" w:name="Tc_dtE_ASJFo06XkxyI7msQBw_5_0"/>
      <w:bookmarkStart w:id="1264" w:name="Tc_lkJFlOxqn0SQllnm8CaFGw_4_0"/>
      <w:bookmarkStart w:id="1265" w:name="Tc_WogQkaQjYku_QaRCiSNzLw_3_0"/>
      <w:bookmarkStart w:id="1266" w:name="Tc_kRopy5UCG0OxxXabS_X4pQ_2_0"/>
      <w:bookmarkStart w:id="1267" w:name="Tc_26pg__v7X0GjRco03SQwHQ_1_2"/>
      <w:bookmarkEnd w:id="1263"/>
      <w:bookmarkEnd w:id="1264"/>
      <w:bookmarkEnd w:id="1265"/>
      <w:bookmarkEnd w:id="1266"/>
      <w:bookmarkEnd w:id="1267"/>
      <w:r>
        <w:rPr>
          <w:rFonts w:ascii="Times New Roman;Times;serif" w:hAnsi="Times New Roman;Times;serif"/>
          <w:b/>
          <w:sz w:val="20"/>
        </w:rPr>
        <w:t>(9) Stockholders’ Equity</w:t>
      </w:r>
    </w:p>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June 30, 2025, the Company has reserved the following shares of Common Stock for issuance upon the conversion, exercise or vesting of the underlying instruments:</w:t>
      </w:r>
    </w:p>
    <w:p>
      <w:pPr>
        <w:pStyle w:val="TextBody"/>
        <w:bidi w:val="0"/>
        <w:spacing w:before="0" w:after="240"/>
        <w:ind w:left="0" w:right="0" w:firstLine="540"/>
        <w:jc w:val="both"/>
        <w:rPr/>
      </w:pPr>
      <w:r>
        <w:rPr/>
        <w:t>​</w:t>
      </w:r>
    </w:p>
    <w:tbl>
      <w:tblPr>
        <w:tblW w:w="5443" w:type="dxa"/>
        <w:jc w:val="left"/>
        <w:tblInd w:w="0" w:type="dxa"/>
        <w:tblLayout w:type="fixed"/>
        <w:tblCellMar>
          <w:top w:w="0" w:type="dxa"/>
          <w:left w:w="0" w:type="dxa"/>
          <w:bottom w:w="0" w:type="dxa"/>
          <w:right w:w="0" w:type="dxa"/>
        </w:tblCellMar>
      </w:tblPr>
      <w:tblGrid>
        <w:gridCol w:w="3676"/>
        <w:gridCol w:w="326"/>
        <w:gridCol w:w="1441"/>
      </w:tblGrid>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15035" cy="175260"/>
                      <wp:effectExtent l="0" t="0" r="0" b="0"/>
                      <wp:wrapNone/>
                      <wp:docPr id="181" name="Frame18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16,528,051</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6,544,122</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6,536,637</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29,608,810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At-the-Market Offerings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May 2025 Sales Agreement with Jefferies, LLC</w:t>
      </w:r>
    </w:p>
    <w:p>
      <w:pPr>
        <w:pStyle w:val="TextBody"/>
        <w:bidi w:val="0"/>
        <w:spacing w:before="0" w:after="240"/>
        <w:ind w:left="0" w:right="0" w:firstLine="540"/>
        <w:jc w:val="both"/>
        <w:rPr/>
      </w:pPr>
      <w:r>
        <w:rPr/>
        <w:t>​</w:t>
      </w:r>
    </w:p>
    <w:p>
      <w:pPr>
        <w:pStyle w:val="TextBody"/>
        <w:bidi w:val="0"/>
        <w:spacing w:lineRule="auto" w:line="240" w:before="0" w:after="0"/>
        <w:ind w:left="0" w:right="0" w:firstLine="540"/>
        <w:jc w:val="both"/>
        <w:rPr>
          <w:rFonts w:ascii="Times New Roman;Times;serif" w:hAnsi="Times New Roman;Times;serif"/>
          <w:sz w:val="20"/>
        </w:rPr>
      </w:pPr>
      <w:r>
        <w:rPr>
          <w:rFonts w:ascii="Times New Roman;Times;serif" w:hAnsi="Times New Roman;Times;serif"/>
          <w:sz w:val="20"/>
        </w:rPr>
        <w:t>On May 29, 2025,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“Sales Agreement”) with </w:t>
      </w:r>
      <w:r>
        <w:rPr>
          <w:rFonts w:ascii="Times New Roman;Times;serif" w:hAnsi="Times New Roman;Times;serif"/>
          <w:sz w:val="20"/>
          <w:shd w:fill="FFFFFF" w:val="clear"/>
        </w:rPr>
        <w:t xml:space="preserve">Jefferies, LLC (the “Agent”) with respect to an At-the-Market offering program, pursuant to which the Company sold, from time to time at its sole discretion, shares of its Common Stock having an aggregate offering price of $350 million (the “ATM Offering”). </w:t>
      </w:r>
      <w:r>
        <w:rPr>
          <w:rFonts w:ascii="Times New Roman;Times;serif" w:hAnsi="Times New Roman;Times;serif"/>
          <w:sz w:val="20"/>
        </w:rPr>
        <w:t>The shares offered and sold in the ATM Offering were issued and sold pursuant to the Company’s automatic shelf registration statement on Form S-3 and the related prospectus supplement, which the Company filed with the SEC on May 29, 2025. The Company paid the Agent a commission of up to 3% of the gross proceeds of the shares sold under the Sales Agreement, and the Company agreed to provide the Agent with customary indemnification rights. The Sales Agreement contains customary representations and warranties and conditions to the sale of the shares pursuant thereto.</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June 30, 2025, the Company raised gross proceeds of $350 million from the sale of 30,309,780 shares of its Common Stock pursuant to the Sales Agreement, at a weighted average price of $11.55 per share, which represented the full amount of shares available for sale under the Sales Agreement. The net proceeds from the Sales Agreement during the three months ended June 30, 2025 were $346.7 million, after deducting Agent commissions totaling $3.3 million. As of June 30, 2025, there were no remaining shares available for sale pursuant to the Sales Agreement.</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March 2024 Sales Agreement with B. Riley Securities, Inc. and Needham &amp; Company, LLC</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15, 2024, the Company entered into an At-the-Market Sales Agreement (the “Prior ATM Agreement”) with </w:t>
      </w:r>
      <w:r>
        <w:rPr>
          <w:rFonts w:ascii="Times New Roman;Times;serif" w:hAnsi="Times New Roman;Times;serif"/>
          <w:sz w:val="20"/>
          <w:shd w:fill="FFFFFF" w:val="clear"/>
        </w:rPr>
        <w:t xml:space="preserve">B. Riley Securities, Inc. and Needham &amp; Company, LLC pursuant to which the Company sold, from time to time at its sole discretion, shares of its Common Stock having an aggregate offering price of $100 million. </w:t>
      </w:r>
    </w:p>
    <w:p>
      <w:pPr>
        <w:pStyle w:val="TextBody"/>
        <w:bidi w:val="0"/>
        <w:spacing w:before="0" w:after="0"/>
        <w:ind w:left="0" w:right="0" w:firstLine="547"/>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June 30, 2024, the Company raised gross proceeds of $16.2 million from the sale of 12,777,393 shares of its Common Stock pursuant to the Prior ATM Agreement, at a weighted average price of $1.27 per share. During the six months ended June 30, 2024, the Company raised gross proceeds of $27.5 million from the sale of 19,423,375 shares of its Common Stock pursuant to the Prior ATM Agreement, at a weighted average price of $1.42 per share.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net proceeds from the Prior ATM offering during the three and six months ended June 30, 2024 were $15.8 million and $26.8 million, respectively, after deducting sales agent commissions of $0.4 million and $0.7 million, respectively. As of June 30, 2025, there were no remaining shares available for sale under the Prior ATM Agreement.</w:t>
      </w:r>
    </w:p>
    <w:p>
      <w:pPr>
        <w:pStyle w:val="TextBody"/>
        <w:bidi w:val="0"/>
        <w:spacing w:before="160" w:after="0"/>
        <w:ind w:left="0" w:right="0" w:hanging="0"/>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provided B. Riley with registration rights with respect to such Common Stock and pursuant to which the Company filed a registration statement covering the resale of such Common Stock.</w:t>
      </w:r>
    </w:p>
    <w:p>
      <w:pPr>
        <w:pStyle w:val="TextBody"/>
        <w:bidi w:val="0"/>
        <w:spacing w:before="0" w:after="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months ended June 30, 2024, the Company did not sell any Common Stock under the Purchase Agreement. During the six months ended June 30, 2024, the Company received net proceeds of $12.8 million from the issuance and sale of 10,056,799 shares of Common Stock to B. Riley under the Purchase Agreement. As of June 30, 2025, there were no remaining shares available for sale under the Purchase Agreement; as a result, the Purchase Agreement has terminated.</w:t>
      </w:r>
    </w:p>
    <w:p>
      <w:pPr>
        <w:pStyle w:val="TextBody"/>
        <w:pBdr/>
        <w:bidi w:val="0"/>
        <w:spacing w:before="0" w:after="240"/>
        <w:ind w:left="0" w:right="0" w:hanging="360"/>
        <w:jc w:val="left"/>
        <w:rPr>
          <w:rFonts w:ascii="Times New Roman;Times;serif" w:hAnsi="Times New Roman;Times;serif"/>
          <w:b/>
          <w:sz w:val="20"/>
        </w:rPr>
      </w:pPr>
      <w:bookmarkStart w:id="1268" w:name="Tc_739bwe7S3UKnDHs3CSdsVA_10_9"/>
      <w:bookmarkStart w:id="1269" w:name="Tc_kXtW_cnSyEey1Vqc6m_zqQ_10_4"/>
      <w:bookmarkStart w:id="1270" w:name="Tc_uXPyhYcMSke2LN2q04m9Ew_10_0"/>
      <w:bookmarkStart w:id="1271" w:name="Tc_zFX6ppveN0WF5CKk5Lnu8Q_9_9"/>
      <w:bookmarkStart w:id="1272" w:name="Tc_AS9ieGHq2UmKysjilpvUdg_9_4"/>
      <w:bookmarkStart w:id="1273" w:name="Tc_l30xvrga20iKY9ibnqdLDw_9_0"/>
      <w:bookmarkStart w:id="1274" w:name="Tc_tUGcYP_CkkyEK-a2pbuO4Q_8_5"/>
      <w:bookmarkStart w:id="1275" w:name="Tc_Nx4PhUQWyUe7PAhtaT62sA_8_2"/>
      <w:bookmarkStart w:id="1276" w:name="Tc_DfnX70o6ikqcwebKi7dilQ_8_0"/>
      <w:bookmarkStart w:id="1277" w:name="Tc_LRG5_31sqEauPyzFYLs50g_7_0"/>
      <w:bookmarkStart w:id="1278" w:name="Tc_hw63SkwRZkm8hDHUGBXjsg_6_5"/>
      <w:bookmarkStart w:id="1279" w:name="Tc_wpwtWRIbEUOQtS8B5Pmv0w_6_2"/>
      <w:bookmarkStart w:id="1280" w:name="Tc_UPkzrswNxEit7pKOwrfIXg_6_0"/>
      <w:bookmarkStart w:id="1281" w:name="Tc_cf2ynCGEtkWElz6yVOyH9w_5_9"/>
      <w:bookmarkStart w:id="1282" w:name="Tc_2M0jSji9KUCgspUVSsjTyQ_5_4"/>
      <w:bookmarkStart w:id="1283" w:name="Tc_wBQBEal9rkmw4ViPpp1B3Q_5_0"/>
      <w:bookmarkStart w:id="1284" w:name="Tc_b5erIuVWykCG_k4clxs1ow_4_9"/>
      <w:bookmarkStart w:id="1285" w:name="Tc_rH-Nb3fXQk-QpZLkTnerSA_4_7"/>
      <w:bookmarkStart w:id="1286" w:name="Tc_Wczx0mhKBEqawxkbYGOQMw_4_4"/>
      <w:bookmarkStart w:id="1287" w:name="Tc_-UVWGuvKdUKmGvcsmiAWng_4_2"/>
      <w:bookmarkStart w:id="1288" w:name="Tc_MlaIkNgwG0SZKuFRjy_qLQ_3_9"/>
      <w:bookmarkStart w:id="1289" w:name="Tc_u5ITZt3puUqfQH1wFdG9Fw_3_7"/>
      <w:bookmarkStart w:id="1290" w:name="Tc__92oF2--nUy8YZDymyqsLg_3_4"/>
      <w:bookmarkStart w:id="1291" w:name="Tc_akFt_7ngrEOWOCBUSaOlqQ_2_9"/>
      <w:bookmarkStart w:id="1292" w:name="Tc_1Uo22RT5D0CMC89IuWGNGQ_2_7"/>
      <w:bookmarkStart w:id="1293" w:name="Tc_jFYXRLBba0OIcXRIwMEuDg_2_4"/>
      <w:bookmarkStart w:id="1294" w:name="Tc_xAgXjlPWnUqa_qpvsJ4kBA_1_7"/>
      <w:bookmarkStart w:id="1295" w:name="Tc_XGSOwALxpkaOMOv-2gJzaw_1_4"/>
      <w:bookmarkStart w:id="1296" w:name="_Hlk161993311"/>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rFonts w:ascii="Times New Roman;Times;serif" w:hAnsi="Times New Roman;Times;serif"/>
          <w:b/>
          <w:sz w:val="20"/>
        </w:rPr>
        <w:t>(10) Share-Based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June 30, 2025, there were 32,403,747 shares of Common Stock reserved for issuance under the 2022 Plan, of which 20,817,292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2025, the number of shares of Common Stock reserved for issuance under the “2022 Plan” was increased by 15,972,015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six months ended June 30, 2025:</w:t>
      </w:r>
    </w:p>
    <w:p>
      <w:pPr>
        <w:pStyle w:val="TextBody"/>
        <w:bidi w:val="0"/>
        <w:spacing w:before="0" w:after="240"/>
        <w:ind w:left="0" w:right="0" w:firstLine="540"/>
        <w:jc w:val="left"/>
        <w:rPr/>
      </w:pPr>
      <w:r>
        <w:rPr/>
        <w:t>​</w:t>
      </w:r>
    </w:p>
    <w:tbl>
      <w:tblPr>
        <w:tblW w:w="10205" w:type="dxa"/>
        <w:jc w:val="left"/>
        <w:tblInd w:w="0" w:type="dxa"/>
        <w:tblLayout w:type="fixed"/>
        <w:tblCellMar>
          <w:top w:w="0" w:type="dxa"/>
          <w:left w:w="0" w:type="dxa"/>
          <w:bottom w:w="0" w:type="dxa"/>
          <w:right w:w="0" w:type="dxa"/>
        </w:tblCellMar>
      </w:tblPr>
      <w:tblGrid>
        <w:gridCol w:w="3556"/>
        <w:gridCol w:w="326"/>
        <w:gridCol w:w="1512"/>
        <w:gridCol w:w="326"/>
        <w:gridCol w:w="363"/>
        <w:gridCol w:w="802"/>
        <w:gridCol w:w="326"/>
        <w:gridCol w:w="1115"/>
        <w:gridCol w:w="326"/>
        <w:gridCol w:w="438"/>
        <w:gridCol w:w="1115"/>
      </w:tblGrid>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0505" cy="175260"/>
                      <wp:effectExtent l="0" t="0" r="0" b="0"/>
                      <wp:wrapNone/>
                      <wp:docPr id="184" name="Frame18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09270" cy="175260"/>
                      <wp:effectExtent l="0" t="0" r="0" b="0"/>
                      <wp:wrapNone/>
                      <wp:docPr id="185" name="Frame185"/>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08025" cy="175260"/>
                      <wp:effectExtent l="0" t="0" r="0" b="0"/>
                      <wp:wrapNone/>
                      <wp:docPr id="187" name="Frame187"/>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78130" cy="175260"/>
                      <wp:effectExtent l="0" t="0" r="0" b="0"/>
                      <wp:wrapNone/>
                      <wp:docPr id="189" name="Frame189"/>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08025" cy="175260"/>
                      <wp:effectExtent l="0" t="0" r="0" b="0"/>
                      <wp:wrapNone/>
                      <wp:docPr id="190" name="Frame190"/>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5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8,131,235</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1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(1,594,598)</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26" w:type="dxa"/>
            <w:tcBorders/>
            <w:shd w:fill="CCEEFF" w:val="clear"/>
            <w:vAlign w:val="center"/>
          </w:tcPr>
          <w:p>
            <w:pPr>
              <w:pStyle w:val="TableContents"/>
              <w:bidi w:val="0"/>
              <w:spacing w:before="0" w:after="0"/>
              <w:ind w:left="0" w:right="0" w:hanging="0"/>
              <w:jc w:val="left"/>
              <w:rPr/>
            </w:pPr>
            <w:r>
              <w:rPr/>
              <w:t> </w:t>
            </w:r>
          </w:p>
        </w:tc>
        <w:tc>
          <w:tcPr>
            <w:tcW w:w="11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38" w:type="dxa"/>
            <w:tcBorders/>
            <w:shd w:fill="CCEEFF" w:val="clear"/>
            <w:vAlign w:val="center"/>
          </w:tcPr>
          <w:p>
            <w:pPr>
              <w:pStyle w:val="TableContents"/>
              <w:bidi w:val="0"/>
              <w:spacing w:before="0" w:after="0"/>
              <w:ind w:left="0" w:right="0" w:hanging="0"/>
              <w:jc w:val="left"/>
              <w:rPr/>
            </w:pPr>
            <w:r>
              <w:rPr/>
              <w:t>​</w:t>
            </w:r>
          </w:p>
        </w:tc>
        <w:tc>
          <w:tcPr>
            <w:tcW w:w="1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5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5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6,536,637</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1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2025</w:t>
            </w:r>
          </w:p>
        </w:tc>
        <w:tc>
          <w:tcPr>
            <w:tcW w:w="326" w:type="dxa"/>
            <w:tcBorders/>
            <w:vAlign w:val="center"/>
          </w:tcPr>
          <w:p>
            <w:pPr>
              <w:pStyle w:val="TableContents"/>
              <w:bidi w:val="0"/>
              <w:spacing w:before="0" w:after="0"/>
              <w:ind w:left="0" w:right="0" w:hanging="0"/>
              <w:jc w:val="left"/>
              <w:rPr/>
            </w:pPr>
            <w:r>
              <w:rPr/>
              <w:t> </w:t>
            </w:r>
          </w:p>
        </w:tc>
        <w:tc>
          <w:tcPr>
            <w:tcW w:w="15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3,454,324</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0.79</w:t>
            </w:r>
          </w:p>
        </w:tc>
        <w:tc>
          <w:tcPr>
            <w:tcW w:w="326" w:type="dxa"/>
            <w:tcBorders/>
            <w:vAlign w:val="center"/>
          </w:tcPr>
          <w:p>
            <w:pPr>
              <w:pStyle w:val="TableContents"/>
              <w:bidi w:val="0"/>
              <w:spacing w:before="0" w:after="0"/>
              <w:ind w:left="0" w:right="0" w:hanging="0"/>
              <w:jc w:val="left"/>
              <w:rPr/>
            </w:pPr>
            <w:r>
              <w:rPr/>
              <w:t> </w:t>
            </w:r>
          </w:p>
        </w:tc>
        <w:tc>
          <w:tcPr>
            <w:tcW w:w="11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26"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38,255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bookmarkStart w:id="1297" w:name="Tc_jGVAzHGHZUC8vxt_V5PIVg_8_4"/>
      <w:bookmarkStart w:id="1298" w:name="Tc_GFwYJKHkLk2b5qu3UQWgFw_8_0"/>
      <w:bookmarkStart w:id="1299" w:name="Tc_BCWYKQ_AIUyf8PNZIhQydg_7_0"/>
      <w:bookmarkStart w:id="1300" w:name="Tc_VitnwONJ80iy6cVIFTBY0w_6_0"/>
      <w:bookmarkStart w:id="1301" w:name="Tc_ChR28UN83UG-jAcG80lPrQ_5_0"/>
      <w:bookmarkStart w:id="1302" w:name="Tc_Qalr3iHxNk6byTxgHbNh1g_4_4"/>
      <w:bookmarkStart w:id="1303" w:name="Tc_iLvo0EF7MkGTc5Uz11i0Nw_4_0"/>
      <w:bookmarkStart w:id="1304" w:name="Tc_VCxzTDbvTkqlaxiADOzAbA_3_4"/>
      <w:bookmarkStart w:id="1305" w:name="Tc_UcpYoJ0FV0SiPwnLgWtfIw_3_2"/>
      <w:bookmarkStart w:id="1306" w:name="Tc_H8Nq6YuOD0WS7kzW39FjZA_2_4"/>
      <w:bookmarkStart w:id="1307" w:name="Tc_bOTUy_E21kaAOPuPHBlWbw_1_4"/>
      <w:bookmarkEnd w:id="1297"/>
      <w:bookmarkEnd w:id="1298"/>
      <w:bookmarkEnd w:id="1299"/>
      <w:bookmarkEnd w:id="1300"/>
      <w:bookmarkEnd w:id="1301"/>
      <w:bookmarkEnd w:id="1302"/>
      <w:bookmarkEnd w:id="1303"/>
      <w:bookmarkEnd w:id="1304"/>
      <w:bookmarkEnd w:id="1305"/>
      <w:bookmarkEnd w:id="1306"/>
      <w:bookmarkEnd w:id="1307"/>
      <w:r>
        <w:rPr>
          <w:rFonts w:ascii="Times New Roman;Times;serif" w:hAnsi="Times New Roman;Times;serif"/>
          <w:sz w:val="20"/>
        </w:rPr>
        <w:t xml:space="preserve">The Company’s outstanding stock options generally have exercise prices equal to fair market value on the date of grant, expire after ten years and have service-based vesting conditions ranging from 1-5 years, except that 500,000 stock options granted in 2022 had a market-based vesting condition tied to the Company’s Common Stock price. The vesting condition with respect to the market-based stock option grants was satisfied in January 2025. The intrinsic value of an option is the amount by which the market price of the underlying Common Stock exceeds the option’s exercise price. The intrinsic value of stock options exercised during the six months ended June 30, 2025 and June 30, 2024 was $17.4 million and $0.3 million, respectively. The Company received proceeds from stock option exercises of $1.4 million and $0.1 million during the six months ended June 30, 2025 and June 30, 2024, respectively. </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$1.0 million for the three and six months ended June 30, 2025, respectively. Stock-based compensation expense related to stock options granted to employees was $0.5 million and $0.9 million for the three and six months ended June 30, 2024, respectively. As of June 30, 2025, the unrecognized compensation expense related to unvested stock options was $3.3 million, which is expected to be recognized over a weighted-average period of 1.96 years.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fair value of each stock option award is estimated on the grant date using the Black-Scholes option-pricing model. No stock options were granted during the six months ended June 30, 2025. The weighted-average grant date fair value of stock options granted during the six months ended June 30, 2024 was $1.51 per share. The valuation assumptions used as inputs to the Black-Scholes option-pricing model to value the Company’s service-based stock options include expected volatility for the Company’s Common Stock, the expected term of the stock options granted, the assumed dividend yield and the risk free interest rate at the time of grant.</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For the first nine months of 2024, expected volatility for the Company’s Common Stock was determined based on a blended average of the historical volatility of a peer group of similar public companies, the historical volatility of the Company’s Common Stock and the implied volatility from the Company’s Public Warrants. For the last three months of 2024, expected volatility for the Company’s Common Stock was determined based on a one-third weighting of the historical volatility of a peer group of similar public companies and a two-thirds weighting of the historical volatility of the Company’s Common Stock. The implied volatility from the Company’s Public Warrants was excluded because the calculation did not produce a meaningful result. The Company has not been public for a sufficient length of time to derive expected volatility solely from trading in its Common Stock.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is a summary of RSU activity during the six months ended June 30, 2025:</w:t>
      </w:r>
    </w:p>
    <w:p>
      <w:pPr>
        <w:pStyle w:val="TextBody"/>
        <w:bidi w:val="0"/>
        <w:spacing w:before="0" w:after="240"/>
        <w:ind w:left="0" w:right="0" w:firstLine="547"/>
        <w:jc w:val="both"/>
        <w:rPr/>
      </w:pPr>
      <w:r>
        <w:rPr/>
        <w:t>​</w:t>
      </w:r>
    </w:p>
    <w:tbl>
      <w:tblPr>
        <w:tblW w:w="6069" w:type="dxa"/>
        <w:jc w:val="left"/>
        <w:tblInd w:w="0" w:type="dxa"/>
        <w:tblLayout w:type="fixed"/>
        <w:tblCellMar>
          <w:top w:w="0" w:type="dxa"/>
          <w:left w:w="0" w:type="dxa"/>
          <w:bottom w:w="0" w:type="dxa"/>
          <w:right w:w="0" w:type="dxa"/>
        </w:tblCellMar>
      </w:tblPr>
      <w:tblGrid>
        <w:gridCol w:w="2866"/>
        <w:gridCol w:w="326"/>
        <w:gridCol w:w="1051"/>
        <w:gridCol w:w="326"/>
        <w:gridCol w:w="398"/>
        <w:gridCol w:w="1102"/>
      </w:tblGrid>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67385" cy="175260"/>
                      <wp:effectExtent l="0" t="0" r="0" b="0"/>
                      <wp:wrapNone/>
                      <wp:docPr id="192" name="Frame19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52730" cy="175260"/>
                      <wp:effectExtent l="0" t="0" r="0" b="0"/>
                      <wp:wrapNone/>
                      <wp:docPr id="194" name="Frame19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9770" cy="175260"/>
                      <wp:effectExtent l="0" t="0" r="0" b="0"/>
                      <wp:wrapNone/>
                      <wp:docPr id="195" name="Frame195"/>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11,177,661</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823,342</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(5,234,029)</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(222,852)</w:t>
            </w:r>
          </w:p>
        </w:tc>
        <w:tc>
          <w:tcPr>
            <w:tcW w:w="326"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6,544,122</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1308" w:name="Tc_erK_7vHINEy91jCL0IFQfA_5_11"/>
      <w:bookmarkStart w:id="1309" w:name="Tc_wf30Oy-5DE2I7sP4NdvqmQ_5_8"/>
      <w:bookmarkStart w:id="1310" w:name="Tc_ZUydxID4TUWRsYRpeOVSig_5_5"/>
      <w:bookmarkStart w:id="1311" w:name="Tc_769eln1Py0eBVr9amtt08w_5_2"/>
      <w:bookmarkStart w:id="1312" w:name="Tc_tq3yB_3m5kyzNOBChTg9pg_5_0"/>
      <w:bookmarkStart w:id="1313" w:name="Tc_FYrcoUF_FEGz-KKlgSTGDg_4_0"/>
      <w:bookmarkStart w:id="1314" w:name="Tc_EeVnFW_LLEWMuxd5qlLanQ_3_11"/>
      <w:bookmarkStart w:id="1315" w:name="Tc_ktRRkGEqVESSIn6f3pyb-g_3_8"/>
      <w:bookmarkStart w:id="1316" w:name="Tc_m01aywMSOUW42iHAG_sb4g_3_5"/>
      <w:bookmarkStart w:id="1317" w:name="Tc_wFW0GzRATESy32bFow-7Ng_3_2"/>
      <w:bookmarkStart w:id="1318" w:name="Tc_n_AT6c7gF02upW3k054N0Q_3_0"/>
      <w:bookmarkStart w:id="1319" w:name="Tc_vIuiVu3ctEG6QI40DDWhZw_2_11"/>
      <w:bookmarkStart w:id="1320" w:name="Tc_C67qzLtTtkWkqcxt_afJWw_2_8"/>
      <w:bookmarkStart w:id="1321" w:name="Tc_k70Dy2btE0i9febX9F_O6A_2_5"/>
      <w:bookmarkStart w:id="1322" w:name="Tc_uxDexR5UQUeSCNZGtMjaLg_2_2"/>
      <w:bookmarkStart w:id="1323" w:name="Tc_9djW9b0DJUupr0YTdV8KIA_1_8"/>
      <w:bookmarkStart w:id="1324" w:name="Tc_QPk7sEv6sE2xRbcQZPOtZg_1_2"/>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sz w:val="20"/>
        </w:rPr>
        <w:t xml:space="preserve">The Company’s RSUs generally have service-based vesting conditions ranging from 1-4 years, except that 3,850,000 RSUs granted in 2023 had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 xml:space="preserve">was satisfied in December 2024, and the $4.00 per share vesting condition was satisfied in January 2025. </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 and is included in other current assets in the accompanying balance sheet as of December 31, 2024.</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as of June 30, 2025 and June 30, 2024 was $77.6 million and $10.3 million, respectively. The aggregate fair value of RSUs that vested based on the closing price of the Company’s Common Stock on the vesting date during the six months ended June 30, 2025 and June 30, 2024 was $52.7 million and $3.5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number of service-based RSUs granted during the six months ended June 30, 2025 and June 30, 2024 was 823,342 and 1,567,515, respectively. The service-based RSUs vest over periods ranging from 1-4 years and require continuous employment. The weighted-average grant date fair value of the service-based RSUs granted during the six months ended June 30, 2025 and June 30, 2024 was $9.08 and $1.46 per share, respectively. The fair value of the service-based RSUs was calculated based on the fair market value of the Company’s Common Stock on the date of grant.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$3.0 million and $6.7 million for the three and six months ended June 30, 2025, respectively. Stock-based compensation expense related to RSUs granted to employees was $2.8 million and $5.5 million for the three and six months ended June 30, 2024, respectively. As of June 30, 2025, the unrecognized compensation expense related to unvested RSUs was $14.7 million, which is expected to be recognized over a weighted-average period of 2.09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six months ended June 30, 2025 and June 30, 2024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p>
      <w:pPr>
        <w:pStyle w:val="TextBody"/>
        <w:bidi w:val="0"/>
        <w:spacing w:before="0" w:after="0"/>
        <w:ind w:left="0" w:right="0" w:hanging="0"/>
        <w:jc w:val="left"/>
        <w:rPr/>
      </w:pPr>
      <w:r>
        <w:rPr/>
        <w:t>​</w:t>
      </w:r>
    </w:p>
    <w:tbl>
      <w:tblPr>
        <w:tblW w:w="8873" w:type="dxa"/>
        <w:jc w:val="left"/>
        <w:tblInd w:w="0" w:type="dxa"/>
        <w:tblLayout w:type="fixed"/>
        <w:tblCellMar>
          <w:top w:w="0" w:type="dxa"/>
          <w:left w:w="0" w:type="dxa"/>
          <w:bottom w:w="0" w:type="dxa"/>
          <w:right w:w="0" w:type="dxa"/>
        </w:tblCellMar>
      </w:tblPr>
      <w:tblGrid>
        <w:gridCol w:w="3736"/>
        <w:gridCol w:w="326"/>
        <w:gridCol w:w="252"/>
        <w:gridCol w:w="684"/>
        <w:gridCol w:w="390"/>
        <w:gridCol w:w="252"/>
        <w:gridCol w:w="684"/>
        <w:gridCol w:w="326"/>
        <w:gridCol w:w="231"/>
        <w:gridCol w:w="625"/>
        <w:gridCol w:w="357"/>
        <w:gridCol w:w="231"/>
        <w:gridCol w:w="625"/>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0020" cy="175260"/>
                      <wp:effectExtent l="0" t="0" r="0" b="0"/>
                      <wp:wrapNone/>
                      <wp:docPr id="197" name="Frame19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4340" cy="175260"/>
                      <wp:effectExtent l="0" t="0" r="0" b="0"/>
                      <wp:wrapNone/>
                      <wp:docPr id="198" name="Frame19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47650" cy="175260"/>
                      <wp:effectExtent l="0" t="0" r="0" b="0"/>
                      <wp:wrapNone/>
                      <wp:docPr id="199" name="Frame19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0020" cy="175260"/>
                      <wp:effectExtent l="0" t="0" r="0" b="0"/>
                      <wp:wrapNone/>
                      <wp:docPr id="200" name="Frame20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4340" cy="175260"/>
                      <wp:effectExtent l="0" t="0" r="0" b="0"/>
                      <wp:wrapNone/>
                      <wp:docPr id="201" name="Frame20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6685" cy="175260"/>
                      <wp:effectExtent l="0" t="0" r="0" b="0"/>
                      <wp:wrapNone/>
                      <wp:docPr id="203" name="Frame20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96875" cy="175260"/>
                      <wp:effectExtent l="0" t="0" r="0" b="0"/>
                      <wp:wrapNone/>
                      <wp:docPr id="204" name="Frame204"/>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6695" cy="175260"/>
                      <wp:effectExtent l="0" t="0" r="0" b="0"/>
                      <wp:wrapNone/>
                      <wp:docPr id="205" name="Frame20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6685" cy="175260"/>
                      <wp:effectExtent l="0" t="0" r="0" b="0"/>
                      <wp:wrapNone/>
                      <wp:docPr id="206" name="Frame20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96875" cy="175260"/>
                      <wp:effectExtent l="0" t="0" r="0" b="0"/>
                      <wp:wrapNone/>
                      <wp:docPr id="207" name="Frame20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7790" cy="175260"/>
                      <wp:effectExtent l="0" t="0" r="0" b="0"/>
                      <wp:wrapNone/>
                      <wp:docPr id="208" name="Frame2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7"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c>
          <w:tcPr>
            <w:tcW w:w="357"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25" w:name="Tc_tBxcD-1RGkmbWuWgQnp0Mg_5_11"/>
      <w:bookmarkStart w:id="1326" w:name="Tc_dBZJb7skw0-TgmRDUxThoQ_5_8"/>
      <w:bookmarkStart w:id="1327" w:name="Tc_1nA9uhD1MU-X3nYfbJkpYA_5_5"/>
      <w:bookmarkStart w:id="1328" w:name="Tc_mU8Eur3Tb06AK_abWULPAg_5_2"/>
      <w:bookmarkStart w:id="1329" w:name="Tc_LFbT0T7bK0aWCTZHwkDtnQ_4_0"/>
      <w:bookmarkStart w:id="1330" w:name="Tc_KgrUVFi7k0GpzwZl9UlLmg_3_11"/>
      <w:bookmarkStart w:id="1331" w:name="Tc_wldJpHS6802DajOpjsSEVw_3_9"/>
      <w:bookmarkStart w:id="1332" w:name="Tc_-JwswIltf0Ky0aQUeAgW0A_3_8"/>
      <w:bookmarkStart w:id="1333" w:name="Tc_7N5FH9_DNEG_VugjsBZ_8A_3_5"/>
      <w:bookmarkStart w:id="1334" w:name="Tc_ondH6YRs1U2cTQS0uDuaBg_3_3"/>
      <w:bookmarkStart w:id="1335" w:name="Tc_eCTN6ke1qkKJoECI_B9y4A_3_2"/>
      <w:bookmarkStart w:id="1336" w:name="Tc_E6zUexxtU0ime4Dw87LAdw_3_0"/>
      <w:bookmarkStart w:id="1337" w:name="Tc_FY6hwl5Ubk20jE9210IObg_2_11"/>
      <w:bookmarkStart w:id="1338" w:name="Tc_bOHT8gzf2EavN8Ce2fuZig_2_8"/>
      <w:bookmarkStart w:id="1339" w:name="Tc_kQgWstA8uUCRULsaw4lbaw_2_5"/>
      <w:bookmarkStart w:id="1340" w:name="Tc_PVuam28YmUO1Z5SiBrj3sA_2_2"/>
      <w:bookmarkStart w:id="1341" w:name="Tc_3EcHIDWngEG90LubTX2Osw_1_8"/>
      <w:bookmarkStart w:id="1342" w:name="Tc_cOvDywbhkk6yE-s6h-xfVQ_1_2"/>
      <w:bookmarkStart w:id="1343" w:name="_2444c5a9_4001_4a20_be59_721cfc9c92b3"/>
      <w:bookmarkStart w:id="1344" w:name="Tc_QdtfG0vPC0SeEFFQXeZApw_5_11"/>
      <w:bookmarkStart w:id="1345" w:name="Tc_3oyiNakzk0uQX--S1O5Jlw_5_8"/>
      <w:bookmarkStart w:id="1346" w:name="Tc_UFOj1CdvcUacko44_e9xhg_5_5"/>
      <w:bookmarkStart w:id="1347" w:name="Tc_3gNtTjy8wUGgToT8BXE-VA_5_2"/>
      <w:bookmarkStart w:id="1348" w:name="Tc_qBSZaQlEnkGEAZZo5xSy2A_4_0"/>
      <w:bookmarkStart w:id="1349" w:name="Tc_-JCEYvXPxUqkrSJ2yXWNzQ_3_11"/>
      <w:bookmarkStart w:id="1350" w:name="Tc_gaEYX3359Em5GOF9w__yxA_3_8"/>
      <w:bookmarkStart w:id="1351" w:name="Tc_m3CX0WOcGkCvnGm91aIhoQ_3_5"/>
      <w:bookmarkStart w:id="1352" w:name="Tc_9_Qm5C8310y8g5o5uIU4Aw_3_2"/>
      <w:bookmarkStart w:id="1353" w:name="Tc_Y4HMaQ2g5UmgAe9uWKYE1Q_3_0"/>
      <w:bookmarkStart w:id="1354" w:name="Tc_ByjK-JSIf06Goy1h0DW8oA_2_11"/>
      <w:bookmarkStart w:id="1355" w:name="Tc_g9ROCJliZUa-wZEihjGSBA_2_8"/>
      <w:bookmarkStart w:id="1356" w:name="Tc_JAGLswxuiUiWEVUN7_8Bpg_2_5"/>
      <w:bookmarkStart w:id="1357" w:name="Tc_sbtzhNLh2Ea1-hhAP9kyFw_2_2"/>
      <w:bookmarkStart w:id="1358" w:name="Tc_N5Li5S94W0S250VtdQJAtg_1_8"/>
      <w:bookmarkStart w:id="1359" w:name="Tc_BSVyRiqrzkyZs6lnp_m1Tg_1_2"/>
      <w:bookmarkStart w:id="1360" w:name="_23d537bb_4b6a_4e7f_8dc6_32696836f7a0"/>
      <w:bookmarkStart w:id="1361" w:name="Tc_tBxcD-1RGkmbWuWgQnp0Mg_5_11"/>
      <w:bookmarkStart w:id="1362" w:name="Tc_dBZJb7skw0-TgmRDUxThoQ_5_8"/>
      <w:bookmarkStart w:id="1363" w:name="Tc_1nA9uhD1MU-X3nYfbJkpYA_5_5"/>
      <w:bookmarkStart w:id="1364" w:name="Tc_mU8Eur3Tb06AK_abWULPAg_5_2"/>
      <w:bookmarkStart w:id="1365" w:name="Tc_LFbT0T7bK0aWCTZHwkDtnQ_4_0"/>
      <w:bookmarkStart w:id="1366" w:name="Tc_KgrUVFi7k0GpzwZl9UlLmg_3_11"/>
      <w:bookmarkStart w:id="1367" w:name="Tc_wldJpHS6802DajOpjsSEVw_3_9"/>
      <w:bookmarkStart w:id="1368" w:name="Tc_-JwswIltf0Ky0aQUeAgW0A_3_8"/>
      <w:bookmarkStart w:id="1369" w:name="Tc_7N5FH9_DNEG_VugjsBZ_8A_3_5"/>
      <w:bookmarkStart w:id="1370" w:name="Tc_ondH6YRs1U2cTQS0uDuaBg_3_3"/>
      <w:bookmarkStart w:id="1371" w:name="Tc_eCTN6ke1qkKJoECI_B9y4A_3_2"/>
      <w:bookmarkStart w:id="1372" w:name="Tc_E6zUexxtU0ime4Dw87LAdw_3_0"/>
      <w:bookmarkStart w:id="1373" w:name="Tc_FY6hwl5Ubk20jE9210IObg_2_11"/>
      <w:bookmarkStart w:id="1374" w:name="Tc_bOHT8gzf2EavN8Ce2fuZig_2_8"/>
      <w:bookmarkStart w:id="1375" w:name="Tc_kQgWstA8uUCRULsaw4lbaw_2_5"/>
      <w:bookmarkStart w:id="1376" w:name="Tc_PVuam28YmUO1Z5SiBrj3sA_2_2"/>
      <w:bookmarkStart w:id="1377" w:name="Tc_3EcHIDWngEG90LubTX2Osw_1_8"/>
      <w:bookmarkStart w:id="1378" w:name="Tc_cOvDywbhkk6yE-s6h-xfVQ_1_2"/>
      <w:bookmarkStart w:id="1379" w:name="_2444c5a9_4001_4a20_be59_721cfc9c92b3"/>
      <w:bookmarkStart w:id="1380" w:name="Tc_QdtfG0vPC0SeEFFQXeZApw_5_11"/>
      <w:bookmarkStart w:id="1381" w:name="Tc_3oyiNakzk0uQX--S1O5Jlw_5_8"/>
      <w:bookmarkStart w:id="1382" w:name="Tc_UFOj1CdvcUacko44_e9xhg_5_5"/>
      <w:bookmarkStart w:id="1383" w:name="Tc_3gNtTjy8wUGgToT8BXE-VA_5_2"/>
      <w:bookmarkStart w:id="1384" w:name="Tc_qBSZaQlEnkGEAZZo5xSy2A_4_0"/>
      <w:bookmarkStart w:id="1385" w:name="Tc_-JCEYvXPxUqkrSJ2yXWNzQ_3_11"/>
      <w:bookmarkStart w:id="1386" w:name="Tc_gaEYX3359Em5GOF9w__yxA_3_8"/>
      <w:bookmarkStart w:id="1387" w:name="Tc_m3CX0WOcGkCvnGm91aIhoQ_3_5"/>
      <w:bookmarkStart w:id="1388" w:name="Tc_9_Qm5C8310y8g5o5uIU4Aw_3_2"/>
      <w:bookmarkStart w:id="1389" w:name="Tc_Y4HMaQ2g5UmgAe9uWKYE1Q_3_0"/>
      <w:bookmarkStart w:id="1390" w:name="Tc_ByjK-JSIf06Goy1h0DW8oA_2_11"/>
      <w:bookmarkStart w:id="1391" w:name="Tc_g9ROCJliZUa-wZEihjGSBA_2_8"/>
      <w:bookmarkStart w:id="1392" w:name="Tc_JAGLswxuiUiWEVUN7_8Bpg_2_5"/>
      <w:bookmarkStart w:id="1393" w:name="Tc_sbtzhNLh2Ea1-hhAP9kyFw_2_2"/>
      <w:bookmarkStart w:id="1394" w:name="Tc_N5Li5S94W0S250VtdQJAtg_1_8"/>
      <w:bookmarkStart w:id="1395" w:name="Tc_BSVyRiqrzkyZs6lnp_m1Tg_1_2"/>
      <w:bookmarkStart w:id="1396" w:name="_23d537bb_4b6a_4e7f_8dc6_32696836f7a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(11)</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six months ended June 30, 2025 and June 30, 2024 (in thousands):</w:t>
      </w:r>
    </w:p>
    <w:p>
      <w:pPr>
        <w:pStyle w:val="TextBody"/>
        <w:bidi w:val="0"/>
        <w:spacing w:before="0" w:after="0"/>
        <w:ind w:left="0" w:right="0" w:hanging="0"/>
        <w:jc w:val="left"/>
        <w:rPr/>
      </w:pPr>
      <w:r>
        <w:rPr/>
        <w:t>​</w:t>
      </w:r>
    </w:p>
    <w:tbl>
      <w:tblPr>
        <w:tblW w:w="9158" w:type="dxa"/>
        <w:jc w:val="left"/>
        <w:tblInd w:w="0" w:type="dxa"/>
        <w:tblLayout w:type="fixed"/>
        <w:tblCellMar>
          <w:top w:w="0" w:type="dxa"/>
          <w:left w:w="0" w:type="dxa"/>
          <w:bottom w:w="0" w:type="dxa"/>
          <w:right w:w="0" w:type="dxa"/>
        </w:tblCellMar>
      </w:tblPr>
      <w:tblGrid>
        <w:gridCol w:w="4021"/>
        <w:gridCol w:w="326"/>
        <w:gridCol w:w="252"/>
        <w:gridCol w:w="684"/>
        <w:gridCol w:w="390"/>
        <w:gridCol w:w="252"/>
        <w:gridCol w:w="684"/>
        <w:gridCol w:w="326"/>
        <w:gridCol w:w="231"/>
        <w:gridCol w:w="625"/>
        <w:gridCol w:w="357"/>
        <w:gridCol w:w="231"/>
        <w:gridCol w:w="625"/>
        <w:gridCol w:w="154"/>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553335" cy="175260"/>
                      <wp:effectExtent l="0" t="0" r="0" b="0"/>
                      <wp:wrapNone/>
                      <wp:docPr id="209" name="Frame20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0020" cy="175260"/>
                      <wp:effectExtent l="0" t="0" r="0" b="0"/>
                      <wp:wrapNone/>
                      <wp:docPr id="211" name="Frame2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4340" cy="175260"/>
                      <wp:effectExtent l="0" t="0" r="0" b="0"/>
                      <wp:wrapNone/>
                      <wp:docPr id="212" name="Frame21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7650" cy="175260"/>
                      <wp:effectExtent l="0" t="0" r="0" b="0"/>
                      <wp:wrapNone/>
                      <wp:docPr id="213" name="Frame21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0020" cy="175260"/>
                      <wp:effectExtent l="0" t="0" r="0" b="0"/>
                      <wp:wrapNone/>
                      <wp:docPr id="214" name="Frame2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4340" cy="175260"/>
                      <wp:effectExtent l="0" t="0" r="0" b="0"/>
                      <wp:wrapNone/>
                      <wp:docPr id="215" name="Frame21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6685" cy="175260"/>
                      <wp:effectExtent l="0" t="0" r="0" b="0"/>
                      <wp:wrapNone/>
                      <wp:docPr id="217" name="Frame21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96875" cy="175260"/>
                      <wp:effectExtent l="0" t="0" r="0" b="0"/>
                      <wp:wrapNone/>
                      <wp:docPr id="218" name="Frame21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6695" cy="175260"/>
                      <wp:effectExtent l="0" t="0" r="0" b="0"/>
                      <wp:wrapNone/>
                      <wp:docPr id="219" name="Frame21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6685" cy="175260"/>
                      <wp:effectExtent l="0" t="0" r="0" b="0"/>
                      <wp:wrapNone/>
                      <wp:docPr id="220" name="Frame22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96875" cy="175260"/>
                      <wp:effectExtent l="0" t="0" r="0" b="0"/>
                      <wp:wrapNone/>
                      <wp:docPr id="221" name="Frame22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7790" cy="175260"/>
                      <wp:effectExtent l="0" t="0" r="0" b="0"/>
                      <wp:wrapNone/>
                      <wp:docPr id="222" name="Frame2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1"/>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7"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9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3,043</w:t>
            </w:r>
          </w:p>
        </w:tc>
        <w:tc>
          <w:tcPr>
            <w:tcW w:w="357"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90"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57"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154"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w:t>
            </w:r>
          </w:p>
        </w:tc>
        <w:tc>
          <w:tcPr>
            <w:tcW w:w="390"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3,273</w:t>
            </w:r>
          </w:p>
        </w:tc>
        <w:tc>
          <w:tcPr>
            <w:tcW w:w="357"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8239" w:type="dxa"/>
        <w:jc w:val="left"/>
        <w:tblInd w:w="0" w:type="dxa"/>
        <w:tblLayout w:type="fixed"/>
        <w:tblCellMar>
          <w:top w:w="0" w:type="dxa"/>
          <w:left w:w="0" w:type="dxa"/>
          <w:bottom w:w="0" w:type="dxa"/>
          <w:right w:w="0" w:type="dxa"/>
        </w:tblCellMar>
      </w:tblPr>
      <w:tblGrid>
        <w:gridCol w:w="3211"/>
        <w:gridCol w:w="326"/>
        <w:gridCol w:w="252"/>
        <w:gridCol w:w="684"/>
        <w:gridCol w:w="390"/>
        <w:gridCol w:w="252"/>
        <w:gridCol w:w="684"/>
        <w:gridCol w:w="326"/>
        <w:gridCol w:w="222"/>
        <w:gridCol w:w="602"/>
        <w:gridCol w:w="343"/>
        <w:gridCol w:w="222"/>
        <w:gridCol w:w="725"/>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0020" cy="175260"/>
                      <wp:effectExtent l="0" t="0" r="0" b="0"/>
                      <wp:wrapNone/>
                      <wp:docPr id="224" name="Frame2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4340" cy="175260"/>
                      <wp:effectExtent l="0" t="0" r="0" b="0"/>
                      <wp:wrapNone/>
                      <wp:docPr id="225" name="Frame22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47650" cy="175260"/>
                      <wp:effectExtent l="0" t="0" r="0" b="0"/>
                      <wp:wrapNone/>
                      <wp:docPr id="226" name="Frame22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0020" cy="175260"/>
                      <wp:effectExtent l="0" t="0" r="0" b="0"/>
                      <wp:wrapNone/>
                      <wp:docPr id="227" name="Frame22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4340" cy="175260"/>
                      <wp:effectExtent l="0" t="0" r="0" b="0"/>
                      <wp:wrapNone/>
                      <wp:docPr id="228" name="Frame22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0970" cy="175260"/>
                      <wp:effectExtent l="0" t="0" r="0" b="0"/>
                      <wp:wrapNone/>
                      <wp:docPr id="230" name="Frame23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82270" cy="175260"/>
                      <wp:effectExtent l="0" t="0" r="0" b="0"/>
                      <wp:wrapNone/>
                      <wp:docPr id="231" name="Frame231"/>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7805" cy="175260"/>
                      <wp:effectExtent l="0" t="0" r="0" b="0"/>
                      <wp:wrapNone/>
                      <wp:docPr id="232" name="Frame23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0970" cy="175260"/>
                      <wp:effectExtent l="0" t="0" r="0" b="0"/>
                      <wp:wrapNone/>
                      <wp:docPr id="233" name="Frame23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60375" cy="175260"/>
                      <wp:effectExtent l="0" t="0" r="0" b="0"/>
                      <wp:wrapNone/>
                      <wp:docPr id="234" name="Frame234"/>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3"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397" w:name="Tc_q4hxKIpPFk6zN3H-QsPjfQ_8_6"/>
      <w:bookmarkStart w:id="1398" w:name="Tc_bflDpIVoyUupUzrOYJzvNw_8_5"/>
      <w:bookmarkStart w:id="1399" w:name="Tc_xDdPKc69VESmmde4yKIQKQ_8_2"/>
      <w:bookmarkStart w:id="1400" w:name="Tc_19qqpfUKakm-_6FmnbFpBg_8_0"/>
      <w:bookmarkStart w:id="1401" w:name="Tc_3ocKW576p0eqDXweGGuoBw_7_5"/>
      <w:bookmarkStart w:id="1402" w:name="Tc_7gwm6EBc1EejpTgtapFx1A_7_2"/>
      <w:bookmarkStart w:id="1403" w:name="Tc_jub9NViJRU2S1LImvfRQLg_7_0"/>
      <w:bookmarkStart w:id="1404" w:name="Tc_2sdoDkkQzUWM4va-0f2Kvw_6_5"/>
      <w:bookmarkStart w:id="1405" w:name="Tc_TLCbHLG5d0OqdJY-4Dsenw_6_2"/>
      <w:bookmarkStart w:id="1406" w:name="Tc_bm9qgjmJ4kGi_5vWS-fCtw_6_0"/>
      <w:bookmarkStart w:id="1407" w:name="Tc_c_vFQuo8WkmBsfcgMqikwg_5_0"/>
      <w:bookmarkStart w:id="1408" w:name="Tc_hrJLVnyyBEq_XJR3HMzD4g_4_0"/>
      <w:bookmarkStart w:id="1409" w:name="Tc_BciElnLg3UqEnOMs76DNqw_3_5"/>
      <w:bookmarkStart w:id="1410" w:name="Tc_J7Hq7PddpU2KZtYcrxNuzg_3_2"/>
      <w:bookmarkStart w:id="1411" w:name="Tc_btleZwSlg0aK4KQEfbI4Gw_3_0"/>
      <w:bookmarkStart w:id="1412" w:name="Tc_l-BKTvgyNUSpheux3tzyWA_2_5"/>
      <w:bookmarkStart w:id="1413" w:name="Tc_9YHgwVn5EE2rQI3pUKIUbA_2_2"/>
      <w:bookmarkStart w:id="1414" w:name="Tc_LkwLd-jezEG0TFU5I3kPKw_1_2"/>
      <w:bookmarkStart w:id="1415" w:name="Tc_2Je-fZFo-k6jAmcsrN1qDw_5_9"/>
      <w:bookmarkStart w:id="1416" w:name="Tc_Zex_NXMWLUeP8ODX3BXFpQ_5_8"/>
      <w:bookmarkStart w:id="1417" w:name="Tc_NC7TAWH1XUSNhSx3Q4iyxw_5_5"/>
      <w:bookmarkStart w:id="1418" w:name="Tc_-SrW0FRZz02qqCxd0CXoKQ_5_2"/>
      <w:bookmarkStart w:id="1419" w:name="Tc_I-0nT2_48kW6zebSGvxOzA_5_0"/>
      <w:bookmarkStart w:id="1420" w:name="Tc_0lFPdRZa7kGbKaenf4TPeA_4_8"/>
      <w:bookmarkStart w:id="1421" w:name="Tc_GxFJUoy4FEmiDeWkZrgbgg_4_5"/>
      <w:bookmarkStart w:id="1422" w:name="Tc_CE5745GkgUaU8E2uHYOKDA_4_2"/>
      <w:bookmarkStart w:id="1423" w:name="Tc_dZ2ZIgOUv0KRaiVJ2A8Avw_4_0"/>
      <w:bookmarkStart w:id="1424" w:name="Tc_8CUJxHmH20W7G2HeeZzd0g_3_8"/>
      <w:bookmarkStart w:id="1425" w:name="Tc_1KWfN3VVokCiU30nONjqTw_3_5"/>
      <w:bookmarkStart w:id="1426" w:name="Tc_ZbdrrfcUyk6XLUDsORhPOw_3_2"/>
      <w:bookmarkStart w:id="1427" w:name="Tc_JEkAwIc4Xky9zvju8ll8WQ_3_0"/>
      <w:bookmarkStart w:id="1428" w:name="Tc_7ILfruAq6kWT5PLIkkUPGg_2_8"/>
      <w:bookmarkStart w:id="1429" w:name="Tc_aWU7HUTevU-0C-qFyApjaA_2_5"/>
      <w:bookmarkStart w:id="1430" w:name="Tc_pF_gxzKzcESccsqmyDeDkw_2_2"/>
      <w:bookmarkStart w:id="1431" w:name="Tc_CSR47Qxw1UiPOn0iHU6f7Q_2_0"/>
      <w:bookmarkStart w:id="1432" w:name="Tc_QLnX7LxAU0G0pVBkX3exnA_1_8"/>
      <w:bookmarkStart w:id="1433" w:name="Tc_NrQtvBRKNk-sL-eih_QA2w_1_5"/>
      <w:bookmarkStart w:id="1434" w:name="Tc_c5qfOrRie0aajSNDnkc2HA_1_2"/>
      <w:bookmarkStart w:id="1435" w:name="_1141a5a0_9a0c_4fed_99f5_df96cf13625d"/>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Times New Roman;Times;serif" w:hAnsi="Times New Roman;Times;serif"/>
          <w:sz w:val="20"/>
        </w:rPr>
        <w:t>Selected condensed consolidated balance sheet line items that reflect accounts receivable, contract assets and liabilities as of June 30, 2025, December 31, 2024 and December 31, 2023 were as follows (in thousands):</w:t>
      </w:r>
    </w:p>
    <w:tbl>
      <w:tblPr>
        <w:tblW w:w="8300" w:type="dxa"/>
        <w:jc w:val="left"/>
        <w:tblInd w:w="0" w:type="dxa"/>
        <w:tblLayout w:type="fixed"/>
        <w:tblCellMar>
          <w:top w:w="0" w:type="dxa"/>
          <w:left w:w="0" w:type="dxa"/>
          <w:bottom w:w="0" w:type="dxa"/>
          <w:right w:w="0" w:type="dxa"/>
        </w:tblCellMar>
      </w:tblPr>
      <w:tblGrid>
        <w:gridCol w:w="3151"/>
        <w:gridCol w:w="326"/>
        <w:gridCol w:w="303"/>
        <w:gridCol w:w="822"/>
        <w:gridCol w:w="326"/>
        <w:gridCol w:w="405"/>
        <w:gridCol w:w="1096"/>
        <w:gridCol w:w="326"/>
        <w:gridCol w:w="394"/>
        <w:gridCol w:w="115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00885" cy="175260"/>
                      <wp:effectExtent l="0" t="0" r="0" b="0"/>
                      <wp:wrapNone/>
                      <wp:docPr id="235" name="Frame23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2405" cy="175260"/>
                      <wp:effectExtent l="0" t="0" r="0" b="0"/>
                      <wp:wrapNone/>
                      <wp:docPr id="237" name="Frame23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21970" cy="175260"/>
                      <wp:effectExtent l="0" t="0" r="0" b="0"/>
                      <wp:wrapNone/>
                      <wp:docPr id="238" name="Frame238"/>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57175" cy="175260"/>
                      <wp:effectExtent l="0" t="0" r="0" b="0"/>
                      <wp:wrapNone/>
                      <wp:docPr id="240" name="Frame240"/>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5960" cy="175260"/>
                      <wp:effectExtent l="0" t="0" r="0" b="0"/>
                      <wp:wrapNone/>
                      <wp:docPr id="241" name="Frame24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0190" cy="175260"/>
                      <wp:effectExtent l="0" t="0" r="0" b="0"/>
                      <wp:wrapNone/>
                      <wp:docPr id="243" name="Frame24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30885" cy="175260"/>
                      <wp:effectExtent l="0" t="0" r="0" b="0"/>
                      <wp:wrapNone/>
                      <wp:docPr id="244" name="Frame244"/>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5819" w:type="dxa"/>
        <w:jc w:val="left"/>
        <w:tblInd w:w="0" w:type="dxa"/>
        <w:tblLayout w:type="fixed"/>
        <w:tblCellMar>
          <w:top w:w="0" w:type="dxa"/>
          <w:left w:w="0" w:type="dxa"/>
          <w:bottom w:w="0" w:type="dxa"/>
          <w:right w:w="0" w:type="dxa"/>
        </w:tblCellMar>
      </w:tblPr>
      <w:tblGrid>
        <w:gridCol w:w="3271"/>
        <w:gridCol w:w="326"/>
        <w:gridCol w:w="238"/>
        <w:gridCol w:w="612"/>
        <w:gridCol w:w="368"/>
        <w:gridCol w:w="238"/>
        <w:gridCol w:w="612"/>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51130" cy="175260"/>
                      <wp:effectExtent l="0" t="0" r="0" b="0"/>
                      <wp:wrapNone/>
                      <wp:docPr id="246" name="Frame24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88620" cy="175260"/>
                      <wp:effectExtent l="0" t="0" r="0" b="0"/>
                      <wp:wrapNone/>
                      <wp:docPr id="247" name="Frame24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3680" cy="175260"/>
                      <wp:effectExtent l="0" t="0" r="0" b="0"/>
                      <wp:wrapNone/>
                      <wp:docPr id="248" name="Frame248"/>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1130" cy="175260"/>
                      <wp:effectExtent l="0" t="0" r="0" b="0"/>
                      <wp:wrapNone/>
                      <wp:docPr id="249" name="Frame24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88620" cy="175260"/>
                      <wp:effectExtent l="0" t="0" r="0" b="0"/>
                      <wp:wrapNone/>
                      <wp:docPr id="250" name="Frame250"/>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7790" cy="175260"/>
                      <wp:effectExtent l="0" t="0" r="0" b="0"/>
                      <wp:wrapNone/>
                      <wp:docPr id="251" name="Frame2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8" w:type="dxa"/>
            <w:tcBorders/>
            <w:vAlign w:val="center"/>
          </w:tcPr>
          <w:p>
            <w:pPr>
              <w:pStyle w:val="TableContents"/>
              <w:bidi w:val="0"/>
              <w:spacing w:before="0" w:after="0"/>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68"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8"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68"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68"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8"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68"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Amounts recognized as revenue from beginning contract liabilities during the three and six months ended June 30, 2025 was an immaterial amount and $0.1 million, respectively. Amounts recognized as revenue from beginning contract liabilities during the three and six months ended June 30, 2024 was an immaterial amount and $0.2 million, respectively. Remaining performance obligations represent the portion of the transaction price that has not yet been satisfied or achieved. As of June 30, 2025, the aggregate amount of the transaction price allocated to remaining performance obligations was approximately $5.7 million. The Company expects to recognize estimated revenues related to performance obligations that are unsatisfied (or partially satisfied) </w:t>
      </w:r>
      <w:r>
        <w:rPr>
          <w:rFonts w:ascii="Times-Roman" w:hAnsi="Times-Roman"/>
          <w:sz w:val="20"/>
        </w:rPr>
        <w:t>during the next twelve months, except for remaining performance obligations totaling $0.9</w:t>
      </w:r>
      <w:r>
        <w:rPr>
          <w:rFonts w:ascii="Times New Roman;Times;serif" w:hAnsi="Times New Roman;Times;serif"/>
          <w:sz w:val="20"/>
        </w:rPr>
        <w:t xml:space="preserve"> </w:t>
      </w:r>
      <w:r>
        <w:rPr>
          <w:rFonts w:ascii="Times-Roman" w:hAnsi="Times-Roman"/>
          <w:sz w:val="20"/>
        </w:rPr>
        <w:t>million.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Accordingly, the Company does not have any capitalized contract fulfillment costs as of June 30, 2025 or December 31, 2024.</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bookmarkStart w:id="1436" w:name="Tc_EB5XknOZPkuRevzkPOkkTw_14_11"/>
      <w:bookmarkStart w:id="1437" w:name="Tc_PR0BbdWi3kSI1w3_ECyotg_14_8"/>
      <w:bookmarkStart w:id="1438" w:name="Tc_oBAJ7AdTTEiNn1hcpkpKJw_14_5"/>
      <w:bookmarkStart w:id="1439" w:name="Tc_yT1sSieET06nwSw8BGvftg_14_2"/>
      <w:bookmarkStart w:id="1440" w:name="Tc_g5BKkxAtt0yp7hzy7TrukQ_14_0"/>
      <w:bookmarkStart w:id="1441" w:name="Tc_3c6lmwdBk0yuPIEDVB5UWg_13_0"/>
      <w:bookmarkStart w:id="1442" w:name="Tc_-e4GkT3l0kKeQRPoGaSGbw_12_9"/>
      <w:bookmarkStart w:id="1443" w:name="Tc_wT1HBzqau0SMXnT_nn-uJw_12_3"/>
      <w:bookmarkStart w:id="1444" w:name="Tc_8RyYWHbvg0uVos_Schf5cw_12_0"/>
      <w:bookmarkStart w:id="1445" w:name="Tc_w5BLCCwiZUqiBAO1VG7oDQ_11_0"/>
      <w:bookmarkStart w:id="1446" w:name="Tc_KHJrgQ2Wv0yCDkddulyK3Q_10_0"/>
      <w:bookmarkStart w:id="1447" w:name="Tc_i9SWFt4GrkufTU6J_IuubA_9_0"/>
      <w:bookmarkStart w:id="1448" w:name="Tc_VrIsZnYCN0StSx9g9t_Rfw_8_0"/>
      <w:bookmarkStart w:id="1449" w:name="Tc_u2slUjmAmkuy6QzlQAmskQ_7_0"/>
      <w:bookmarkStart w:id="1450" w:name="Tc_vSUouEDABkqMsFT71RJhtA_6_0"/>
      <w:bookmarkStart w:id="1451" w:name="Tc_2q1Jj2Up_EaP4jmI0qKGmg_5_0"/>
      <w:bookmarkStart w:id="1452" w:name="Tc_oxgwYGOrEESpmDgM6G1OJA_4_0"/>
      <w:bookmarkStart w:id="1453" w:name="Tc_bIDZPdwakkGIQBCawENr3w_3_11"/>
      <w:bookmarkStart w:id="1454" w:name="Tc_3jWU3GBbV0OT5r4lsP9l7A_3_8"/>
      <w:bookmarkStart w:id="1455" w:name="Tc_SQs9hDkQc0Chzh3UHxJxTw_3_5"/>
      <w:bookmarkStart w:id="1456" w:name="Tc_xP63CHFwS0yZqOZs9wUPmw_3_2"/>
      <w:bookmarkStart w:id="1457" w:name="Tc_VKfP6e1co0WLBLRlxfgkMQ_3_0"/>
      <w:bookmarkStart w:id="1458" w:name="Tc_x9hEkuBiK0mu0InSiMg9Rw_2_11"/>
      <w:bookmarkStart w:id="1459" w:name="Tc_Hk1wBFke4UOuTs3A5Sgicg_2_8"/>
      <w:bookmarkStart w:id="1460" w:name="Tc_EASGa94ctUqk3LobyFwHAg_2_5"/>
      <w:bookmarkStart w:id="1461" w:name="Tc_AtSbKnn-RUmqMBb5IdAzKg_2_2"/>
      <w:bookmarkStart w:id="1462" w:name="Tc_5fk6BgPupkeG0yf7LFNnZg_1_8"/>
      <w:bookmarkStart w:id="1463" w:name="Tc_OPXPtAKbxkyNPsfxdzC_9g_1_2"/>
      <w:bookmarkStart w:id="1464" w:name="_c9baea01_cd5e_452e_ab98_0aa1901f5e0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r>
        <w:rPr>
          <w:rFonts w:ascii="Times New Roman;Times;serif" w:hAnsi="Times New Roman;Times;serif"/>
          <w:b/>
          <w:sz w:val="20"/>
        </w:rPr>
        <w:t>(12) Segments, Geographical Information, Concentrations and Significant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consolidated net income (loss), our Chief Operating Decision Maker (CODM), the Chief Executive Officer, reviews and utilizes natural expenses such as employee wages and benefits at a consolidated level and capital expenditures including fixed asset additions to manage the Company’s operations and strategic growth initiatives. The measure of segment assets is reported in the balance sheet as total consolidated assets. The following table sets forth our segment information of revenue, expenses and net income (loss) (in thousands):</w:t>
      </w:r>
    </w:p>
    <w:p>
      <w:pPr>
        <w:pStyle w:val="TextBody"/>
        <w:bidi w:val="0"/>
        <w:spacing w:before="0" w:after="0"/>
        <w:ind w:left="0" w:right="0" w:hanging="0"/>
        <w:jc w:val="left"/>
        <w:rPr/>
      </w:pPr>
      <w:r>
        <w:rPr/>
        <w:t>​</w:t>
      </w:r>
    </w:p>
    <w:tbl>
      <w:tblPr>
        <w:tblW w:w="8461" w:type="dxa"/>
        <w:jc w:val="left"/>
        <w:tblInd w:w="0" w:type="dxa"/>
        <w:tblLayout w:type="fixed"/>
        <w:tblCellMar>
          <w:top w:w="0" w:type="dxa"/>
          <w:left w:w="0" w:type="dxa"/>
          <w:bottom w:w="0" w:type="dxa"/>
          <w:right w:w="0" w:type="dxa"/>
        </w:tblCellMar>
      </w:tblPr>
      <w:tblGrid>
        <w:gridCol w:w="3301"/>
        <w:gridCol w:w="326"/>
        <w:gridCol w:w="211"/>
        <w:gridCol w:w="796"/>
        <w:gridCol w:w="326"/>
        <w:gridCol w:w="211"/>
        <w:gridCol w:w="796"/>
        <w:gridCol w:w="109"/>
        <w:gridCol w:w="211"/>
        <w:gridCol w:w="796"/>
        <w:gridCol w:w="326"/>
        <w:gridCol w:w="211"/>
        <w:gridCol w:w="84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96135" cy="175260"/>
                      <wp:effectExtent l="0" t="0" r="0" b="0"/>
                      <wp:wrapNone/>
                      <wp:docPr id="252" name="Frame25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05460" cy="175260"/>
                      <wp:effectExtent l="0" t="0" r="0" b="0"/>
                      <wp:wrapNone/>
                      <wp:docPr id="255" name="Frame2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5460" cy="175260"/>
                      <wp:effectExtent l="0" t="0" r="0" b="0"/>
                      <wp:wrapNone/>
                      <wp:docPr id="258" name="Frame2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05460" cy="175260"/>
                      <wp:effectExtent l="0" t="0" r="0" b="0"/>
                      <wp:wrapNone/>
                      <wp:docPr id="261" name="Frame2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34035" cy="175260"/>
                      <wp:effectExtent l="0" t="0" r="0" b="0"/>
                      <wp:wrapNone/>
                      <wp:docPr id="264" name="Frame2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segment items include interest income, changes in fair value of derivative warrant liabilities and earnout liabilities and other operational expenses which are reflected in the condensed consolidated statements of operations.</w:t>
      </w:r>
    </w:p>
    <w:p>
      <w:pPr>
        <w:pStyle w:val="TextBody"/>
        <w:bidi w:val="0"/>
        <w:spacing w:before="0" w:after="0"/>
        <w:ind w:left="446"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both"/>
        <w:rPr>
          <w:rFonts w:ascii="Times New Roman;Times;serif" w:hAnsi="Times New Roman;Times;serif"/>
          <w:sz w:val="20"/>
        </w:rPr>
      </w:pPr>
      <w:bookmarkStart w:id="1465" w:name="Tc_dQUPEbYiGkaIP8FmCRAUgg_7_4"/>
      <w:bookmarkStart w:id="1466" w:name="Tc_tLPqGn4jbEK4Kv9wXNF1wQ_7_0"/>
      <w:bookmarkStart w:id="1467" w:name="Tc_em4ZnzGJ-0WEgjRy4jDTPw_6_2"/>
      <w:bookmarkStart w:id="1468" w:name="Tc_Yz8UvZIfREi63ha3x2dGGA_6_0"/>
      <w:bookmarkStart w:id="1469" w:name="Tc_XAG3Nrif70CgRPmq2zrQXw_5_2"/>
      <w:bookmarkStart w:id="1470" w:name="Tc_H6DuaVu_7UaiET9RACvEGg_5_0"/>
      <w:bookmarkStart w:id="1471" w:name="Tc_HUcE6sFb00Kc2ktqVubr8Q_4_0"/>
      <w:bookmarkStart w:id="1472" w:name="Tc_SWSPernYd0y4QgTTQxTZ5g_3_0"/>
      <w:bookmarkStart w:id="1473" w:name="Tc_nMlBakdgqUK9L_D_odid9w_2_4"/>
      <w:bookmarkStart w:id="1474" w:name="Tc_V3BMcfxCJ0CoeFckLa147A_2_2"/>
      <w:bookmarkStart w:id="1475" w:name="Tc_Org3ajIok0Ce7i9-outCzw_2_0"/>
      <w:bookmarkStart w:id="1476" w:name="Tc_dls032mQwk6tK6a07opZNg_1_4"/>
      <w:bookmarkStart w:id="1477" w:name="Tc_sytgi073QUOdR8nH8j_VJw_1_2"/>
      <w:bookmarkStart w:id="1478" w:name="_4b6db158_e130_444e_9aeb_b0118b536e53"/>
      <w:bookmarkStart w:id="1479" w:name="Tc_XLr75yBUKkicV7x7eafWPA_8_8"/>
      <w:bookmarkStart w:id="1480" w:name="Tc_HKYicX-dJkyP8fYFr7ZZ-g_8_6"/>
      <w:bookmarkStart w:id="1481" w:name="Tc_AeJyc8TObEmmg9VkeqelUg_8_2"/>
      <w:bookmarkStart w:id="1482" w:name="Tc_kXh9vVQaSECPEeElgJLDhQ_8_0"/>
      <w:bookmarkStart w:id="1483" w:name="Tc_vHmf3Nw3Lk-ejXOA69msyQ_7_8"/>
      <w:bookmarkStart w:id="1484" w:name="Tc_Vh7PIGXieEKcceJj2auf1g_7_6"/>
      <w:bookmarkStart w:id="1485" w:name="Tc_QXe8HHzFHE-Lw95TfoKS2Q_7_2"/>
      <w:bookmarkStart w:id="1486" w:name="Tc_K8EIOmRC7k6mosaogw3tfQ_7_0"/>
      <w:bookmarkStart w:id="1487" w:name="Tc_ZxIIT5pzV0GuJlxhFK4SsA_6_0"/>
      <w:bookmarkStart w:id="1488" w:name="Tc_r8FVir0diESKU9HrLhv0PQ_5_4"/>
      <w:bookmarkStart w:id="1489" w:name="Tc_NQS628UB1EehFBvn03IGDw_5_0"/>
      <w:bookmarkStart w:id="1490" w:name="Tc_Nxtgye6-tU6v84gIaxm55w_4_4"/>
      <w:bookmarkStart w:id="1491" w:name="Tc_r3N9V7pKB02p4-0-QZIbhw_4_0"/>
      <w:bookmarkStart w:id="1492" w:name="Tc_C9-rWXxPPk-0NcChajq8vA_3_6"/>
      <w:bookmarkStart w:id="1493" w:name="Tc_eObgJmA1Ckq8ZhszumXffg_3_2"/>
      <w:bookmarkStart w:id="1494" w:name="Tc_fENbZK4JpUid3izWMAXIBA_3_0"/>
      <w:bookmarkStart w:id="1495" w:name="Tc_oeN3_LjrlkCRi6BQJu-rkA_2_8"/>
      <w:bookmarkStart w:id="1496" w:name="Tc_ypF5JYGEiUGqhM3Tq8cz7w_2_6"/>
      <w:bookmarkStart w:id="1497" w:name="Tc_8iwUIY-06EK2szkhd-NU2A_2_4"/>
      <w:bookmarkStart w:id="1498" w:name="Tc_SjgC3hpRpk-1tlXVeX422g_2_2"/>
      <w:bookmarkStart w:id="1499" w:name="Tc_Zh9QlS8azk24LI60RbI7xw_1_6"/>
      <w:bookmarkStart w:id="1500" w:name="Tc_yGV2mBzJ2EW2w7D8VLDpFA_1_2"/>
      <w:bookmarkStart w:id="1501" w:name="_17f8f081_84a0_450d_a9d0_5fd03a2f5e81"/>
      <w:bookmarkStart w:id="1502" w:name="Tc_noxGWUOqfke-Rtg_E7Ve3A_6_11"/>
      <w:bookmarkStart w:id="1503" w:name="Tc_gu4ylsm0j0CwQPQmgAf8yg_6_8"/>
      <w:bookmarkStart w:id="1504" w:name="Tc_losYG7ulP0eWJw8xj8T8Iw_6_5"/>
      <w:bookmarkStart w:id="1505" w:name="Tc_HXkp9KREGkS8wwZdc3gnlg_6_2"/>
      <w:bookmarkStart w:id="1506" w:name="Tc_wrDDkJqLokSjpC9EcfelEQ_6_0"/>
      <w:bookmarkStart w:id="1507" w:name="Tc_PnWHFSNZRk2f1Ot3V8JQWg_5_0"/>
      <w:bookmarkStart w:id="1508" w:name="Tc_r18Rr4k9mUKsIqm36cA85A_4_0"/>
      <w:bookmarkStart w:id="1509" w:name="Tc_3EkU-5HxDEWv8WrCXwTuAg_3_11"/>
      <w:bookmarkStart w:id="1510" w:name="Tc_2eHOVoyd4UWWU--tcq6Rbg_3_8"/>
      <w:bookmarkStart w:id="1511" w:name="Tc_Y7fs3kmwB0y9mA3__H2z6w_3_5"/>
      <w:bookmarkStart w:id="1512" w:name="Tc_UDRBzbAxrUO2aN0rbrIROg_3_2"/>
      <w:bookmarkStart w:id="1513" w:name="Tc_ZgYGxfLf50yHGQ5Sv3rOQg_3_0"/>
      <w:bookmarkStart w:id="1514" w:name="Tc_w2r0c8ncs0q9QvzilnptPg_2_11"/>
      <w:bookmarkStart w:id="1515" w:name="Tc_euEKkcVqy0i7qfy9kNcXow_2_8"/>
      <w:bookmarkStart w:id="1516" w:name="Tc_Avn8tEZO4Emssfj5HHhkUw_2_5"/>
      <w:bookmarkStart w:id="1517" w:name="Tc_BAs7CrcF1kWHcCMvcLW6Fg_2_2"/>
      <w:bookmarkStart w:id="1518" w:name="Tc_g5LR_cBaC0qRrM2icp4L0g_1_8"/>
      <w:bookmarkStart w:id="1519" w:name="Tc_t63XyWeGH0KenZHZLoasgA_1_2"/>
      <w:bookmarkStart w:id="1520" w:name="_7f93d549_f16b_4fb1_83e6_69ec0d51f4e9"/>
      <w:bookmarkStart w:id="1521" w:name="Tc_O5_i1NzyfEWkgF5ERyJ9Ng_8_11"/>
      <w:bookmarkStart w:id="1522" w:name="Tc_FhnAKkbBDUCUOew_hqwuRQ_8_8"/>
      <w:bookmarkStart w:id="1523" w:name="Tc_VNNuaXdgck2LZy6AB1280A_8_5"/>
      <w:bookmarkStart w:id="1524" w:name="Tc_TozV6xFtXkyRfRlHZl3Okg_8_2"/>
      <w:bookmarkStart w:id="1525" w:name="Tc_MDd54Ww9hE2vWbSMePlcnw_8_0"/>
      <w:bookmarkStart w:id="1526" w:name="Tc_uByQDRPmqEOywHx_mowc5Q_7_0"/>
      <w:bookmarkStart w:id="1527" w:name="Tc_BJPlpEPfh0-3mmdb5jF7_Q_6_0"/>
      <w:bookmarkStart w:id="1528" w:name="Tc_Ac4H5MjW5EaeWqnqe5Xz3g_5_0"/>
      <w:bookmarkStart w:id="1529" w:name="Tc_AxThtFt7Z0yGSKNzxv7SxQ_4_6"/>
      <w:bookmarkStart w:id="1530" w:name="Tc_VxFPWjbJPU-aVXv00C6G5w_4_0"/>
      <w:bookmarkStart w:id="1531" w:name="Tc__jT3CCbIEU6uWAfBWdREuQ_3_11"/>
      <w:bookmarkStart w:id="1532" w:name="Tc_8OIvSlmaX0OvdwLQWFqtfw_3_8"/>
      <w:bookmarkStart w:id="1533" w:name="Tc_6DaU2doecUKzyhzyPXJoAw_3_5"/>
      <w:bookmarkStart w:id="1534" w:name="Tc_nUT3ThyaY0amaXOgyQ6M_A_3_2"/>
      <w:bookmarkStart w:id="1535" w:name="Tc_DG46NpsfR06DR_AjiCUqTQ_3_0"/>
      <w:bookmarkStart w:id="1536" w:name="Tc_cNGc3EUU0UKSfe6pVaepFA_2_11"/>
      <w:bookmarkStart w:id="1537" w:name="Tc_9JDj_tVfYkeRPCQuAQerjA_2_8"/>
      <w:bookmarkStart w:id="1538" w:name="Tc_57BsFaGeIUGs31W4GCIEjw_2_5"/>
      <w:bookmarkStart w:id="1539" w:name="Tc_QQ1G2xW_bECT5SuoZIbdrg_2_2"/>
      <w:bookmarkStart w:id="1540" w:name="Tc_PWVCJQJNUkqwLL9FKiciOg_1_8"/>
      <w:bookmarkStart w:id="1541" w:name="Tc_2y1VWZaIP0eRonbNJlRJLA_1_2"/>
      <w:bookmarkStart w:id="1542" w:name="_b8fe210d_2776_429c_978f_6aaa85a6b51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Pr>
          <w:rFonts w:ascii="Times New Roman;Times;serif" w:hAnsi="Times New Roman;Times;serif"/>
          <w:sz w:val="20"/>
        </w:rPr>
        <w:t>The following table presents a summary of our segment fixed asset additions (in thousands):</w:t>
      </w:r>
    </w:p>
    <w:p>
      <w:pPr>
        <w:pStyle w:val="TextBody"/>
        <w:bidi w:val="0"/>
        <w:spacing w:before="0" w:after="0"/>
        <w:ind w:left="0" w:right="0" w:firstLine="446"/>
        <w:jc w:val="both"/>
        <w:rPr/>
      </w:pPr>
      <w:r>
        <w:rPr/>
        <w:t>​</w:t>
      </w:r>
    </w:p>
    <w:tbl>
      <w:tblPr>
        <w:tblW w:w="8030" w:type="dxa"/>
        <w:jc w:val="left"/>
        <w:tblInd w:w="0" w:type="dxa"/>
        <w:tblLayout w:type="fixed"/>
        <w:tblCellMar>
          <w:top w:w="0" w:type="dxa"/>
          <w:left w:w="0" w:type="dxa"/>
          <w:bottom w:w="0" w:type="dxa"/>
          <w:right w:w="0" w:type="dxa"/>
        </w:tblCellMar>
      </w:tblPr>
      <w:tblGrid>
        <w:gridCol w:w="3436"/>
        <w:gridCol w:w="109"/>
        <w:gridCol w:w="252"/>
        <w:gridCol w:w="684"/>
        <w:gridCol w:w="390"/>
        <w:gridCol w:w="252"/>
        <w:gridCol w:w="684"/>
        <w:gridCol w:w="109"/>
        <w:gridCol w:w="222"/>
        <w:gridCol w:w="602"/>
        <w:gridCol w:w="343"/>
        <w:gridCol w:w="222"/>
        <w:gridCol w:w="72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81860" cy="175260"/>
                      <wp:effectExtent l="0" t="0" r="0" b="0"/>
                      <wp:wrapNone/>
                      <wp:docPr id="265" name="Frame265"/>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0020" cy="175260"/>
                      <wp:effectExtent l="0" t="0" r="0" b="0"/>
                      <wp:wrapNone/>
                      <wp:docPr id="267" name="Frame26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4340" cy="175260"/>
                      <wp:effectExtent l="0" t="0" r="0" b="0"/>
                      <wp:wrapNone/>
                      <wp:docPr id="268" name="Frame26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47650" cy="175260"/>
                      <wp:effectExtent l="0" t="0" r="0" b="0"/>
                      <wp:wrapNone/>
                      <wp:docPr id="269" name="Frame26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0020" cy="175260"/>
                      <wp:effectExtent l="0" t="0" r="0" b="0"/>
                      <wp:wrapNone/>
                      <wp:docPr id="270" name="Frame27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34340" cy="175260"/>
                      <wp:effectExtent l="0" t="0" r="0" b="0"/>
                      <wp:wrapNone/>
                      <wp:docPr id="271" name="Frame27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40970" cy="175260"/>
                      <wp:effectExtent l="0" t="0" r="0" b="0"/>
                      <wp:wrapNone/>
                      <wp:docPr id="273" name="Frame27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82270" cy="175260"/>
                      <wp:effectExtent l="0" t="0" r="0" b="0"/>
                      <wp:wrapNone/>
                      <wp:docPr id="274" name="Frame274"/>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7805" cy="175260"/>
                      <wp:effectExtent l="0" t="0" r="0" b="0"/>
                      <wp:wrapNone/>
                      <wp:docPr id="275" name="Frame27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40970" cy="175260"/>
                      <wp:effectExtent l="0" t="0" r="0" b="0"/>
                      <wp:wrapNone/>
                      <wp:docPr id="276" name="Frame27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60375" cy="175260"/>
                      <wp:effectExtent l="0" t="0" r="0" b="0"/>
                      <wp:wrapNone/>
                      <wp:docPr id="277" name="Frame27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1"/>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w:t>
            </w:r>
          </w:p>
        </w:tc>
        <w:tc>
          <w:tcPr>
            <w:tcW w:w="390"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2,197</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4,334</w:t>
            </w:r>
          </w:p>
        </w:tc>
        <w:tc>
          <w:tcPr>
            <w:tcW w:w="343"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3,257</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90"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c>
          <w:tcPr>
            <w:tcW w:w="343"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9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3"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hardware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90"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3"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90"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w:t>
            </w:r>
          </w:p>
        </w:tc>
        <w:tc>
          <w:tcPr>
            <w:tcW w:w="343"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4,615</w:t>
            </w:r>
          </w:p>
        </w:tc>
        <w:tc>
          <w:tcPr>
            <w:tcW w:w="390"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109"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8,027</w:t>
            </w:r>
          </w:p>
        </w:tc>
        <w:tc>
          <w:tcPr>
            <w:tcW w:w="343"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4,570</w:t>
            </w:r>
          </w:p>
        </w:tc>
      </w:tr>
    </w:tbl>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p>
      <w:pPr>
        <w:pStyle w:val="TextBody"/>
        <w:bidi w:val="0"/>
        <w:spacing w:before="0" w:after="240"/>
        <w:ind w:left="0" w:right="0" w:firstLine="540"/>
        <w:jc w:val="left"/>
        <w:rPr/>
      </w:pPr>
      <w:r>
        <w:rPr/>
        <w:t>​</w:t>
      </w:r>
    </w:p>
    <w:tbl>
      <w:tblPr>
        <w:tblW w:w="6177" w:type="dxa"/>
        <w:jc w:val="left"/>
        <w:tblInd w:w="0" w:type="dxa"/>
        <w:tblLayout w:type="fixed"/>
        <w:tblCellMar>
          <w:top w:w="0" w:type="dxa"/>
          <w:left w:w="0" w:type="dxa"/>
          <w:bottom w:w="0" w:type="dxa"/>
          <w:right w:w="0" w:type="dxa"/>
        </w:tblCellMar>
      </w:tblPr>
      <w:tblGrid>
        <w:gridCol w:w="1366"/>
        <w:gridCol w:w="326"/>
        <w:gridCol w:w="252"/>
        <w:gridCol w:w="684"/>
        <w:gridCol w:w="390"/>
        <w:gridCol w:w="252"/>
        <w:gridCol w:w="684"/>
        <w:gridCol w:w="109"/>
        <w:gridCol w:w="222"/>
        <w:gridCol w:w="602"/>
        <w:gridCol w:w="343"/>
        <w:gridCol w:w="222"/>
        <w:gridCol w:w="725"/>
      </w:tblGrid>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0020" cy="175260"/>
                      <wp:effectExtent l="0" t="0" r="0" b="0"/>
                      <wp:wrapNone/>
                      <wp:docPr id="279" name="Frame27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4340" cy="175260"/>
                      <wp:effectExtent l="0" t="0" r="0" b="0"/>
                      <wp:wrapNone/>
                      <wp:docPr id="280" name="Frame28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7650" cy="175260"/>
                      <wp:effectExtent l="0" t="0" r="0" b="0"/>
                      <wp:wrapNone/>
                      <wp:docPr id="281" name="Frame28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0020" cy="175260"/>
                      <wp:effectExtent l="0" t="0" r="0" b="0"/>
                      <wp:wrapNone/>
                      <wp:docPr id="282" name="Frame28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4340" cy="175260"/>
                      <wp:effectExtent l="0" t="0" r="0" b="0"/>
                      <wp:wrapNone/>
                      <wp:docPr id="283" name="Frame28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0970" cy="175260"/>
                      <wp:effectExtent l="0" t="0" r="0" b="0"/>
                      <wp:wrapNone/>
                      <wp:docPr id="285" name="Frame28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82270" cy="175260"/>
                      <wp:effectExtent l="0" t="0" r="0" b="0"/>
                      <wp:wrapNone/>
                      <wp:docPr id="286" name="Frame286"/>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7805" cy="175260"/>
                      <wp:effectExtent l="0" t="0" r="0" b="0"/>
                      <wp:wrapNone/>
                      <wp:docPr id="287" name="Frame28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0970" cy="175260"/>
                      <wp:effectExtent l="0" t="0" r="0" b="0"/>
                      <wp:wrapNone/>
                      <wp:docPr id="288" name="Frame28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60375" cy="175260"/>
                      <wp:effectExtent l="0" t="0" r="0" b="0"/>
                      <wp:wrapNone/>
                      <wp:docPr id="289" name="Frame289"/>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90"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343"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90"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3"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6,138</w:t>
            </w:r>
          </w:p>
        </w:tc>
      </w:tr>
    </w:tbl>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446"/>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w:t>
      </w:r>
    </w:p>
    <w:p>
      <w:pPr>
        <w:pStyle w:val="TextBody"/>
        <w:bidi w:val="0"/>
        <w:spacing w:before="0" w:after="0"/>
        <w:ind w:left="0" w:right="0" w:firstLine="446"/>
        <w:jc w:val="both"/>
        <w:rPr/>
      </w:pPr>
      <w:r>
        <w:rPr/>
        <w:t>​</w:t>
      </w:r>
    </w:p>
    <w:tbl>
      <w:tblPr>
        <w:tblW w:w="6111" w:type="dxa"/>
        <w:jc w:val="left"/>
        <w:tblInd w:w="0" w:type="dxa"/>
        <w:tblLayout w:type="fixed"/>
        <w:tblCellMar>
          <w:top w:w="0" w:type="dxa"/>
          <w:left w:w="0" w:type="dxa"/>
          <w:bottom w:w="0" w:type="dxa"/>
          <w:right w:w="0" w:type="dxa"/>
        </w:tblCellMar>
      </w:tblPr>
      <w:tblGrid>
        <w:gridCol w:w="1081"/>
        <w:gridCol w:w="326"/>
        <w:gridCol w:w="1017"/>
        <w:gridCol w:w="230"/>
        <w:gridCol w:w="1017"/>
        <w:gridCol w:w="326"/>
        <w:gridCol w:w="763"/>
        <w:gridCol w:w="517"/>
        <w:gridCol w:w="834"/>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5795" cy="175260"/>
                      <wp:effectExtent l="0" t="0" r="0" b="0"/>
                      <wp:wrapNone/>
                      <wp:docPr id="291" name="Frame29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46050" cy="175260"/>
                      <wp:effectExtent l="0" t="0" r="0" b="0"/>
                      <wp:wrapNone/>
                      <wp:docPr id="292" name="Frame2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5795" cy="175260"/>
                      <wp:effectExtent l="0" t="0" r="0" b="0"/>
                      <wp:wrapNone/>
                      <wp:docPr id="293" name="Frame293"/>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84505" cy="175260"/>
                      <wp:effectExtent l="0" t="0" r="0" b="0"/>
                      <wp:wrapNone/>
                      <wp:docPr id="295" name="Frame295"/>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28295" cy="175260"/>
                      <wp:effectExtent l="0" t="0" r="0" b="0"/>
                      <wp:wrapNone/>
                      <wp:docPr id="296" name="Frame296"/>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29590" cy="175260"/>
                      <wp:effectExtent l="0" t="0" r="0" b="0"/>
                      <wp:wrapNone/>
                      <wp:docPr id="297" name="Frame29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30" w:type="dxa"/>
            <w:tcBorders/>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17" w:type="dxa"/>
            <w:tcBorders/>
            <w:vAlign w:val="center"/>
          </w:tcPr>
          <w:p>
            <w:pPr>
              <w:pStyle w:val="TableContents"/>
              <w:bidi w:val="0"/>
              <w:spacing w:before="0" w:after="0"/>
              <w:ind w:left="0" w:right="0" w:hanging="0"/>
              <w:jc w:val="center"/>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and six months ended June 30, 2025, sales to government entities comprised 91.7% and 90.7% of the Company’s total revenue, respectively. During the three and six months ended June 30, 2024, sales to government entities comprised 79.5% and 88.4% of the Company’s total revenue, respectively. </w:t>
      </w:r>
    </w:p>
    <w:p>
      <w:pPr>
        <w:pStyle w:val="TextBody"/>
        <w:bidi w:val="0"/>
        <w:spacing w:before="0" w:after="240"/>
        <w:ind w:left="0" w:right="0" w:firstLine="540"/>
        <w:jc w:val="both"/>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w:t>
      </w:r>
    </w:p>
    <w:p>
      <w:pPr>
        <w:pStyle w:val="TextBody"/>
        <w:bidi w:val="0"/>
        <w:spacing w:before="0" w:after="240"/>
        <w:ind w:left="0" w:right="0" w:firstLine="450"/>
        <w:jc w:val="left"/>
        <w:rPr/>
      </w:pPr>
      <w:r>
        <w:rPr/>
        <w:t>​</w:t>
      </w:r>
    </w:p>
    <w:tbl>
      <w:tblPr>
        <w:tblW w:w="4405" w:type="dxa"/>
        <w:jc w:val="left"/>
        <w:tblInd w:w="0" w:type="dxa"/>
        <w:tblLayout w:type="fixed"/>
        <w:tblCellMar>
          <w:top w:w="0" w:type="dxa"/>
          <w:left w:w="0" w:type="dxa"/>
          <w:bottom w:w="0" w:type="dxa"/>
          <w:right w:w="0" w:type="dxa"/>
        </w:tblCellMar>
      </w:tblPr>
      <w:tblGrid>
        <w:gridCol w:w="1081"/>
        <w:gridCol w:w="326"/>
        <w:gridCol w:w="1126"/>
        <w:gridCol w:w="326"/>
        <w:gridCol w:w="154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15010" cy="175260"/>
                      <wp:effectExtent l="0" t="0" r="0" b="0"/>
                      <wp:wrapNone/>
                      <wp:docPr id="299" name="Frame29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81710" cy="175260"/>
                      <wp:effectExtent l="0" t="0" r="0" b="0"/>
                      <wp:wrapNone/>
                      <wp:docPr id="301" name="Frame30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543" w:name="Tc_RpAfyGpK9UC3j4XVs2EArA_5_0"/>
      <w:bookmarkStart w:id="1544" w:name="Tc_ZHsC73jC3Uau-6y2gE5n5Q_4_0"/>
      <w:bookmarkStart w:id="1545" w:name="Tc_h3QESRN0ykiFcrTz2V8_sg_3_0"/>
      <w:bookmarkStart w:id="1546" w:name="Tc_FnAblyxaHUqmrspjg_BpSw_2_4"/>
      <w:bookmarkStart w:id="1547" w:name="Tc_8-BOR-_oiEugsRnQ8FJlXg_2_2"/>
      <w:bookmarkStart w:id="1548" w:name="Tc_ZFzYOwrQV0yDa7t5aDrHUg_1_2"/>
      <w:bookmarkStart w:id="1549" w:name="_edf62792_24de_4102_b490_6dad2301f3fb"/>
      <w:bookmarkStart w:id="1550" w:name="Tc_RYuG84ZdNEyrzAm4k5qI4Q_10_11"/>
      <w:bookmarkStart w:id="1551" w:name="Tc_3sF26x5P5kCJu4KVVjBxFA_10_8"/>
      <w:bookmarkStart w:id="1552" w:name="Tc_Mc9rfdVWg0qW9_AhzHnt0w_10_5"/>
      <w:bookmarkStart w:id="1553" w:name="Tc_eU6BfEwsU0Og73JnZ_xO7Q_10_2"/>
      <w:bookmarkStart w:id="1554" w:name="Tc_LQdLYteU60iqAMH3t4pUNA_10_0"/>
      <w:bookmarkStart w:id="1555" w:name="Tc_MNzBAMwKb0W3nbnBfKewVg_9_11"/>
      <w:bookmarkStart w:id="1556" w:name="Tc_KpyDhUYOQEy_s-eKMcGIVQ_9_8"/>
      <w:bookmarkStart w:id="1557" w:name="Tc_VDjgtWxjAUeu3auuVAPTDg_9_5"/>
      <w:bookmarkStart w:id="1558" w:name="Tc_TyQZevhiMk-TmQf7Ei4-rg_9_2"/>
      <w:bookmarkStart w:id="1559" w:name="Tc_q3pZynIQKUSpj7lQm4Q1yQ_9_0"/>
      <w:bookmarkStart w:id="1560" w:name="Tc_DS21zfauFU-wiboDb1Imzg_8_0"/>
      <w:bookmarkStart w:id="1561" w:name="Tc_Aeb3X-ovd0yEWyq7wsmWgA_7_0"/>
      <w:bookmarkStart w:id="1562" w:name="Tc_ffiZ4b0cr0qUY98GWUfMmA_6_11"/>
      <w:bookmarkStart w:id="1563" w:name="Tc_nXWbr6VSSU-7_KPam0JNbg_6_8"/>
      <w:bookmarkStart w:id="1564" w:name="Tc_vIpY1dudEEW5e2LWQKIP5w_6_5"/>
      <w:bookmarkStart w:id="1565" w:name="Tc_3pX7mTulWEu10fFF4cFOmg_6_2"/>
      <w:bookmarkStart w:id="1566" w:name="Tc_S2heaDT40EK6DDFqLWo7hw_6_0"/>
      <w:bookmarkStart w:id="1567" w:name="Tc_RJEg-Z1fBkewOlY2jhmgvw_5_12"/>
      <w:bookmarkStart w:id="1568" w:name="Tc_DO6AB39cGUKBYaa7pMj6WA_5_6"/>
      <w:bookmarkStart w:id="1569" w:name="Tc_Tqiqs_lQ-0SrqCHYXO8IUg_5_3"/>
      <w:bookmarkStart w:id="1570" w:name="Tc_GJNFqM2a3ECvufUZ6PSNaw_5_0"/>
      <w:bookmarkStart w:id="1571" w:name="Tc_IdwGpnfvPE-V4S1WLzFamQ_4_11"/>
      <w:bookmarkStart w:id="1572" w:name="Tc_6NikleRr0kiByyy_FNhmGg_4_8"/>
      <w:bookmarkStart w:id="1573" w:name="Tc_dc1j4gHhGkWV4GHMcb-4WQ_4_5"/>
      <w:bookmarkStart w:id="1574" w:name="Tc_xaGvgKFX_Um4rG98kiZ_Mg_4_2"/>
      <w:bookmarkStart w:id="1575" w:name="Tc_tBFGZky5ikWZG9QZdMTEyQ_4_0"/>
      <w:bookmarkStart w:id="1576" w:name="Tc_1CNui2CLB0mtz-w4F2dvew_3_0"/>
      <w:bookmarkStart w:id="1577" w:name="Tc_3UDDU3hg3UO9twjtQTJIEQ_2_11"/>
      <w:bookmarkStart w:id="1578" w:name="Tc_NUCs-Ex18Eyf4S65bx0nfQ_2_8"/>
      <w:bookmarkStart w:id="1579" w:name="Tc_0ZHO0Bzs8k-mkEc7JVG6dQ_2_5"/>
      <w:bookmarkStart w:id="1580" w:name="Tc_xFxPfaVpLUW_mNU9RDsSKg_2_2"/>
      <w:bookmarkStart w:id="1581" w:name="Tc_BjL-Ihsj_kSmBCbuiJv95A_1_8"/>
      <w:bookmarkStart w:id="1582" w:name="Tc_CFA1MSs1PUuX4YGykch5KQ_1_2"/>
      <w:bookmarkStart w:id="1583" w:name="_4d13cebf_4c14_422b_aacc_cdcb143d900c"/>
      <w:bookmarkStart w:id="1584" w:name="_dbebf6e3_879d_4751_bb64_6ef09ce529f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b/>
          <w:sz w:val="20"/>
        </w:rPr>
        <w:t>(13) Net Income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presents the calculations of basic and diluted net income (loss) per share attributable to common stockholders (in thousands, except for per share amounts):</w:t>
      </w:r>
    </w:p>
    <w:p>
      <w:pPr>
        <w:pStyle w:val="TextBody"/>
        <w:bidi w:val="0"/>
        <w:spacing w:before="0" w:after="240"/>
        <w:ind w:left="0" w:right="0" w:hanging="0"/>
        <w:jc w:val="left"/>
        <w:rPr/>
      </w:pPr>
      <w:r>
        <w:rPr/>
        <w:t>​</w:t>
      </w:r>
    </w:p>
    <w:tbl>
      <w:tblPr>
        <w:tblW w:w="10073" w:type="dxa"/>
        <w:jc w:val="left"/>
        <w:tblInd w:w="0" w:type="dxa"/>
        <w:tblLayout w:type="fixed"/>
        <w:tblCellMar>
          <w:top w:w="0" w:type="dxa"/>
          <w:left w:w="0" w:type="dxa"/>
          <w:bottom w:w="0" w:type="dxa"/>
          <w:right w:w="0" w:type="dxa"/>
        </w:tblCellMar>
      </w:tblPr>
      <w:tblGrid>
        <w:gridCol w:w="4711"/>
        <w:gridCol w:w="326"/>
        <w:gridCol w:w="211"/>
        <w:gridCol w:w="796"/>
        <w:gridCol w:w="326"/>
        <w:gridCol w:w="211"/>
        <w:gridCol w:w="796"/>
        <w:gridCol w:w="326"/>
        <w:gridCol w:w="211"/>
        <w:gridCol w:w="781"/>
        <w:gridCol w:w="326"/>
        <w:gridCol w:w="211"/>
        <w:gridCol w:w="84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991485" cy="175260"/>
                      <wp:effectExtent l="0" t="0" r="0" b="0"/>
                      <wp:wrapNone/>
                      <wp:docPr id="302" name="Frame302"/>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05460" cy="175260"/>
                      <wp:effectExtent l="0" t="0" r="0" b="0"/>
                      <wp:wrapNone/>
                      <wp:docPr id="305" name="Frame3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05460" cy="175260"/>
                      <wp:effectExtent l="0" t="0" r="0" b="0"/>
                      <wp:wrapNone/>
                      <wp:docPr id="308" name="Frame3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5935" cy="175260"/>
                      <wp:effectExtent l="0" t="0" r="0" b="0"/>
                      <wp:wrapNone/>
                      <wp:docPr id="311" name="Frame3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34035" cy="175260"/>
                      <wp:effectExtent l="0" t="0" r="0" b="0"/>
                      <wp:wrapNone/>
                      <wp:docPr id="314" name="Frame31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used in basic computation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used in diluted computation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161,705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For each of the three and six months ended June 30, 2025 and each of the three and six months ended June 30, 2024, the number of Sponsor Vesting Shares excluded from the computations of basic and diluted net income (loss) per share because the vesting conditions had not been satisfied totaled 580,273 and 3,059,273 shares, respectively. </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vesting condition for the Promote Sponsor Vesting Shares was satisfied on February 6, 2025. As of June 30, 2025, the vesting condition for the Sponsor Redemption-Based Vesting shares remained unsatisfied (Refer to Note 8 for Earn-out liabilities). The underlying gain from the change in the fair value of the Promote Sponsor Vesting Shares has been excluded from the fully-diluted computation for the six months ended June 30, 2025 due to resolution of the contingency, resulting in a net loss for purposes of the computation. For the three and six months ended June 30, 2025, the Promote Sponsor Vesting Shares have been included in the computations of basic and diluted net income (loss) per share from the February 6, 2025 vesting date. The Promote Sponsor Vesting Shares were not included in the computation of diluted net loss per share for the six months ended June 30, 2025 from the beginning of the period (January 1, 2025) because their effect would be anti-dilutive.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weighted-average common shares outstanding for the three and six months ended June 30, 2025 include 777,240 and 784,368 weighted-average shares for warrants having an exercise price of $0.01 per share each, respectively. The weighted-average common shares outstanding for each of the three and six months ended June 30, 2024 include 972,578 weighted-average shares for warrants having an exercise price of $0.01 per share each. </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potentially dilutive securities from the computations of diluted net loss per share for the three and six months ended June 30, 2025 and June 30, 2024 because their effect would be anti-dilutive:</w:t>
      </w:r>
    </w:p>
    <w:p>
      <w:pPr>
        <w:pStyle w:val="TextBody"/>
        <w:bidi w:val="0"/>
        <w:spacing w:before="0" w:after="240"/>
        <w:ind w:left="0" w:right="0" w:hanging="0"/>
        <w:jc w:val="left"/>
        <w:rPr/>
      </w:pPr>
      <w:r>
        <w:rPr/>
        <w:t>​</w:t>
      </w:r>
    </w:p>
    <w:tbl>
      <w:tblPr>
        <w:tblW w:w="5249" w:type="dxa"/>
        <w:jc w:val="left"/>
        <w:tblInd w:w="0" w:type="dxa"/>
        <w:tblLayout w:type="fixed"/>
        <w:tblCellMar>
          <w:top w:w="0" w:type="dxa"/>
          <w:left w:w="0" w:type="dxa"/>
          <w:bottom w:w="0" w:type="dxa"/>
          <w:right w:w="0" w:type="dxa"/>
        </w:tblCellMar>
      </w:tblPr>
      <w:tblGrid>
        <w:gridCol w:w="2371"/>
        <w:gridCol w:w="326"/>
        <w:gridCol w:w="1036"/>
        <w:gridCol w:w="32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05585" cy="175260"/>
                      <wp:effectExtent l="0" t="0" r="0" b="0"/>
                      <wp:wrapNone/>
                      <wp:docPr id="315" name="Frame31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57860" cy="175260"/>
                      <wp:effectExtent l="0" t="0" r="0" b="0"/>
                      <wp:wrapNone/>
                      <wp:docPr id="317" name="Frame3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57860" cy="175260"/>
                      <wp:effectExtent l="0" t="0" r="0" b="0"/>
                      <wp:wrapNone/>
                      <wp:docPr id="319" name="Frame3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7790" cy="175260"/>
                      <wp:effectExtent l="0" t="0" r="0" b="0"/>
                      <wp:wrapNone/>
                      <wp:docPr id="320" name="Frame3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14,410,623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6,536,637</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9,600,802</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6,544,122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8,382,814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27,491,382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32,434,033</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as of both June 30, 2025 and June 30, 2024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14)</w:t>
            </w:r>
          </w:p>
        </w:tc>
        <w:tc>
          <w:tcPr>
            <w:tcW w:w="1396" w:type="dxa"/>
            <w:tcBorders/>
            <w:vAlign w:val="center"/>
          </w:tcPr>
          <w:p>
            <w:pPr>
              <w:pStyle w:val="TableContents"/>
              <w:bidi w:val="0"/>
              <w:spacing w:before="0" w:after="0"/>
              <w:jc w:val="both"/>
              <w:rPr/>
            </w:pPr>
            <w:r>
              <w:rPr/>
              <w:t> </w:t>
            </w:r>
            <w:r>
              <w:rPr>
                <w:rFonts w:ascii="Times New Roman;Times;serif" w:hAnsi="Times New Roman;Times;serif"/>
                <w:b/>
                <w:sz w:val="20"/>
              </w:rPr>
              <w:t>Income Taxes</w:t>
            </w:r>
          </w:p>
        </w:tc>
      </w:tr>
    </w:tbl>
    <w:p>
      <w:pPr>
        <w:pStyle w:val="TextBody"/>
        <w:pBdr/>
        <w:bidi w:val="0"/>
        <w:spacing w:before="0" w:after="0"/>
        <w:ind w:left="0" w:right="0" w:hanging="36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including gains and losses on derivative warrant and earn-out liabilities.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incurred a cumulative pre-tax loss for the past three years. The Company expects that it will continue to incur losses for income tax purposes for the foreseeable future, and will continue to carry a full valuation allowance for its deferred tax assets. Accordingly, the Company did not record a provision for income taxes for either the three and six months ended June 30, 2025 or the three and six months ended June 30, 2024.</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Any financial impacts from the legislation will be reflected in the Company’s condensed consolidated financial statements during the three months ended September 30, 2025 when the legislation became law. The Company presently does not expect the OBBA to have a material impact on the condensed consolidated financial statements.</w:t>
      </w:r>
    </w:p>
    <w:p>
      <w:pPr>
        <w:pStyle w:val="TextBody"/>
        <w:bidi w:val="0"/>
        <w:spacing w:before="0" w:after="240"/>
        <w:ind w:left="0" w:right="0" w:firstLine="540"/>
        <w:jc w:val="both"/>
        <w:rPr/>
      </w:pPr>
      <w:r>
        <w:rPr/>
        <w:t>​</w:t>
      </w:r>
    </w:p>
    <w:p>
      <w:pPr>
        <w:pStyle w:val="TextBody"/>
        <w:bidi w:val="0"/>
        <w:spacing w:before="0" w:after="240"/>
        <w:ind w:left="0" w:right="0" w:firstLine="63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(15) Collaborative Arrangements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February 27, 2025, the Company entered into a Collaboration Agreement (the “Collaboration Agreement”) with Quanta Computer Inc., a Taiwan corporation (“Quanta”). The term of the Collaboration Agreement is for five years, subject to cancellation under certain circumstances.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Costs incurred by the Company under the Collaboration Agreement, consisting of its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undivided interest in, all such joint project technology and all newly-created or newly-arising IP rights with respect thereto.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xml:space="preserve">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 year period following the closing of the private placement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pPr>
      <w:r>
        <w:rPr/>
        <w:t>​</w:t>
      </w:r>
    </w:p>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16)</w:t>
            </w:r>
          </w:p>
        </w:tc>
        <w:tc>
          <w:tcPr>
            <w:tcW w:w="2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585" w:name="ITEM2MANAGEMENTSDISCUSSIONANDANALYSISOFF"/>
      <w:bookmarkStart w:id="1586" w:name="_8ad07a86_2ea3_492f_98be_40e4bb144f54"/>
      <w:bookmarkEnd w:id="1585"/>
      <w:bookmarkEnd w:id="1586"/>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2024,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currently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We have been generating revenue since 2018 through partnerships with government agencies and commercial organizations; however, we have incurred significant operating losses since inception. Our net losses were $201.0 million and $75.1 million for the years ended December 31, 2024 and December 31, 2023, respectively. We incurred an operating loss for the three months ended June 30, 2025. We expect to continue to incur additional losses for the foreseeable future as we invest in research, development, and infrastructure consistent with our long-term business strategy. As of June 30, 2025, we had an accumulated deficit of $551.8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available for sale investments should be sufficient to meet our anticipated operating cash needs for at least the next 12 months based on our current business plan, and expectations and assumptions considering current macroeconomic conditions. Our operating plans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the fourth quarter of 2024, we announced the launch </w:t>
      </w:r>
      <w:r>
        <w:rPr>
          <w:rFonts w:ascii="Times New Roman;Times;serif" w:hAnsi="Times New Roman;Times;serif"/>
          <w:sz w:val="20"/>
          <w:shd w:fill="FFFFFF" w:val="clear"/>
        </w:rPr>
        <w:t>of our 84-qubit Ankaa-3 system, our newest flagship quantum computer featuring an extensive hardware redesign. We also achieved major two-qubit gate fidelity milestones with Ankaa-3: </w:t>
      </w:r>
      <w:r>
        <w:rPr>
          <w:rFonts w:ascii="Times New Roman;Times;serif" w:hAnsi="Times New Roman;Times;serif"/>
          <w:sz w:val="20"/>
        </w:rPr>
        <w:t xml:space="preserve">successfully halving error rates in 2024 to achieve a 99.0% median two-qubit iSWAP gate fidelity, as well as demonstrating a 99.5% median two-qubit fidelity with fSim gates. For more information on iSWAP gate fidelity and fSIM gates, see the section entitled “Our Technology—Our Superconducting Quantum Processors—Fidelity” in Part I, Item 1 of our Annual Report on Form 10-K for the year ended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goal for 2025 is to introduce the next generation of our modular system architecture, while continuing to increase fidelities. On July 16, 2025, we announced that we achieved our mid-year performance milestone of 99.5% median two-qubit gate fidelity on a modular 36-qubit system, a 2x reduction in median two-qubit gate error rate from our previous best results on our 84-qubit single chip Ankaa™-3 system. Composed of four 9-qubit chips (“chiplets”) tiled together and optimized for CZ gates, a commonly used two-qubit gate for executing quantum circuits with equivalent computational power to iSWAP gates, the 36-qubit system is based on our proprietary modular chip technology and provides a path to building a 100+ qubit chiplet-based system. Our 36-qubit system,</w:t>
      </w:r>
      <w:r>
        <w:rPr>
          <w:rFonts w:ascii="Times New Roman;Times;serif" w:hAnsi="Times New Roman;Times;serif"/>
          <w:color w:val="1D1C1D"/>
          <w:sz w:val="20"/>
        </w:rPr>
        <w:t xml:space="preserve"> Cepheus™-1-36Q, has been released for general availability and deployed on our Cloud Services Platform (QCS®) and will be available on Microsoft Azure thereafter.</w:t>
      </w:r>
      <w:r>
        <w:rPr>
          <w:rFonts w:ascii="Times New Roman;Times;serif" w:hAnsi="Times New Roman;Times;serif"/>
          <w:sz w:val="20"/>
        </w:rPr>
        <w:t xml:space="preserve"> We expect to release a 100+ qubit chiplet-based system with a 99.5% median two-qubit gate fidelity before the end of 2025.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for 2025 described above and elsewhere in this Quarterly Report on Form 10-Q; however, we face various risks and uncertainties relating to our business that could cause actual results to differ materially from our expectations stated herein. This Quarterly Report on Form 10-Q, including this Management’s Discussion and Analysis of Financial Condition and Results of Operations should be read in conjunction with the section entitled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2025 ATM Offering</w:t>
      </w:r>
    </w:p>
    <w:p>
      <w:pPr>
        <w:pStyle w:val="TextBody"/>
        <w:bidi w:val="0"/>
        <w:spacing w:before="0" w:after="240"/>
        <w:ind w:left="0" w:right="0" w:hanging="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On May 29, 2025, we entered into an Open Market Sale Agreement</w:t>
      </w:r>
      <w:r>
        <w:rPr>
          <w:rFonts w:ascii="Times New Roman;Times;serif" w:hAnsi="Times New Roman;Times;serif"/>
          <w:sz w:val="15"/>
        </w:rPr>
        <w:t>TM</w:t>
      </w:r>
      <w:r>
        <w:rPr>
          <w:rFonts w:ascii="Times New Roman;Times;serif" w:hAnsi="Times New Roman;Times;serif"/>
          <w:sz w:val="20"/>
        </w:rPr>
        <w:t xml:space="preserve"> (the “Sales Agreement”) with Jefferies LLC with respect to an At-the-Market (“ATM”) offering program, pursuant to which we sold, from time to time at our sole discretion, shares of our common stock having an aggregate offering price of $350 million. The shares offered and sold in the ATM offering were issued pursuant to a shelf registration statement on Form S-3 and the related prospectus supplement. During the three and six months ended June 30, 2025, we raised gross proceeds of $350 million from the sale of 30,309,780 shares of our common stock pursuant to the Sales Agreement, at a weighted average price of $11.55 per share. The net proceeds from the Sales Agreement during the three and six months ended June 30, 2025 were $346.7 million. As of June 30, 2025, there were no remaining shares available for sale pursuant to the Sales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Quanta Collaboration Agreement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shd w:fill="FFFFFF" w:val="clear"/>
        </w:rPr>
        <w:t xml:space="preserve">In February 2025, our wholly-owned subsidiary entered into a Collaboration Agreement with Quanta, whereby the parties may enter into written statements of work from time to time pursuant to which Quanta will develop Covered Components listed in such statement of work that meet our specifications and requirements. “Covered Components” may include control systems, dilution refrigerators, flexible cables, and select other non-QPU components suitable for our quantum computing products. No statements of work were entered into by the parties in connection with the entry into the Collaboration Agreement. In addition, the parties have each agreed to invest at least $250 million over the next five years in the field of quantum computing (and Quanta’s investment will be towards personnel and capital expenditures for developing products and services and manufacturing capability in furtherance of our product roadmap). </w:t>
      </w:r>
      <w:r>
        <w:rPr>
          <w:rFonts w:ascii="Times New Roman;Times;serif" w:hAnsi="Times New Roman;Times;serif"/>
          <w:sz w:val="20"/>
        </w:rPr>
        <w:t>No equity or joint venture was formed under the Collaboration Agreement and costs incurred by us under the Collaboration Agreement, consisting of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we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one-half undivided interest in, all such joint project technology and all newly-created or newly-arising IP rights with respect thereto.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private placement transaction, which was subject to regulatory clearance, closed on April 29, 2025.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Liberation Serif" w:hAnsi="Liberation Serif"/>
          <w:sz w:val="20"/>
        </w:rPr>
      </w:pPr>
      <w:r>
        <w:rPr>
          <w:rFonts w:ascii="Liberation Serif" w:hAnsi="Liberation Serif"/>
          <w:sz w:val="20"/>
        </w:rPr>
        <w:t xml:space="preserve">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international trade policies including tariffs and export controls, national security interests, pandemics, political turmoil, natural catastrophes, warfare, and terrorist attacks in the United States or elsewhere, could negatively affect our business, including progress toward the development of quantum computing by increasing the cost of materials and components and our operating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Liberation Serif" w:hAnsi="Liberation Serif"/>
          <w:sz w:val="20"/>
        </w:rPr>
      </w:pP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w:t>
      </w:r>
      <w:r>
        <w:rPr>
          <w:rFonts w:ascii="Liberation Serif" w:hAnsi="Liberation Serif"/>
          <w:sz w:val="20"/>
        </w:rPr>
        <w:t xml:space="preserve">and the trading price of our Common Stock could decline.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Roman" w:hAnsi="Times-Roman"/>
          <w:sz w:val="20"/>
        </w:rPr>
        <w:t xml:space="preserve">For further discussion of the potential impacts of macroeconomic events on our business, financial condition, and operating results, see the section titled Part I “Item 1A. Risk Factors” in our Annual Report on Form 10-K for the year ended December 31, 2024, including the risk factor titled </w:t>
      </w:r>
      <w:r>
        <w:rPr>
          <w:rFonts w:ascii="Times New Roman;Times;serif" w:hAnsi="Times New Roman;Times;serif"/>
          <w:sz w:val="20"/>
        </w:rPr>
        <w:t>“</w:t>
      </w:r>
      <w:r>
        <w:rPr>
          <w:rFonts w:ascii="Times New Roman;Times;serif" w:hAnsi="Times New Roman;Times;serif"/>
          <w:i/>
          <w:sz w:val="20"/>
        </w:rPr>
        <w:t>Unfavorable conditions in our industry or the global economy could limit our ability to grow our business and negatively affect our results of operations.”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research and development or sales of QPUs and providing development contracts, QCaaS offerings and other services. We expect selling, general and administrative expenses to increase as we grow our business, particularly </w:t>
      </w:r>
      <w:r>
        <w:rPr>
          <w:rFonts w:ascii="Times-Roman" w:hAnsi="Times-Roman"/>
          <w:sz w:val="20"/>
        </w:rPr>
        <w:t>to the extent we are able to demonstrate the usefulness of quantum computers and achieve broad quantum advantage, and subsequently enhance our product and service offerings, expand our customer base, and implement new marketing strategies.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Six Months Ended June 30, 2025 and June 30,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p>
      <w:pPr>
        <w:pStyle w:val="TextBody"/>
        <w:bidi w:val="0"/>
        <w:spacing w:before="0" w:after="0"/>
        <w:ind w:left="0" w:right="0" w:hanging="0"/>
        <w:jc w:val="both"/>
        <w:rPr/>
      </w:pPr>
      <w:r>
        <w:rPr/>
        <w:t>​</w:t>
      </w:r>
    </w:p>
    <w:tbl>
      <w:tblPr>
        <w:tblW w:w="11373" w:type="dxa"/>
        <w:jc w:val="left"/>
        <w:tblInd w:w="0" w:type="dxa"/>
        <w:tblLayout w:type="fixed"/>
        <w:tblCellMar>
          <w:top w:w="0" w:type="dxa"/>
          <w:left w:w="0" w:type="dxa"/>
          <w:bottom w:w="0" w:type="dxa"/>
          <w:right w:w="0" w:type="dxa"/>
        </w:tblCellMar>
      </w:tblPr>
      <w:tblGrid>
        <w:gridCol w:w="1111"/>
        <w:gridCol w:w="326"/>
        <w:gridCol w:w="196"/>
        <w:gridCol w:w="661"/>
        <w:gridCol w:w="326"/>
        <w:gridCol w:w="196"/>
        <w:gridCol w:w="661"/>
        <w:gridCol w:w="326"/>
        <w:gridCol w:w="196"/>
        <w:gridCol w:w="661"/>
        <w:gridCol w:w="326"/>
        <w:gridCol w:w="931"/>
        <w:gridCol w:w="256"/>
        <w:gridCol w:w="326"/>
        <w:gridCol w:w="196"/>
        <w:gridCol w:w="661"/>
        <w:gridCol w:w="326"/>
        <w:gridCol w:w="196"/>
        <w:gridCol w:w="661"/>
        <w:gridCol w:w="326"/>
        <w:gridCol w:w="206"/>
        <w:gridCol w:w="635"/>
        <w:gridCol w:w="326"/>
        <w:gridCol w:w="931"/>
        <w:gridCol w:w="256"/>
        <w:gridCol w:w="15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05485" cy="175260"/>
                      <wp:effectExtent l="0" t="0" r="0" b="0"/>
                      <wp:wrapNone/>
                      <wp:docPr id="321" name="Frame32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19735" cy="175260"/>
                      <wp:effectExtent l="0" t="0" r="0" b="0"/>
                      <wp:wrapNone/>
                      <wp:docPr id="324" name="Frame32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24460" cy="175260"/>
                      <wp:effectExtent l="0" t="0" r="0" b="0"/>
                      <wp:wrapNone/>
                      <wp:docPr id="326"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19735" cy="175260"/>
                      <wp:effectExtent l="0" t="0" r="0" b="0"/>
                      <wp:wrapNone/>
                      <wp:docPr id="327" name="Frame32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29"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19735" cy="175260"/>
                      <wp:effectExtent l="0" t="0" r="0" b="0"/>
                      <wp:wrapNone/>
                      <wp:docPr id="330" name="Frame33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32"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2560" cy="175260"/>
                      <wp:effectExtent l="0" t="0" r="0" b="0"/>
                      <wp:wrapNone/>
                      <wp:docPr id="333" name="Frame33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335"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19735" cy="175260"/>
                      <wp:effectExtent l="0" t="0" r="0" b="0"/>
                      <wp:wrapNone/>
                      <wp:docPr id="336" name="Frame33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4460" cy="175260"/>
                      <wp:effectExtent l="0" t="0" r="0" b="0"/>
                      <wp:wrapNone/>
                      <wp:docPr id="338" name="Frame3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19735" cy="175260"/>
                      <wp:effectExtent l="0" t="0" r="0" b="0"/>
                      <wp:wrapNone/>
                      <wp:docPr id="339" name="Frame33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0810" cy="175260"/>
                      <wp:effectExtent l="0" t="0" r="0" b="0"/>
                      <wp:wrapNone/>
                      <wp:docPr id="341" name="Frame3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03225" cy="175260"/>
                      <wp:effectExtent l="0" t="0" r="0" b="0"/>
                      <wp:wrapNone/>
                      <wp:docPr id="342" name="Frame342"/>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91185" cy="175260"/>
                      <wp:effectExtent l="0" t="0" r="0" b="0"/>
                      <wp:wrapNone/>
                      <wp:docPr id="344" name="Frame3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62560" cy="175260"/>
                      <wp:effectExtent l="0" t="0" r="0" b="0"/>
                      <wp:wrapNone/>
                      <wp:docPr id="345" name="Frame34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97790" cy="175260"/>
                      <wp:effectExtent l="0" t="0" r="0" b="0"/>
                      <wp:wrapNone/>
                      <wp:docPr id="346" name="Frame3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c>
          <w:tcPr>
            <w:tcW w:w="32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6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26" w:type="dxa"/>
            <w:tcBorders/>
            <w:vAlign w:val="center"/>
          </w:tcPr>
          <w:p>
            <w:pPr>
              <w:pStyle w:val="TableContents"/>
              <w:bidi w:val="0"/>
              <w:spacing w:before="0" w:after="1"/>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 versus 2024</w:t>
            </w:r>
          </w:p>
        </w:tc>
        <w:tc>
          <w:tcPr>
            <w:tcW w:w="2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26" w:type="dxa"/>
            <w:tcBorders/>
            <w:vAlign w:val="center"/>
          </w:tcPr>
          <w:p>
            <w:pPr>
              <w:pStyle w:val="TableContents"/>
              <w:bidi w:val="0"/>
              <w:spacing w:before="0" w:after="1"/>
              <w:ind w:left="0" w:right="0" w:hanging="0"/>
              <w:jc w:val="center"/>
              <w:rPr/>
            </w:pPr>
            <w:r>
              <w:rPr/>
              <w:t>​</w:t>
            </w:r>
          </w:p>
        </w:tc>
        <w:tc>
          <w:tcPr>
            <w:tcW w:w="20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 vs. 2024</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6,138</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2,648</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3,490</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23,341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721</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12,819</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36,160</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6,362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(19,882)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(3,797)</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(32,670)</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(8,844)</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(2,076)</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2,076</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(22,657)</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33,188</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(19,772)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(23,436)</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44,479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45,003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36,159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36,159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$1.3 million and $2.9 million for the three and six months ended </w:t>
      </w:r>
      <w:r>
        <w:rPr>
          <w:rFonts w:ascii="Times New Roman;Times;serif" w:hAnsi="Times New Roman;Times;serif"/>
          <w:sz w:val="20"/>
          <w:shd w:fill="FFFFFF" w:val="clear"/>
        </w:rPr>
        <w:t>June 30, 2025</w:t>
      </w:r>
      <w:r>
        <w:rPr>
          <w:rFonts w:ascii="Times New Roman;Times;serif" w:hAnsi="Times New Roman;Times;serif"/>
          <w:sz w:val="20"/>
        </w:rPr>
        <w:t xml:space="preserve">, when compared to the three and six months ended June 30, 2024, respectively. The decreases were mainly due to reductions in revenue from collaborative research and professional services contracts. Our revenue has been negatively impacted by expiration of the National Quantum Initiative Act in September 2023 and its pending reauthorization in the United States Congress. </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Cost of revenue increased by $0.1 million and decreased by $0.4 million for the three and six months ended </w:t>
      </w:r>
      <w:r>
        <w:rPr>
          <w:rFonts w:ascii="Times New Roman;Times;serif" w:hAnsi="Times New Roman;Times;serif"/>
          <w:sz w:val="20"/>
          <w:shd w:fill="FFFFFF" w:val="clear"/>
        </w:rPr>
        <w:t>June 30, 2025</w:t>
      </w:r>
      <w:r>
        <w:rPr>
          <w:rFonts w:ascii="Times New Roman;Times;serif" w:hAnsi="Times New Roman;Times;serif"/>
          <w:sz w:val="20"/>
        </w:rPr>
        <w:t xml:space="preserve">, when compared to the three and six months ended June 30, 2024, respectively. </w:t>
      </w:r>
      <w:r>
        <w:rPr>
          <w:rFonts w:ascii="Times New Roman;Times;serif" w:hAnsi="Times New Roman;Times;serif"/>
          <w:sz w:val="20"/>
          <w:shd w:fill="FFFFFF" w:val="clear"/>
        </w:rPr>
        <w:t xml:space="preserve">The </w:t>
      </w:r>
      <w:r>
        <w:rPr>
          <w:rFonts w:ascii="Times New Roman;Times;serif" w:hAnsi="Times New Roman;Times;serif"/>
          <w:sz w:val="20"/>
        </w:rPr>
        <w:t xml:space="preserve">increase </w:t>
      </w:r>
      <w:r>
        <w:rPr>
          <w:rFonts w:ascii="Times New Roman;Times;serif" w:hAnsi="Times New Roman;Times;serif"/>
          <w:sz w:val="20"/>
          <w:shd w:fill="FFFFFF" w:val="clear"/>
        </w:rPr>
        <w:t>in </w:t>
      </w:r>
      <w:r>
        <w:rPr>
          <w:rFonts w:ascii="Times New Roman;Times;serif" w:hAnsi="Times New Roman;Times;serif"/>
          <w:sz w:val="20"/>
        </w:rPr>
        <w:t>cost of revenue during the three months ended June 30, 2025 was due to an unfavorable revenue mix, with more revenue and cost of revenue coming from contracts with higher costs and a lower gross margin profile, mostly offset by the impact of lower revenue levels on cost of revenue.  The decrease in cost of revenue for the six months ended June 30, 2025 was due to the impact of lower revenue levels on cost of revenue, offset in part by the unfavorable revenue mix.</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Our cost of revenue and gross margins are impacted by the composition of our revenue and variability in the pricing and terms of our development contracts. During the three and six months ended June 30, 2025, we recognized revenue and cost of revenue from contracts to deliver 24-qubit and 36-qubit quantum computing systems, which have higher costs and a lower gross margin profile than most of our other contracts.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increased by $1.7 million and $5.6 million for the three and six months ended </w:t>
      </w:r>
      <w:r>
        <w:rPr>
          <w:rFonts w:ascii="Times New Roman;Times;serif" w:hAnsi="Times New Roman;Times;serif"/>
          <w:sz w:val="20"/>
          <w:shd w:fill="FFFFFF" w:val="clear"/>
        </w:rPr>
        <w:t>June 30, 2025</w:t>
      </w:r>
      <w:r>
        <w:rPr>
          <w:rFonts w:ascii="Times New Roman;Times;serif" w:hAnsi="Times New Roman;Times;serif"/>
          <w:sz w:val="20"/>
        </w:rPr>
        <w:t>, when compared to the three and six months ended June 30, 2024,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research and development expenses for the three months ended </w:t>
      </w:r>
      <w:r>
        <w:rPr>
          <w:rFonts w:ascii="Times New Roman;Times;serif" w:hAnsi="Times New Roman;Times;serif"/>
          <w:sz w:val="20"/>
          <w:shd w:fill="FFFFFF" w:val="clear"/>
        </w:rPr>
        <w:t>June 30, 2025</w:t>
      </w:r>
      <w:r>
        <w:rPr>
          <w:rFonts w:ascii="Times New Roman;Times;serif" w:hAnsi="Times New Roman;Times;serif"/>
          <w:sz w:val="20"/>
        </w:rPr>
        <w:t>, when compared to the three months ended June 30, 2024, was mainly due to a $1.2 million increase in salaries and employee related costs and a $0.5 million increase in consulting services. The increase in research and development expenses for the six months ended June 30, 2025, when compared to the six months ended June 30, 2024, was mainly due to a $3.2 million increase in salaries and employee related costs, a $1.1 million increase in stock based compensation, a $0.9 million increase in consulting services and a $0.4 million increase in all other costs. The increase in salaries and employee related costs in both periods was due to annual salary increases, new hires and higher Federal Insurance Contributions Act (“FICA”) taxes related to the vesting of RSUs and the increase in our stock price. The increase in stock-based compensation for the six months ended June 30, 2025 was mainly due to the grant of RSUs for employee spot bonuses. Consulting services are used to support information technology requirements and for non-core research and development activities.</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anticipate that research and development expenditures will grow in the future as we continue to focus on our technology roadmap and long-term goal of achieving broad quantum advantage.</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$0.7 million for both the three and six months ended </w:t>
      </w:r>
      <w:r>
        <w:rPr>
          <w:rFonts w:ascii="Times New Roman;Times;serif" w:hAnsi="Times New Roman;Times;serif"/>
          <w:sz w:val="20"/>
          <w:shd w:fill="FFFFFF" w:val="clear"/>
        </w:rPr>
        <w:t>June 30, 2025</w:t>
      </w:r>
      <w:r>
        <w:rPr>
          <w:rFonts w:ascii="Times New Roman;Times;serif" w:hAnsi="Times New Roman;Times;serif"/>
          <w:sz w:val="20"/>
        </w:rPr>
        <w:t xml:space="preserve">, when compared to the three and six months ended June 30, 2024, respectively. The increase for both periods was mainly due to higher costs for proxy distribution and solicitation related to our annual meeting during the three months ended June 30, 2025, as compared to costs related to our annual meeting during the three months ended June 30, 2024, which was driven by the increase in the number of beneficial owners of our common stock. </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incur additional selling, general and administrative expenses to support the growth of our business. Further, 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Interest expenses decreased by $1.0 million and $2.1 million for the three and six months ended </w:t>
      </w:r>
      <w:r>
        <w:rPr>
          <w:rFonts w:ascii="Times New Roman;Times;serif" w:hAnsi="Times New Roman;Times;serif"/>
          <w:sz w:val="20"/>
          <w:shd w:fill="FFFFFF" w:val="clear"/>
        </w:rPr>
        <w:t>June 30, 2025</w:t>
      </w:r>
      <w:r>
        <w:rPr>
          <w:rFonts w:ascii="Times New Roman;Times;serif" w:hAnsi="Times New Roman;Times;serif"/>
          <w:sz w:val="20"/>
        </w:rPr>
        <w:t>, when compared to the three and six months ended June 30, 2024, respectively. The reduction in interest expense was due to the prepayment of our outstanding debt with Trinity Capital Inc. (“Trinity Capital”) in December 2024. A discussion regarding the debt prepayment is included in Note 6 to our condensed consolidated financial statements for the three and six months ended June 30, 2025, included elsewhere in this Quarterly Report on Form 10-Q.</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$3.0 million and $5.2 million for the three and six months ended </w:t>
      </w:r>
      <w:r>
        <w:rPr>
          <w:rFonts w:ascii="Times New Roman;Times;serif" w:hAnsi="Times New Roman;Times;serif"/>
          <w:sz w:val="20"/>
          <w:shd w:fill="FFFFFF" w:val="clear"/>
        </w:rPr>
        <w:t>June 30, 2025, respectively, compared to $1.2 million and $2.3 million for the three and six months ended June 30, 2024, respectively</w:t>
      </w:r>
      <w:r>
        <w:rPr>
          <w:rFonts w:ascii="Times New Roman;Times;serif" w:hAnsi="Times New Roman;Times;serif"/>
          <w:sz w:val="20"/>
        </w:rPr>
        <w:t>. The increase in interest income during the three and six months ended June, 2025, when compared to the three and six months ended June 30, 2024, was d</w:t>
      </w:r>
      <w:r>
        <w:rPr>
          <w:rFonts w:ascii="Times New Roman;Times;serif" w:hAnsi="Times New Roman;Times;serif"/>
          <w:sz w:val="20"/>
          <w:shd w:fill="FFFFFF" w:val="clear"/>
        </w:rPr>
        <w:t>ue to an increase in the balances of our invested cash and available-for-sale investments resulting from our equity offerings during late 2024 and the three months ended June 30, 2025. Fluctuations in the rates of interest earned on our investments</w:t>
      </w:r>
      <w:r>
        <w:rPr>
          <w:rFonts w:ascii="Times New Roman;Times;serif" w:hAnsi="Times New Roman;Times;serif"/>
          <w:sz w:val="20"/>
        </w:rPr>
        <w:t xml:space="preserve"> also had an impact on interest income during these periods. We anticipate that interest income will increase in the coming periods due to the increase in the balances of our invested cash and available-for-sale investments resulting from the closing of our private placement with Quanta and our ATM offering during the three months ended June 30, 2025.</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7 to our condensed consolidated financial statements for the three and six months ended June 30, 2025, included elsewhere in this Quarterly Report on Form 10-Q. </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and six months ended June 30, 2025 was a loss of $20.6 million and gain of $32.7 million, respectively. </w:t>
      </w:r>
      <w:r>
        <w:rPr>
          <w:rFonts w:ascii="Times New Roman;Times;serif" w:hAnsi="Times New Roman;Times;serif"/>
          <w:color w:val="212529"/>
          <w:sz w:val="20"/>
          <w:shd w:fill="FFFFFF" w:val="clear"/>
        </w:rPr>
        <w:t xml:space="preserve">The change in fair value of our warrant liabilities for the three and six months ended June 30, 2024 was a gain of $2.1 million and a loss $0.5 million, respectively. </w:t>
      </w:r>
      <w:r>
        <w:rPr>
          <w:rFonts w:ascii="Times New Roman;Times;serif" w:hAnsi="Times New Roman;Times;serif"/>
          <w:sz w:val="20"/>
        </w:rPr>
        <w:t xml:space="preserve">The change in fair value for the three and six months ended June 30, 2025 was primarily due to fluctuations in our stock price.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8 to our condensed consolidated financial statements for the three and six months ended June 30, 2025,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and six months ended June 30, 2025 was a loss of $2.3 million and gain of $6.6 million, respectively. T</w:t>
      </w:r>
      <w:r>
        <w:rPr>
          <w:rFonts w:ascii="Times New Roman;Times;serif" w:hAnsi="Times New Roman;Times;serif"/>
          <w:color w:val="212529"/>
          <w:sz w:val="20"/>
          <w:shd w:fill="FFFFFF" w:val="clear"/>
        </w:rPr>
        <w:t>he change in fair value of our earn-out liabilities for three and six months ended June 30, 2024 was a gain of $1.3 million and a loss of $0.3 million, respectively. </w:t>
      </w:r>
      <w:r>
        <w:rPr>
          <w:rFonts w:ascii="Times New Roman;Times;serif" w:hAnsi="Times New Roman;Times;serif"/>
          <w:sz w:val="20"/>
        </w:rPr>
        <w:t xml:space="preserve"> The change in fair value for the three and six months ended June 30, 2025 was primarily due to fluctuations in our stock price.</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incurred a cumulative pre-tax loss for the past three years. We expect to continue to incur losses for income tax purposes for the foreseeable future, and will continue to carry a full valuation allowance for our deferred tax assets. Accordingly, we did not record a provision for income taxes for either the three and six months ended June 30, 2025 or the three and six months ended June 30, 2024.</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Any financial impacts from the legislation will be reflected in our condensed consolidated financial statements during the three months ended September 30, 2025 when the legislation became law. We presently do not expect the OBBA to have a material impact on the condensed consolidated financial statements.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incurred net losses and negative cash flows since inception. Historically, we financed our operations primarily through the sale and issuance of Common Stock, preferred stock, warrants, convertible notes, debt and revenues. During the years ended December 31, 2024 and December 31, 2023, we incurred net losses of $201.0 million and $75.1 million, respectively. As of June 30, 2025, we had an accumulated deficit of $551.8 million, and we expect to incur additional losses for the foreseeable future.</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should be sufficient to meet our anticipated operating cash needs for the next 12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With respect to our longer-term future cash requirements,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 year period commencing on February 27, 2025.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Until such time as we can generate significant revenue from sales of QPUs, our development contracts and other services, including our QCaaS offering, we believe we will meet our cash requirements and obligations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Macroeconomic conditions, including inflation, interest rates and impacts from government policy and actions, such as international trade restrictions and policies and tariffs, may have adverse consequences, which may result in an economic recession globally or in the U.S., which could lead to a reduction in product demand, a decrease in corporate capital expenditures, prolonged unemployment, labors shortages, reduction in consumer confidence, adverse geopolitical and macroeconomic events, or any similar negative economic condition. In addition, macroeconomic and geopolitical conditions may lead to disruptions to, and volatility and uncertainty in, the credit and financial markets in the U.S. and worldwide.</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2025 was $29.8 million, primarily resulting from our net income of $3.0 million, reduced by non-cash income totaling $30.5 million. Changes in operating assets and liabilities had a $2.3 million negative impact on net cash used in operating activities during six months ended June 30, 2025.</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Net cash used in operating activities during the six months ended June 30, 2024 was $26.7 million, primarily resulting from our net loss of $33.2 million, partially offset by non-cash expenses totaling $10.0 million. Changes in operating assets and liabilities had a $3.4 million negative impact on net cash used in operating activities during the six months ended June 30, 2024.</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$3.1 million to $29.8 million </w:t>
      </w:r>
      <w:r>
        <w:rPr>
          <w:rFonts w:ascii="Times New Roman;Times;serif" w:hAnsi="Times New Roman;Times;serif"/>
          <w:sz w:val="20"/>
        </w:rPr>
        <w:t>during the six months ended June 30, 2025</w:t>
      </w:r>
      <w:r>
        <w:rPr>
          <w:rFonts w:ascii="Times New Roman;Times;serif" w:hAnsi="Times New Roman;Times;serif"/>
          <w:sz w:val="20"/>
          <w:shd w:fill="FFFFFF" w:val="clear"/>
        </w:rPr>
        <w:t xml:space="preserve">, from $26.7 million during the six months ended June 30, 2024. We recorded net income of $3.0 million for the six months ended June 30, 2025, a $36.2 million improvement when compared to the net loss for the six months ended June 30, 2024, mostly due to non-cash changes in the fair value of derivative warrant and earn-out liabilities. Non-cash income impacting our net income increased by $40.5 million to $30.5 million during the six months ended June 30, 2025, when compared to non-cash expenses of $10.0 million during the six months ended June 30, 2024. Operating assets and liabilities had a $1.1 million favorable impact on the change in cash used in operating activities for the </w:t>
      </w:r>
      <w:r>
        <w:rPr>
          <w:rFonts w:ascii="Times New Roman;Times;serif" w:hAnsi="Times New Roman;Times;serif"/>
          <w:sz w:val="20"/>
        </w:rPr>
        <w:t>six months ended June 30, 2025</w:t>
      </w:r>
      <w:r>
        <w:rPr>
          <w:rFonts w:ascii="Times New Roman;Times;serif" w:hAnsi="Times New Roman;Times;serif"/>
          <w:sz w:val="20"/>
          <w:shd w:fill="FFFFFF" w:val="clear"/>
        </w:rPr>
        <w:t xml:space="preserve">, when compared to the </w:t>
      </w:r>
      <w:r>
        <w:rPr>
          <w:rFonts w:ascii="Times New Roman;Times;serif" w:hAnsi="Times New Roman;Times;serif"/>
          <w:sz w:val="20"/>
        </w:rPr>
        <w:t>six months ended June 30, 2024</w:t>
      </w:r>
      <w:r>
        <w:rPr>
          <w:rFonts w:ascii="Times New Roman;Times;serif" w:hAnsi="Times New Roman;Times;serif"/>
          <w:sz w:val="20"/>
          <w:shd w:fill="FFFFFF" w:val="clear"/>
        </w:rPr>
        <w:t>.</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the six months ended June 30, 2025 totaled $369.7 million, resulting from $438.5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$8.2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 partially offset by $77.0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Cash used in investing activities during the six months ended June 30, 2024 totaled $7.0 million, resulting from $76.0 million of purchases of available-for-sale securities and $7.5 million of purchases of property and equipment, offset in part by $76.5 million of maturities of available-for-sale securities.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Net cash used in investing activities during the six months ended June 30, 2025 increased by $362.7 million, when compared to the six months ended June 30, 2024, primarily due to investment of the proceeds from our recent $350.0 million ATM offering, resulting in an increase in purchases of </w:t>
      </w:r>
      <w:r>
        <w:rPr>
          <w:rFonts w:ascii="Times New Roman;Times;serif" w:hAnsi="Times New Roman;Times;serif"/>
          <w:sz w:val="20"/>
        </w:rPr>
        <w:t xml:space="preserve">available-for-sale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w:t>
      </w:r>
      <w:r>
        <w:rPr>
          <w:rFonts w:ascii="Times New Roman;Times;serif" w:hAnsi="Times New Roman;Times;serif"/>
          <w:sz w:val="20"/>
          <w:shd w:fill="FFFFFF" w:val="clear"/>
        </w:rPr>
        <w:t xml:space="preserve">six months ended June 30, 2025 </w:t>
      </w:r>
      <w:r>
        <w:rPr>
          <w:rFonts w:ascii="Times New Roman;Times;serif" w:hAnsi="Times New Roman;Times;serif"/>
          <w:sz w:val="20"/>
        </w:rPr>
        <w:t>totaled $389.1 million. We received net proceeds of $346.7 million from the sale of 30,309,780 shares of common stock pursuant to our ATM program that was completed in the six months ended June 30, 2025. We received proceeds of $35.0 million from the sale of 3,020,412 shares of common stock from the private placement transaction with Quanta. We received proceeds of $6.3 million from tax withholdings on sell-to-cover tax equity award transactions, proceeds of $1.4 million from the exercise of stock options and proceeds of $0.5 million from the exercise of warrants. We also paid $0.8 million for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Cash provided by financing activities during the six months ended June 30, 2024 totaled $33.1 million. We received net proceeds of $12.8 million from the sale of 10,056,799 shares of common stock to B. Riley through our prior Purchase Agreement and net proceeds of $26.8 million from the sale of 19,423,375 shares of common stock pursuant to our prior ATM program. Proceeds from the sale of common stock were offset in part by principal payments of $6.2 million under the amended loan agreement with Trinity Capital and payments of $0.4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increased by $356.0 million during the</w:t>
      </w:r>
      <w:r>
        <w:rPr>
          <w:rFonts w:ascii="Times New Roman;Times;serif" w:hAnsi="Times New Roman;Times;serif"/>
          <w:sz w:val="20"/>
          <w:shd w:fill="FFFFFF" w:val="clear"/>
        </w:rPr>
        <w:t xml:space="preserve"> six months </w:t>
      </w:r>
      <w:r>
        <w:rPr>
          <w:rFonts w:ascii="Times New Roman;Times;serif" w:hAnsi="Times New Roman;Times;serif"/>
          <w:sz w:val="20"/>
        </w:rPr>
        <w:t xml:space="preserve">ended June 30, 2025, when compared to the </w:t>
      </w:r>
      <w:r>
        <w:rPr>
          <w:rFonts w:ascii="Times New Roman;Times;serif" w:hAnsi="Times New Roman;Times;serif"/>
          <w:sz w:val="20"/>
          <w:shd w:fill="FFFFFF" w:val="clear"/>
        </w:rPr>
        <w:t xml:space="preserve">six months </w:t>
      </w:r>
      <w:r>
        <w:rPr>
          <w:rFonts w:ascii="Times New Roman;Times;serif" w:hAnsi="Times New Roman;Times;serif"/>
          <w:sz w:val="20"/>
        </w:rPr>
        <w:t>ended June 30, 2024. The increase was primarily due to the $346.7 million of net proceeds we received from our $350.0 million ATM offering completed in June 2025. Other factors favorably impacting the increase in cash provided by financing activities during the six months ended June 30, 2025, when compared to the six months ended June 30, 2024, include proceeds of $35.0 million from the sale of common stock to Quanta, $6.3 million from tax withholdings on sell-to-cover tax equity award transactions and a $6.2 million reduction in payments of principal of notes payable due to the prepayment of our outstanding debt with Trinity Capital in December 2024. These increases were offset in part by proceeds of $39.7 million from sales of common stock during the six months ended June 30, 2024.</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16 to our unaudited interim condensed consolidated financial statements located in “Part I – Financial Information, Item 1. Notes to Condensed Consolidated Financial Statements” in this Quarterly Report for a description of our contractual obligations and contingencies.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hanging="0"/>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There have been no material changes to our critical accounting estimates from those described under “Management’s Discussion and Analysis of Financial Condition and Results of Operations” in our Annual Report on Form 10-K for the year ended December 31, 2024. </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Critical accounting estimates are defined as those reflective of significant judgments, estimates and uncertainties, which may result in materially different results under different assumptions and conditions. Within our Annual Report on Form 10-K for the year ended December 31, 2024,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three and six month periods ended June 30, 2025 included elsewhere in this Quarterly Report on Form 10-Q.</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(“EGC”)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EGC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EGC.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June 30, 2025, the last business day of our second fiscal quarter in 2025, the aggregate market value of our voting and non-voting common equity held by non-affiliates exceeded $700.0 million. Accordingly, we will be deemed to be a “large accelerated filer” under the rules of the SEC as of December 31, 2025. As such, we will no longer (i) qualify as an EGC under the rules of the SEC, (ii) be eligible to take advantage of the extended transition period for the adoption of new or revised accounting pronouncements available to an EGC beginning with our Annual Report on Form 10-K for the fiscal year ending December 31, 2025 and (iii) be exempt from providing an auditor’s attestation report on internal control over financial reporting pursuant to Section 404(b) of the Sarbanes-Oxley Act. In addition, under the current rules of the SEC, we will no longer be eligible to take advantage of the scaled disclosures available to smaller reporting companies beginning with our Quarterly Report on Form 10-Q for the first quarter of 2026.</w:t>
      </w:r>
    </w:p>
    <w:p>
      <w:pPr>
        <w:pStyle w:val="TextBody"/>
        <w:bidi w:val="0"/>
        <w:spacing w:before="0" w:after="240"/>
        <w:ind w:left="0" w:right="0" w:hanging="0"/>
        <w:jc w:val="left"/>
        <w:rPr>
          <w:rFonts w:ascii="Times New Roman;Times;serif" w:hAnsi="Times New Roman;Times;serif"/>
          <w:b/>
          <w:sz w:val="20"/>
        </w:rPr>
      </w:pPr>
      <w:bookmarkStart w:id="1587" w:name="ITEM3QUANTITATIVEANDQUALITATIVEDISCLOSUR"/>
      <w:bookmarkStart w:id="1588" w:name="_48800f31_9c50_4889_832f_aa9847b063e7"/>
      <w:bookmarkEnd w:id="1587"/>
      <w:bookmarkEnd w:id="1588"/>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89" w:name="ITEM4CONTROLSANDPROCEDURES_496417"/>
      <w:bookmarkStart w:id="1590" w:name="_e4372637_f9de_4d81_a1b6_d39e428e8edf"/>
      <w:bookmarkEnd w:id="1589"/>
      <w:bookmarkEnd w:id="1590"/>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2025. Based on the evaluation of our disclosure controls and procedures, our principal executive officer and principal financial officer concluded that, as of June 30, 2025, our disclosure controls and procedures were effective at a reasonable assurance level.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that occurred during the quarter ended June 30, 2025 that materially affected, or are reasonably likely to materially affect, our internal control over financial reporting.</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91" w:name="PARTIIOTHERINFORMATION_588959"/>
      <w:bookmarkStart w:id="1592" w:name="_7232825e_aaf9_41a5_a3f7_faebfc70d8d4"/>
      <w:bookmarkEnd w:id="1591"/>
      <w:bookmarkEnd w:id="1592"/>
      <w:r>
        <w:rPr>
          <w:rFonts w:ascii="Times New Roman;Times;serif" w:hAnsi="Times New Roman;Times;serif"/>
          <w:b/>
          <w:sz w:val="20"/>
        </w:rPr>
        <w:t>PART II. OTHER INFORMATION</w:t>
      </w:r>
    </w:p>
    <w:p>
      <w:pPr>
        <w:pStyle w:val="TextBody"/>
        <w:bidi w:val="0"/>
        <w:spacing w:before="0" w:after="120"/>
        <w:ind w:left="0" w:right="0" w:hanging="0"/>
        <w:jc w:val="both"/>
        <w:rPr>
          <w:rFonts w:ascii="Times New Roman;Times;serif" w:hAnsi="Times New Roman;Times;serif"/>
          <w:b/>
          <w:sz w:val="20"/>
        </w:rPr>
      </w:pPr>
      <w:bookmarkStart w:id="1593" w:name="ITEM1LEGALPROCEEDINGS_241174"/>
      <w:bookmarkEnd w:id="1593"/>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94" w:name="ITEM1ARISKFACTORS_905958"/>
      <w:bookmarkStart w:id="1595" w:name="_ce502aad_e0d0_458e_abba_eca40cf5659f"/>
      <w:bookmarkEnd w:id="1594"/>
      <w:bookmarkEnd w:id="1595"/>
      <w:r>
        <w:rPr>
          <w:rFonts w:ascii="Times New Roman;Times;serif" w:hAnsi="Times New Roman;Times;serif"/>
          <w:b/>
          <w:sz w:val="20"/>
        </w:rPr>
        <w:t>ITEM 1A. RISK FACTORS</w:t>
      </w:r>
    </w:p>
    <w:p>
      <w:pPr>
        <w:pStyle w:val="TextBody"/>
        <w:bidi w:val="0"/>
        <w:spacing w:before="0" w:after="0"/>
        <w:ind w:left="0" w:right="0" w:firstLine="634"/>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shd w:fill="FFFFFF" w:val="clear"/>
        </w:rPr>
        <w:t xml:space="preserve">In addition to the other information set forth in this report, you should carefully consider the risk factors discussed in Part I “Item 1A. Risk Factors” in our Annual Report on Form 10-K for the year ended December 31, 2024 (the “2024 Form 10-K Risk Factors”) </w:t>
      </w:r>
      <w:r>
        <w:rPr>
          <w:rFonts w:ascii="Times New Roman;Times;serif" w:hAnsi="Times New Roman;Times;serif"/>
          <w:color w:val="212529"/>
          <w:sz w:val="20"/>
          <w:shd w:fill="FFFFFF" w:val="clear"/>
        </w:rPr>
        <w:t>for a more complete understanding of the risks and uncertainties material to our business</w:t>
      </w:r>
      <w:r>
        <w:rPr>
          <w:rFonts w:ascii="Times New Roman;Times;serif" w:hAnsi="Times New Roman;Times;serif"/>
          <w:sz w:val="20"/>
          <w:shd w:fill="FFFFFF" w:val="clear"/>
        </w:rPr>
        <w:t xml:space="preserve"> that make an investment in our securities speculative or risky. There have been no material changes to our risk factors as previously disclosed in the 2024 Form 10-K Risk Factors, except as follows:</w:t>
      </w:r>
    </w:p>
    <w:p>
      <w:pPr>
        <w:pStyle w:val="TextBody"/>
        <w:bidi w:val="0"/>
        <w:spacing w:before="0" w:after="0"/>
        <w:ind w:left="0" w:right="0" w:firstLine="634"/>
        <w:jc w:val="both"/>
        <w:rPr>
          <w:shd w:fill="FFFFFF" w:val="clear"/>
        </w:rPr>
      </w:pPr>
      <w:r>
        <w:rPr>
          <w:shd w:fill="FFFFFF" w:val="clear"/>
        </w:rPr>
        <w:t>​</w:t>
      </w:r>
    </w:p>
    <w:p>
      <w:pPr>
        <w:pStyle w:val="TextBody"/>
        <w:bidi w:val="0"/>
        <w:spacing w:before="0" w:after="0"/>
        <w:ind w:left="0" w:right="0" w:firstLine="634"/>
        <w:jc w:val="both"/>
        <w:rPr>
          <w:rFonts w:ascii="Times New Roman;Times;serif" w:hAnsi="Times New Roman;Times;serif"/>
          <w:b/>
          <w:i/>
          <w:sz w:val="20"/>
          <w:shd w:fill="FFFFFF" w:val="clear"/>
        </w:rPr>
      </w:pPr>
      <w:r>
        <w:rPr>
          <w:rFonts w:ascii="Times New Roman;Times;serif" w:hAnsi="Times New Roman;Times;serif"/>
          <w:b/>
          <w:i/>
          <w:sz w:val="20"/>
          <w:shd w:fill="FFFFFF" w:val="clear"/>
        </w:rPr>
        <w:t>We will no longer qualify as an “emerging growth company” or a “smaller reporting company” after December 31, 2025, and, as a result, we will have to comply with increased disclosure and compliance requirements.</w:t>
      </w:r>
    </w:p>
    <w:p>
      <w:pPr>
        <w:pStyle w:val="TextBody"/>
        <w:bidi w:val="0"/>
        <w:spacing w:before="0" w:after="0"/>
        <w:ind w:left="0" w:right="0" w:firstLine="634"/>
        <w:jc w:val="both"/>
        <w:rPr>
          <w:shd w:fill="FFFFFF" w:val="clear"/>
        </w:rPr>
      </w:pPr>
      <w:r>
        <w:rPr>
          <w:shd w:fill="FFFFFF" w:val="clear"/>
        </w:rPr>
        <w:t>​</w:t>
      </w:r>
    </w:p>
    <w:p>
      <w:pPr>
        <w:pStyle w:val="TextBody"/>
        <w:bidi w:val="0"/>
        <w:spacing w:before="0" w:after="0"/>
        <w:ind w:left="0" w:right="0" w:firstLine="634"/>
        <w:jc w:val="both"/>
        <w:rPr>
          <w:rFonts w:ascii="Times New Roman;Times;serif" w:hAnsi="Times New Roman;Times;serif"/>
          <w:sz w:val="20"/>
          <w:shd w:fill="FFFFFF" w:val="clear"/>
        </w:rPr>
      </w:pPr>
      <w:r>
        <w:rPr>
          <w:rFonts w:ascii="Times New Roman;Times;serif" w:hAnsi="Times New Roman;Times;serif"/>
          <w:sz w:val="20"/>
          <w:shd w:fill="FFFFFF" w:val="clear"/>
        </w:rPr>
        <w:t>We are currently an “emerging growth company” (an “EGC”) as defined in the JOBS Act. However, because the market value of our common stock held by non-affiliates exceeded $700 million as of June 30, 2025, we will no longer qualify as an EGC, a “smaller reporting company” or a “non-accelerated filer” as of December 31, 2025 and will be a large accelerated filer beginning January 1, 2026 for future filings, in accordance with current SEC rules.</w:t>
      </w:r>
    </w:p>
    <w:p>
      <w:pPr>
        <w:pStyle w:val="TextBody"/>
        <w:bidi w:val="0"/>
        <w:spacing w:before="0" w:after="0"/>
        <w:ind w:left="0" w:right="0" w:firstLine="634"/>
        <w:jc w:val="both"/>
        <w:rPr>
          <w:shd w:fill="FFFFFF" w:val="clear"/>
        </w:rPr>
      </w:pPr>
      <w:r>
        <w:rPr>
          <w:shd w:fill="FFFFFF" w:val="clear"/>
        </w:rPr>
        <w:t>​</w:t>
      </w:r>
    </w:p>
    <w:p>
      <w:pPr>
        <w:pStyle w:val="TextBody"/>
        <w:bidi w:val="0"/>
        <w:spacing w:before="0" w:after="0"/>
        <w:ind w:left="0" w:right="0" w:firstLine="634"/>
        <w:jc w:val="both"/>
        <w:rPr>
          <w:rFonts w:ascii="Times New Roman;Times;serif" w:hAnsi="Times New Roman;Times;serif"/>
          <w:sz w:val="20"/>
          <w:shd w:fill="FFFFFF" w:val="clear"/>
        </w:rPr>
      </w:pPr>
      <w:r>
        <w:rPr>
          <w:rFonts w:ascii="Times New Roman;Times;serif" w:hAnsi="Times New Roman;Times;serif"/>
          <w:sz w:val="20"/>
          <w:shd w:fill="FFFFFF" w:val="clear"/>
        </w:rPr>
        <w:t>As a large accelerated filer, we will be subject to certain disclosure and compliance requirements that apply to other public companies but that did not previously apply to us due to our status as an EGC. These requirements include, but are not limited to:</w:t>
      </w:r>
    </w:p>
    <w:p>
      <w:pPr>
        <w:pStyle w:val="TextBody"/>
        <w:bidi w:val="0"/>
        <w:spacing w:before="0" w:after="0"/>
        <w:ind w:left="0" w:right="0" w:firstLine="634"/>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requirement that our independent registered public accounting firm attest to the effectiveness of our internal control over financial reporting under Section 404(b) of the Sarbanes-Oxley Act of 2002;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compliance with any requirement that may be adopted by the Public Company Accounting Oversight Board regarding mandatory audit firm rotation or a supplement to the auditor's report providing additional information about the audit and the financial statements;</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requirement that we provide more detailed disclosures regarding executive compensation;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requirement that we hold a non-binding advisory vote on executive compensation and obtain stockholder approval of any golden parachute payments not previously approved.</w:t>
            </w:r>
          </w:p>
        </w:tc>
      </w:tr>
    </w:tbl>
    <w:p>
      <w:pPr>
        <w:pStyle w:val="TextBody"/>
        <w:bidi w:val="0"/>
        <w:spacing w:before="0" w:after="0"/>
        <w:ind w:left="1354" w:right="0" w:hanging="0"/>
        <w:jc w:val="both"/>
        <w:rPr>
          <w:shd w:fill="FFFFFF" w:val="clear"/>
        </w:rPr>
      </w:pPr>
      <w:r>
        <w:rPr>
          <w:shd w:fill="FFFFFF" w:val="clear"/>
        </w:rPr>
        <w:t>​</w:t>
      </w:r>
    </w:p>
    <w:p>
      <w:pPr>
        <w:pStyle w:val="TextBody"/>
        <w:bidi w:val="0"/>
        <w:spacing w:before="0" w:after="0"/>
        <w:ind w:left="0" w:right="0" w:firstLine="634"/>
        <w:jc w:val="both"/>
        <w:rPr>
          <w:rFonts w:ascii="Times New Roman;Times;serif" w:hAnsi="Times New Roman;Times;serif"/>
          <w:sz w:val="20"/>
          <w:shd w:fill="FFFFFF" w:val="clear"/>
        </w:rPr>
      </w:pPr>
      <w:r>
        <w:rPr>
          <w:rFonts w:ascii="Times New Roman;Times;serif" w:hAnsi="Times New Roman;Times;serif"/>
          <w:sz w:val="20"/>
          <w:shd w:fill="FFFFFF" w:val="clear"/>
        </w:rPr>
        <w:t>We expect that the loss of EGC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bookmarkStart w:id="1596" w:name="ITEM2UNREGISTEREDSALESOFEQUITYSECURITIES"/>
      <w:bookmarkStart w:id="1597" w:name="_85eef377_6f5a_4e49_9e0b_f09a70c3dfde"/>
      <w:bookmarkEnd w:id="1596"/>
      <w:bookmarkEnd w:id="1597"/>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598" w:name="ITEM3DEFAULTSUPONSENIORSECURITIES_579171"/>
      <w:bookmarkStart w:id="1599" w:name="_224f2b62_efb7_4621_8c39_94db9eb49622"/>
      <w:bookmarkEnd w:id="1598"/>
      <w:bookmarkEnd w:id="1599"/>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600" w:name="ITEM4MINESAFETYDISCLOSURES_518433"/>
      <w:bookmarkStart w:id="1601" w:name="_3a8e7043_c21c_4a9d_95ed_760006da3b12"/>
      <w:bookmarkEnd w:id="1600"/>
      <w:bookmarkEnd w:id="1601"/>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602" w:name="ITEM5OTHERINFORMATION_693016"/>
      <w:bookmarkStart w:id="1603" w:name="_7c74b5f4_2e1c_4c82_af20_8f82cf6b9c2c"/>
      <w:bookmarkEnd w:id="1602"/>
      <w:bookmarkEnd w:id="1603"/>
      <w:r>
        <w:rPr>
          <w:rFonts w:ascii="Times New Roman;Times;serif" w:hAnsi="Times New Roman;Times;serif"/>
          <w:b/>
          <w:sz w:val="20"/>
        </w:rPr>
        <w:t xml:space="preserve">ITEM 5. OTHER INFORMATION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quarter ended June 30, 2025, the officers and directors listed below adopted or terminated trading plans intended to satisfy the affirmative defense conditions of Rule 10b5-1 (c) under the Exchange Act.</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May 15, 2025, Thomas Iannotti, a member of our board of directors, adopted a trading plan that provides for the sale of up to 200,000 shares of our Common Stock, depending on the market prices of the securities. The plan is scheduled to terminate on August 13, 2026, subject to earlier termination upon the sale of all securities subject to the plan, or as otherwise provided in the plan.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June 12, 2025, Gail Sandford, a member of our board of directors, adopted a trading plan that provides for (i) the sale of a maximum of 25,000 shares of our Common Stock on a per week basis until $900,000 in gross sales proceeds has been achieved, (ii) assuming completion of the sales set forth in (i), the sale of up to 62,000 shares of our Common Stock, depending on the market prices of the securities, and (iii) the sale of 60% of the dollar value of the shares of our Common Stock underlying 14,902 RSUs that are scheduled to vest no later than June 10, 2026. The plan is scheduled to terminate on September 10, 2026, subject to earlier termination upon the sale of all securities subject to the plan, or as otherwise provided in the plan.</w:t>
      </w:r>
    </w:p>
    <w:p>
      <w:pPr>
        <w:pStyle w:val="TextBody"/>
        <w:bidi w:val="0"/>
        <w:spacing w:before="0" w:after="240"/>
        <w:ind w:left="0" w:right="0" w:firstLine="54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604" w:name="ITEM6EXHIBITS_411089"/>
      <w:bookmarkStart w:id="1605" w:name="_a5c5bd28_a2f9_4ed0_8e77_183805a95ca8"/>
      <w:bookmarkEnd w:id="1604"/>
      <w:bookmarkEnd w:id="1605"/>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691"/>
        <w:gridCol w:w="326"/>
        <w:gridCol w:w="4730"/>
        <w:gridCol w:w="326"/>
        <w:gridCol w:w="486"/>
        <w:gridCol w:w="326"/>
        <w:gridCol w:w="699"/>
        <w:gridCol w:w="326"/>
        <w:gridCol w:w="616"/>
        <w:gridCol w:w="326"/>
        <w:gridCol w:w="1353"/>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003550" cy="175260"/>
                      <wp:effectExtent l="0" t="0" r="0" b="0"/>
                      <wp:wrapNone/>
                      <wp:docPr id="348" name="Frame348"/>
                      <a:graphic xmlns:a="http://schemas.openxmlformats.org/drawingml/2006/main">
                        <a:graphicData uri="http://schemas.microsoft.com/office/word/2010/wordprocessingShape">
                          <wps:wsp>
                            <wps:cNvSpPr txBox="1"/>
                            <wps:spPr>
                              <a:xfrm>
                                <a:off x="0" y="0"/>
                                <a:ext cx="300355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08610" cy="175260"/>
                      <wp:effectExtent l="0" t="0" r="0" b="0"/>
                      <wp:wrapNone/>
                      <wp:docPr id="349" name="Frame34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43865" cy="175260"/>
                      <wp:effectExtent l="0" t="0" r="0" b="0"/>
                      <wp:wrapNone/>
                      <wp:docPr id="350" name="Frame35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91160" cy="175260"/>
                      <wp:effectExtent l="0" t="0" r="0" b="0"/>
                      <wp:wrapNone/>
                      <wp:docPr id="351" name="Frame35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59155" cy="175260"/>
                      <wp:effectExtent l="0" t="0" r="0" b="0"/>
                      <wp:wrapNone/>
                      <wp:docPr id="352" name="Frame352"/>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lineRule="auto" w:line="240" w:before="0" w:after="0"/>
              <w:ind w:left="0" w:right="0" w:hanging="0"/>
              <w:jc w:val="left"/>
              <w:rPr/>
            </w:pPr>
            <w:hyperlink r:id="rId9">
              <w:r>
                <w:rPr>
                  <w:rStyle w:val="InternetLink"/>
                  <w:caps w:val="false"/>
                  <w:smallCaps w:val="false"/>
                </w:rPr>
                <w:t>​</w:t>
              </w:r>
            </w:hyperlink>
            <w:hyperlink r:id="rId10">
              <w:r>
                <w:rPr>
                  <w:rStyle w:val="InternetLink"/>
                  <w:rFonts w:ascii="Times New Roman;Times;serif" w:hAnsi="Times New Roman;Times;serif"/>
                  <w:b w:val="false"/>
                  <w:i w:val="false"/>
                  <w:caps w:val="false"/>
                  <w:smallCaps w:val="false"/>
                  <w:sz w:val="20"/>
                </w:rPr>
                <w:br/>
                <w:t>Open Market Sale Agreement</w:t>
              </w:r>
            </w:hyperlink>
            <w:hyperlink r:id="rId11">
              <w:r>
                <w:rPr>
                  <w:rStyle w:val="InternetLink"/>
                  <w:rFonts w:ascii="Times New Roman;Times;serif" w:hAnsi="Times New Roman;Times;serif"/>
                  <w:b w:val="false"/>
                  <w:i w:val="false"/>
                  <w:caps w:val="false"/>
                  <w:smallCaps w:val="false"/>
                  <w:sz w:val="15"/>
                </w:rPr>
                <w:t>SM</w:t>
              </w:r>
            </w:hyperlink>
            <w:hyperlink r:id="rId12">
              <w:r>
                <w:rPr>
                  <w:rStyle w:val="InternetLink"/>
                  <w:rFonts w:ascii="Times New Roman;Times;serif" w:hAnsi="Times New Roman;Times;serif"/>
                  <w:b w:val="false"/>
                  <w:i w:val="false"/>
                  <w:caps w:val="false"/>
                  <w:smallCaps w:val="false"/>
                  <w:sz w:val="20"/>
                </w:rPr>
                <w:t>, by and between Rigetti Computing, Inc., and Jefferies LLC dated May 29, 2025.</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29, 2025</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Non-Employee Director Compensation Policy</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12, 2025</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rgti-2025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rgti-2025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rgti-2025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rgti-2025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0"/>
        <w:gridCol w:w="109"/>
        <w:gridCol w:w="8408"/>
        <w:gridCol w:w="109"/>
        <w:gridCol w:w="109"/>
        <w:gridCol w:w="109"/>
        <w:gridCol w:w="109"/>
        <w:gridCol w:w="109"/>
        <w:gridCol w:w="109"/>
        <w:gridCol w:w="109"/>
        <w:gridCol w:w="155"/>
      </w:tblGrid>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06" w:name="SIGNATURES_680104"/>
      <w:bookmarkStart w:id="1607" w:name="_a7c005fc_bceb_4b5f_9e92_3631cdaa2d57"/>
      <w:bookmarkEnd w:id="1606"/>
      <w:bookmarkEnd w:id="1607"/>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167" w:type="dxa"/>
        <w:jc w:val="left"/>
        <w:tblInd w:w="0" w:type="dxa"/>
        <w:tblLayout w:type="fixed"/>
        <w:tblCellMar>
          <w:top w:w="0" w:type="dxa"/>
          <w:left w:w="0" w:type="dxa"/>
          <w:bottom w:w="0" w:type="dxa"/>
          <w:right w:w="0" w:type="dxa"/>
        </w:tblCellMar>
      </w:tblPr>
      <w:tblGrid>
        <w:gridCol w:w="1966"/>
        <w:gridCol w:w="720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8410" cy="175260"/>
                      <wp:effectExtent l="0" t="0" r="0" b="0"/>
                      <wp:wrapNone/>
                      <wp:docPr id="353" name="Frame353"/>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572635" cy="175260"/>
                      <wp:effectExtent l="0" t="0" r="0" b="0"/>
                      <wp:wrapNone/>
                      <wp:docPr id="354" name="Frame354"/>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12, 2025</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bookmarkStart w:id="1608" w:name="rgti-20250630xex31d1.htm"/>
      <w:bookmarkStart w:id="1609" w:name="ksrgti20250630xex31d1"/>
      <w:bookmarkEnd w:id="1608"/>
      <w:bookmarkEnd w:id="160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177" w:type="dxa"/>
        <w:jc w:val="center"/>
        <w:tblInd w:w="0" w:type="dxa"/>
        <w:tblLayout w:type="fixed"/>
        <w:tblCellMar>
          <w:top w:w="0" w:type="dxa"/>
          <w:left w:w="0" w:type="dxa"/>
          <w:bottom w:w="0" w:type="dxa"/>
          <w:right w:w="0" w:type="dxa"/>
        </w:tblCellMar>
      </w:tblPr>
      <w:tblGrid>
        <w:gridCol w:w="1966"/>
        <w:gridCol w:w="3211"/>
      </w:tblGrid>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12, 2025</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10" w:name="rgti-20250630xex31d2.htm"/>
      <w:bookmarkStart w:id="1611" w:name="ksrgti20250630xex31d2"/>
      <w:bookmarkEnd w:id="1610"/>
      <w:bookmarkEnd w:id="161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022" w:type="dxa"/>
        <w:jc w:val="center"/>
        <w:tblInd w:w="0" w:type="dxa"/>
        <w:tblLayout w:type="fixed"/>
        <w:tblCellMar>
          <w:top w:w="0" w:type="dxa"/>
          <w:left w:w="0" w:type="dxa"/>
          <w:bottom w:w="0" w:type="dxa"/>
          <w:right w:w="0" w:type="dxa"/>
        </w:tblCellMar>
      </w:tblPr>
      <w:tblGrid>
        <w:gridCol w:w="1966"/>
        <w:gridCol w:w="2056"/>
      </w:tblGrid>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12, 2025</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12" w:name="rgti-20250630xex32d1.htm"/>
      <w:bookmarkStart w:id="1613" w:name="ksrgti20250630xex32d1"/>
      <w:bookmarkEnd w:id="1612"/>
      <w:bookmarkEnd w:id="161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2025,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August 12,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undersigned have set their hands hereto as of the 12th day of August, 2025.</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12,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14" w:name="rgti-20250630xex32d2.htm"/>
      <w:bookmarkStart w:id="1615" w:name="ksrgti20250630xex32d2"/>
      <w:bookmarkEnd w:id="1614"/>
      <w:bookmarkEnd w:id="1615"/>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Jeffery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2025, to which this Certification is attached as Exhibit 32.2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12,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12th day of August, 2025.</w:t>
      </w:r>
    </w:p>
    <w:p>
      <w:pPr>
        <w:pStyle w:val="TextBody"/>
        <w:bidi w:val="0"/>
        <w:spacing w:before="0" w:after="0"/>
        <w:ind w:left="0" w:right="0" w:hanging="0"/>
        <w:jc w:val="left"/>
        <w:rPr/>
      </w:pPr>
      <w:r>
        <w:rPr/>
        <w:t>​</w:t>
      </w:r>
    </w:p>
    <w:tbl>
      <w:tblPr>
        <w:tblW w:w="2135" w:type="dxa"/>
        <w:jc w:val="lef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Jeffery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Jeffery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12,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Roman">
    <w:altName w:val="Times New Roman"/>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hyperlink" Target="https://www.sec.gov/Archives/edgar/data/0001838359/000110465925054408/tm2516373d5_ex1-1.htm" TargetMode="External"/><Relationship Id="rId10" Type="http://schemas.openxmlformats.org/officeDocument/2006/relationships/hyperlink" Target="https://www.sec.gov/Archives/edgar/data/0001838359/000110465925054408/tm2516373d5_ex1-1.htm" TargetMode="External"/><Relationship Id="rId11" Type="http://schemas.openxmlformats.org/officeDocument/2006/relationships/hyperlink" Target="https://www.sec.gov/Archives/edgar/data/0001838359/000110465925054408/tm2516373d5_ex1-1.htm" TargetMode="External"/><Relationship Id="rId12" Type="http://schemas.openxmlformats.org/officeDocument/2006/relationships/hyperlink" Target="https://www.sec.gov/Archives/edgar/data/0001838359/000110465925054408/tm2516373d5_ex1-1.htm" TargetMode="External"/><Relationship Id="rId13" Type="http://schemas.openxmlformats.org/officeDocument/2006/relationships/hyperlink" Target="https://www.sec.gov/Archives/edgar/data/1838359/000155837025007375/rgti-20250331xex10d3.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24709</Words>
  <Characters>134615</Characters>
  <CharactersWithSpaces>161416</CharactersWithSpaces>
  <Paragraphs>6406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