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40630x10q.htm"/>
        <w:bookmarkStart w:id="1" w:name="ksrgti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ab69603a_1de8_44a0_a0cb_d8daae18751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June 30, 2024</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7MVvWKrc4kulR39gOcuOLw_7_1"/>
      <w:bookmarkStart w:id="4" w:name="Tc_cp2Invz8ZEe8-2wKarnuBw_7_0"/>
      <w:bookmarkStart w:id="5" w:name="Tc_PPQPYrt8WEye2zP2fgPw_Q_6_0"/>
      <w:bookmarkStart w:id="6" w:name="Tc_5Z_Ry_Ul5EmDkguxP60CtQ_3_1"/>
      <w:bookmarkStart w:id="7" w:name="Tc_gFcA8x6isEOe-gg3rSrDfA_3_0"/>
      <w:bookmarkStart w:id="8" w:name="Tc_N1HTwTgoMUuB0ykv9bKnQQ_2_1"/>
      <w:bookmarkStart w:id="9" w:name="Tc_4K3eNLch3EisO-s6ibyuCw_2_0"/>
      <w:bookmarkStart w:id="10" w:name="_dfc1e86d_ec87_4945_a6b1_fd30f03e93cd"/>
      <w:bookmarkStart w:id="11" w:name="Tc_7MVvWKrc4kulR39gOcuOLw_7_1"/>
      <w:bookmarkStart w:id="12" w:name="Tc_cp2Invz8ZEe8-2wKarnuBw_7_0"/>
      <w:bookmarkStart w:id="13" w:name="Tc_PPQPYrt8WEye2zP2fgPw_Q_6_0"/>
      <w:bookmarkStart w:id="14" w:name="Tc_5Z_Ry_Ul5EmDkguxP60CtQ_3_1"/>
      <w:bookmarkStart w:id="15" w:name="Tc_gFcA8x6isEOe-gg3rSrDfA_3_0"/>
      <w:bookmarkStart w:id="16" w:name="Tc_N1HTwTgoMUuB0ykv9bKnQQ_2_1"/>
      <w:bookmarkStart w:id="17" w:name="Tc_4K3eNLch3EisO-s6ibyuCw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gfZHlZ4Sz0CVwgh3084LlA_4_4"/>
      <w:bookmarkStart w:id="20" w:name="Tc_3B9V3wRy3ESV0DdfrR5NJw_3_4"/>
      <w:bookmarkStart w:id="21" w:name="Tc_tjvY36og2UejgKzrtaOTeA_1_4"/>
      <w:bookmarkStart w:id="22" w:name="Tc_EZCI_kgmT0OhZZtYSc0b5g_1_2"/>
      <w:bookmarkStart w:id="23" w:name="Tc_AJ_-VpO6j0e50oU3LqWYWA_1_0"/>
      <w:bookmarkStart w:id="24" w:name="_5984a18d_87b3_46a4_9531_5d4b401e2ea4"/>
      <w:bookmarkStart w:id="25" w:name="Tc_gfZHlZ4Sz0CVwgh3084LlA_4_4"/>
      <w:bookmarkStart w:id="26" w:name="Tc_3B9V3wRy3ESV0DdfrR5NJw_3_4"/>
      <w:bookmarkStart w:id="27" w:name="Tc_tjvY36og2UejgKzrtaOTeA_1_4"/>
      <w:bookmarkStart w:id="28" w:name="Tc_EZCI_kgmT0OhZZtYSc0b5g_1_2"/>
      <w:bookmarkStart w:id="29" w:name="Tc_AJ_-VpO6j0e50oU3LqWYWA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JwerwiQpkEmFtk0KDzH9Ew_3_2"/>
      <w:bookmarkStart w:id="32" w:name="Tc_qD0Z9pli806q_buH0HXbzQ_2_2"/>
      <w:bookmarkStart w:id="33" w:name="Tc_rXtHsUZKA06bFS6c4uarqA_2_1"/>
      <w:bookmarkStart w:id="34" w:name="Tc_nVntaJyc9Uu9_Uul5QXr5g_1_3"/>
      <w:bookmarkStart w:id="35" w:name="Tc_NFOWRb5WUk6FKpiu0r1exg_1_2"/>
      <w:bookmarkStart w:id="36" w:name="Tc_vqPnnAHaB0-TfsFAm9WEcA_1_1"/>
      <w:bookmarkStart w:id="37" w:name="Tc_BZBAcrPP60WSskyK18ZS7g_1_0"/>
      <w:bookmarkStart w:id="38" w:name="_29c24b4a_0c86_4bba_8642_6971b7ff25cf"/>
      <w:bookmarkStart w:id="39" w:name="Tc_JwerwiQpkEmFtk0KDzH9Ew_3_2"/>
      <w:bookmarkStart w:id="40" w:name="Tc_qD0Z9pli806q_buH0HXbzQ_2_2"/>
      <w:bookmarkStart w:id="41" w:name="Tc_rXtHsUZKA06bFS6c4uarqA_2_1"/>
      <w:bookmarkStart w:id="42" w:name="Tc_nVntaJyc9Uu9_Uul5QXr5g_1_3"/>
      <w:bookmarkStart w:id="43" w:name="Tc_NFOWRb5WUk6FKpiu0r1exg_1_2"/>
      <w:bookmarkStart w:id="44" w:name="Tc_vqPnnAHaB0-TfsFAm9WEcA_1_1"/>
      <w:bookmarkStart w:id="45" w:name="Tc_BZBAcrPP60WSskyK18ZS7g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5, 2024, there were 191,243,492 shares of the registrant’s Common Stock, no par value,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47" w:name="_6886e57e_10ab_4467_9a49_b24edc1e734a"/>
      <w:bookmarkEnd w:id="47"/>
      <w:r>
        <w:rPr/>
        <w:t>​</w:t>
      </w:r>
    </w:p>
    <w:p>
      <w:pPr>
        <w:pStyle w:val="TextBody"/>
        <w:bidi w:val="0"/>
        <w:spacing w:before="0" w:after="0"/>
        <w:ind w:left="0" w:right="0" w:hanging="0"/>
        <w:jc w:val="center"/>
        <w:rPr>
          <w:rFonts w:ascii="Times New Roman;Times;serif" w:hAnsi="Times New Roman;Times;serif"/>
          <w:b/>
          <w:sz w:val="20"/>
        </w:rPr>
      </w:pPr>
      <w:bookmarkStart w:id="48" w:name="TOC"/>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INTERIMCONDENSEDCONSOLIDATEDBALANCESHEET">
              <w:r>
                <w:rPr>
                  <w:rStyle w:val="InternetLink"/>
                  <w:rFonts w:ascii="Times New Roman;Times;serif" w:hAnsi="Times New Roman;Times;serif"/>
                  <w:b w:val="false"/>
                  <w:i w:val="false"/>
                  <w:caps w:val="false"/>
                  <w:smallCaps w:val="false"/>
                  <w:sz w:val="20"/>
                </w:rPr>
                <w:t>Condensed Consolidated Balance Sheets as of June 30, 2024 and December 31,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2024 and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Loss for the Three and Six Months ended June 30, 2024 and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Six Months ended June 30, 2024 and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208f6391_32a9_4f10_9520_14fe4e5eaad4"/>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caution you that these forward-looking statements are subject to numerous risks and uncertainties, most of which are difficult to predict and many of which are beyond our control. Forward-looking statements in this Quarterly Report on Form 10-Q may include, for example,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our expectations with respect to when we will need to obtain additional capital, and our ability to raise additional capital when needed and on attractive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standards relating to the listing of our common stock, par value $0.0001 per share (the “common stock”) and Public Warrants (as defined herein) on, the Nasdaq Capital Market (“Nasdaq”), and the potential liquidity and trading of such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remediate the material weakness in, and establish and maintain, effective internal controls over financial reporting,</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the ongoing military conflicts involving Russia and Ukraine and sanctions related thereto and the state of war between Israel and Hamas and the potential for a larger conflict), including inflation and financial and credit market fluctuations,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or otherwise, on the foregoing.</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known and unknown risks, uncertainties and other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our existing cash, cash equivalents and marketable securities should be sufficient to meet our anticipated operating cash needs until midway through the first quarter of 2026, based on our current business plan, and expectations and assumptions considering current macroeconomic conditions. Accordingly, based on our estimates and current business plan, we expect that we will need to obtain additional capital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our early stages and have a limited operating history, which makes it difficult to forecast our future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expect to incur significant expenses and continuing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achieves its anticipated growth levels, our business could fail to grow at similar rates,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carryforwards and research and development tax credit carryforwards for income tax purposes is subject to annual limitation because of prior cumulative changes in the Company’s ownership, and may be further limited in the future if additional ownership changes occur.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generations of hardware, systems and offerings, including any future generations developed to potentially demonstrate narrow quantum advantage or broad quantum advantage, and our targeted fidelities, each of which is an important anticipated milestone for our technology roadmap and commercialization, may not occur on our anticipated timeline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limited number of customers for a significant percentage of our revenue and the loss or temporary loss of a major customer for any reason could harm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assurances that we will be able to successfully commercialize quantum computers from our relationships with cloud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reduce the cost of developing our quantum computers, which may prevent us from pricing our quantum systems competitively.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partners and other third parties on which we rely could suffer disruptions, outages, defects and other performance and quality problems with our quantum computing systems, our production technology partners or with the public cloud, data centers and internet infrastructure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technology systems or data, or those of our partners or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our internal control over financial reporting related to the design and operation of our overall closing and financial reporting processes, and we have in the past and may in the future identify additional material weaknesses. A material weakness over the accounting for complex financial instruments, which has been remediated, resulted in errors in financial statements for prior periods. If we fail to remediate our remaining material weakness,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maintain and protect our intellectual property rights could impair our ability to protect and commercialize our proprietary products and technology and cause us to lose our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out of compliance with the continued listing standards of Nasdaq and we may be unable to maintain compliance with such standards. If we fail to maintain compliance with the listing requirements of the Nasdaq Capital Market or fail to cure any future deficiencies, we may be delisted and the price of our common stock and our ability to access the capital markets could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Unstable market and economic conditions, including recent bank failures, have had and may continue to have serious adverse consequences on our business, financial condition and share price.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including our public Warrants, each entitling the holder to purchase one share of our common stock at an exercise price of $11.50 per share, that trade on the Nasdaq Capital Market under the ticker symbol “RGTIW” (“Public Warrants”) and private placement Warrants, each entitling the holder to purchase one share of our common stock at an exercise price of $11.50 per share (“Private Warrants”), along with our Sponsor Vesting Shares, are accounted for as liabilities and the changes in value of our Warrants and Sponsor Vesting Shares could have a material effect on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exercisable for Common Stock, the exercise of which, or other sales and issuances of Common Stock, would increase the number of shares eligible for future resale in the public market and result in dilution to our stockholders.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never be in the money, and they may expire worthless.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 discussion of the risks, uncertainties and other factors described above, as well as other risks material to our business, can be found under “Risk Factors” in Part I, Item 1A of our Annual Report on Form 10-K for the year ended December 31,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Given these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2023 materialize, or should underlying assumptions prove incorrect, actual results and plans could differ materially from those expressed in any forward-looking statements. Also, these forward-looking statements represent our plans, objectives, estimates, expectations, assumptions, and intentions only as of the date of this filing.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b50daad1_f7f9_4d16_9f75_750a3a33169f"/>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4" w:name="INTERIMCONDENSEDCONSOLIDATEDBALANCESHEET"/>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5" w:name="Tc_Z3MvaeADkEKSmFcwARrOMw_36_5"/>
      <w:bookmarkStart w:id="56" w:name="Tc_F6_RbvG35k--wFv3t3WbUw_36_2"/>
      <w:bookmarkStart w:id="57" w:name="Tc_JecaQSXhLkOOKQtt4OGmdA_36_0"/>
      <w:bookmarkStart w:id="58" w:name="Tc_ooZytppuFkyA28IQTmnEgg_35_0"/>
      <w:bookmarkStart w:id="59" w:name="Tc_iCTx_6sFqEKl4u22um1e1w_34_0"/>
      <w:bookmarkStart w:id="60" w:name="Tc_phDWzh6FQk6th0sfRov2Zw_33_0"/>
      <w:bookmarkStart w:id="61" w:name="Tc_8uYqhh0pnkOd3DnMeN_8qQ_32_0"/>
      <w:bookmarkStart w:id="62" w:name="Tc_MYqV9f9GTk21QSgS0bXyFA_31_0"/>
      <w:bookmarkStart w:id="63" w:name="Tc_RK1iPjXQHU-slfAaZenGow_30_0"/>
      <w:bookmarkStart w:id="64" w:name="Tc_KVPnJVPyhky9jUtjBfD4DA_29_0"/>
      <w:bookmarkStart w:id="65" w:name="Tc_WcQrORJu4UitI0YMa3Uvzw_28_0"/>
      <w:bookmarkStart w:id="66" w:name="Tc_JVDCykbBLk2ec0Pitu4gjw_27_0"/>
      <w:bookmarkStart w:id="67" w:name="Tc_dYaY0UkTOUe1xrBxvjlg1w_26_0"/>
      <w:bookmarkStart w:id="68" w:name="Tc__vryP_Dlb0yKZcxf2TB1Mg_25_0"/>
      <w:bookmarkStart w:id="69" w:name="Tc_qUtVurcvVkO54z3dcxv-vw_24_0"/>
      <w:bookmarkStart w:id="70" w:name="Tc_1InIHa6KwEaTCk2SVUnhDA_23_0"/>
      <w:bookmarkStart w:id="71" w:name="Tc_o8wef_qcGUaaQrWhmrI6pQ_22_0"/>
      <w:bookmarkStart w:id="72" w:name="Tc_Y8-As9lPLEmo7YrNDxxL9w_21_0"/>
      <w:bookmarkStart w:id="73" w:name="Tc_e7oPhgZMU0WK-Ul2uNcJTQ_20_0"/>
      <w:bookmarkStart w:id="74" w:name="Tc_uDKhpAPftkubEinFQbMC5g_19_0"/>
      <w:bookmarkStart w:id="75" w:name="Tc_tvxt_kajl0Ga2ZoKm9qFcQ_18_0"/>
      <w:bookmarkStart w:id="76" w:name="Tc_dAdCTFm-_EO2rMxeDO8dPg_17_5"/>
      <w:bookmarkStart w:id="77" w:name="Tc_yd8RwQhpgkug_0QI3yVeUA_17_2"/>
      <w:bookmarkStart w:id="78" w:name="Tc_b1u60Hn3mUGP-ozV5pdHOg_17_0"/>
      <w:bookmarkStart w:id="79" w:name="Tc_xVeT3BGJHEqTxFkIPUKMnQ_16_0"/>
      <w:bookmarkStart w:id="80" w:name="Tc_mNXhRzwAakKE6s5K8BeOwg_15_0"/>
      <w:bookmarkStart w:id="81" w:name="Tc_Be13TwOkkk2SPVuD0SjO_g_13_5"/>
      <w:bookmarkStart w:id="82" w:name="Tc_WHXnn6yuikyR3GaQ6Syq9g_13_2"/>
      <w:bookmarkStart w:id="83" w:name="Tc_qz78KU5CQUm6jEm8eyBkYQ_13_0"/>
      <w:bookmarkStart w:id="84" w:name="Tc_Tgyar_hojk2iPuZdUWd46Q_12_0"/>
      <w:bookmarkStart w:id="85" w:name="Tc_5sXOgjPzZ0StsveS57cfGA_11_0"/>
      <w:bookmarkStart w:id="86" w:name="Tc__EM7UoPDCEabOqUFXCT_nQ_10_0"/>
      <w:bookmarkStart w:id="87" w:name="Tc_gjqwpd8NrECx0F1yNM-BHQ_9_0"/>
      <w:bookmarkStart w:id="88" w:name="Tc_-b8g9KkIM0WDk2ihRpE5pA_8_0"/>
      <w:bookmarkStart w:id="89" w:name="Tc_xq0QnZaL2U2wN2LmNHLRCA_7_0"/>
      <w:bookmarkStart w:id="90" w:name="Tc_CY_E2GUeXkmf7ElcRHgAsw_6_0"/>
      <w:bookmarkStart w:id="91" w:name="Tc_2o79uDekFkGO_6_hVxwVaQ_5_5"/>
      <w:bookmarkStart w:id="92" w:name="Tc_cfegcssnFUiuEEycrBdQbQ_5_2"/>
      <w:bookmarkStart w:id="93" w:name="Tc_Qjega040_0CDmey3C6mgCA_5_0"/>
      <w:bookmarkStart w:id="94" w:name="Tc_V1Hcl7kQ-k-GUPdj6aXJcg_4_0"/>
      <w:bookmarkStart w:id="95" w:name="Tc_S0C-x3PmN0S7B3_xQNSNjQ_3_0"/>
      <w:bookmarkStart w:id="96" w:name="Tc_tRAtkOXGVUKBXVguiefogQ_2_5"/>
      <w:bookmarkStart w:id="97" w:name="Tc_V0qoIgyGp02CEpNiF-YEHQ_2_2"/>
      <w:bookmarkStart w:id="98" w:name="Tc_xh25Z0aTIUCQg92DpD7few_1_5"/>
      <w:bookmarkStart w:id="99" w:name="Tc_h64oneZZYkOAxkIkRcmpkg_1_2"/>
      <w:bookmarkStart w:id="100" w:name="_95bee19d_95c9_4e6b_b568_6985b0035237"/>
      <w:bookmarkStart w:id="101" w:name="Tc_Z3MvaeADkEKSmFcwARrOMw_36_5"/>
      <w:bookmarkStart w:id="102" w:name="Tc_F6_RbvG35k--wFv3t3WbUw_36_2"/>
      <w:bookmarkStart w:id="103" w:name="Tc_JecaQSXhLkOOKQtt4OGmdA_36_0"/>
      <w:bookmarkStart w:id="104" w:name="Tc_ooZytppuFkyA28IQTmnEgg_35_0"/>
      <w:bookmarkStart w:id="105" w:name="Tc_iCTx_6sFqEKl4u22um1e1w_34_0"/>
      <w:bookmarkStart w:id="106" w:name="Tc_phDWzh6FQk6th0sfRov2Zw_33_0"/>
      <w:bookmarkStart w:id="107" w:name="Tc_8uYqhh0pnkOd3DnMeN_8qQ_32_0"/>
      <w:bookmarkStart w:id="108" w:name="Tc_MYqV9f9GTk21QSgS0bXyFA_31_0"/>
      <w:bookmarkStart w:id="109" w:name="Tc_RK1iPjXQHU-slfAaZenGow_30_0"/>
      <w:bookmarkStart w:id="110" w:name="Tc_KVPnJVPyhky9jUtjBfD4DA_29_0"/>
      <w:bookmarkStart w:id="111" w:name="Tc_WcQrORJu4UitI0YMa3Uvzw_28_0"/>
      <w:bookmarkStart w:id="112" w:name="Tc_JVDCykbBLk2ec0Pitu4gjw_27_0"/>
      <w:bookmarkStart w:id="113" w:name="Tc_dYaY0UkTOUe1xrBxvjlg1w_26_0"/>
      <w:bookmarkStart w:id="114" w:name="Tc__vryP_Dlb0yKZcxf2TB1Mg_25_0"/>
      <w:bookmarkStart w:id="115" w:name="Tc_qUtVurcvVkO54z3dcxv-vw_24_0"/>
      <w:bookmarkStart w:id="116" w:name="Tc_1InIHa6KwEaTCk2SVUnhDA_23_0"/>
      <w:bookmarkStart w:id="117" w:name="Tc_o8wef_qcGUaaQrWhmrI6pQ_22_0"/>
      <w:bookmarkStart w:id="118" w:name="Tc_Y8-As9lPLEmo7YrNDxxL9w_21_0"/>
      <w:bookmarkStart w:id="119" w:name="Tc_e7oPhgZMU0WK-Ul2uNcJTQ_20_0"/>
      <w:bookmarkStart w:id="120" w:name="Tc_uDKhpAPftkubEinFQbMC5g_19_0"/>
      <w:bookmarkStart w:id="121" w:name="Tc_tvxt_kajl0Ga2ZoKm9qFcQ_18_0"/>
      <w:bookmarkStart w:id="122" w:name="Tc_dAdCTFm-_EO2rMxeDO8dPg_17_5"/>
      <w:bookmarkStart w:id="123" w:name="Tc_yd8RwQhpgkug_0QI3yVeUA_17_2"/>
      <w:bookmarkStart w:id="124" w:name="Tc_b1u60Hn3mUGP-ozV5pdHOg_17_0"/>
      <w:bookmarkStart w:id="125" w:name="Tc_xVeT3BGJHEqTxFkIPUKMnQ_16_0"/>
      <w:bookmarkStart w:id="126" w:name="Tc_mNXhRzwAakKE6s5K8BeOwg_15_0"/>
      <w:bookmarkStart w:id="127" w:name="Tc_Be13TwOkkk2SPVuD0SjO_g_13_5"/>
      <w:bookmarkStart w:id="128" w:name="Tc_WHXnn6yuikyR3GaQ6Syq9g_13_2"/>
      <w:bookmarkStart w:id="129" w:name="Tc_qz78KU5CQUm6jEm8eyBkYQ_13_0"/>
      <w:bookmarkStart w:id="130" w:name="Tc_Tgyar_hojk2iPuZdUWd46Q_12_0"/>
      <w:bookmarkStart w:id="131" w:name="Tc_5sXOgjPzZ0StsveS57cfGA_11_0"/>
      <w:bookmarkStart w:id="132" w:name="Tc__EM7UoPDCEabOqUFXCT_nQ_10_0"/>
      <w:bookmarkStart w:id="133" w:name="Tc_gjqwpd8NrECx0F1yNM-BHQ_9_0"/>
      <w:bookmarkStart w:id="134" w:name="Tc_-b8g9KkIM0WDk2ihRpE5pA_8_0"/>
      <w:bookmarkStart w:id="135" w:name="Tc_xq0QnZaL2U2wN2LmNHLRCA_7_0"/>
      <w:bookmarkStart w:id="136" w:name="Tc_CY_E2GUeXkmf7ElcRHgAsw_6_0"/>
      <w:bookmarkStart w:id="137" w:name="Tc_2o79uDekFkGO_6_hVxwVaQ_5_5"/>
      <w:bookmarkStart w:id="138" w:name="Tc_cfegcssnFUiuEEycrBdQbQ_5_2"/>
      <w:bookmarkStart w:id="139" w:name="Tc_Qjega040_0CDmey3C6mgCA_5_0"/>
      <w:bookmarkStart w:id="140" w:name="Tc_V1Hcl7kQ-k-GUPdj6aXJcg_4_0"/>
      <w:bookmarkStart w:id="141" w:name="Tc_S0C-x3PmN0S7B3_xQNSNjQ_3_0"/>
      <w:bookmarkStart w:id="142" w:name="Tc_tRAtkOXGVUKBXVguiefogQ_2_5"/>
      <w:bookmarkStart w:id="143" w:name="Tc_V0qoIgyGp02CEpNiF-YEHQ_2_2"/>
      <w:bookmarkStart w:id="144" w:name="Tc_xh25Z0aTIUCQg92DpD7few_1_5"/>
      <w:bookmarkStart w:id="145" w:name="Tc_h64oneZZYkOAxkIkRcmpkg_1_2"/>
      <w:bookmarkStart w:id="146" w:name="_95bee19d_95c9_4e6b_b568_6985b0035237"/>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10205" w:type="dxa"/>
        <w:jc w:val="left"/>
        <w:tblInd w:w="0" w:type="dxa"/>
        <w:tblLayout w:type="fixed"/>
        <w:tblCellMar>
          <w:top w:w="0" w:type="dxa"/>
          <w:left w:w="0" w:type="dxa"/>
          <w:bottom w:w="0" w:type="dxa"/>
          <w:right w:w="0" w:type="dxa"/>
        </w:tblCellMar>
      </w:tblPr>
      <w:tblGrid>
        <w:gridCol w:w="7352"/>
        <w:gridCol w:w="326"/>
        <w:gridCol w:w="211"/>
        <w:gridCol w:w="863"/>
        <w:gridCol w:w="326"/>
        <w:gridCol w:w="211"/>
        <w:gridCol w:w="916"/>
      </w:tblGrid>
      <w:tr>
        <w:trPr/>
        <w:tc>
          <w:tcPr>
            <w:tcW w:w="73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48005" cy="175260"/>
                      <wp:effectExtent l="0" t="0" r="0" b="0"/>
                      <wp:wrapNone/>
                      <wp:docPr id="11" name="Frame11"/>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21,392</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78,537</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5,029</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107,667</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44,483</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159,913</w:t>
            </w:r>
          </w:p>
        </w:tc>
      </w:tr>
      <w:tr>
        <w:trPr/>
        <w:tc>
          <w:tcPr>
            <w:tcW w:w="73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5,772</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8,563</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12,164</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29,052</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50,325</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  </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  </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par value $0.0001 per share, 1,000,000,000 shares authorized, 179,596,760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2024 and 147,066,336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463,089</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(353,759)</w:t>
            </w:r>
          </w:p>
        </w:tc>
      </w:tr>
      <w:tr>
        <w:trPr/>
        <w:tc>
          <w:tcPr>
            <w:tcW w:w="7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7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159,913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 w:name="_dba4e96c_c685_4b44_9813_0d15d41a3b26"/>
      <w:bookmarkStart w:id="148" w:name="_Hlk149637257"/>
      <w:bookmarkEnd w:id="147"/>
      <w:bookmarkEnd w:id="148"/>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49" w:name="STATEMENTS_OF_OPERATIONS"/>
      <w:bookmarkEnd w:id="149"/>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0" w:name="Tc_Px7IO9kVUkGYq460fbVzXg_23_0"/>
      <w:bookmarkStart w:id="151" w:name="Tc_tegj9WyAf0WFKCcihfcMIw_22_11"/>
      <w:bookmarkStart w:id="152" w:name="Tc_LFM2FmKYm06alc25-hmP3w_22_8"/>
      <w:bookmarkStart w:id="153" w:name="Tc_RDZvSqGKRUeCxCqt3G68sg_22_5"/>
      <w:bookmarkStart w:id="154" w:name="Tc_YUZ089-Q-k6mrQWYYxzbAA_22_2"/>
      <w:bookmarkStart w:id="155" w:name="Tc_35aj8mA2z0WS06AchGCz6g_22_0"/>
      <w:bookmarkStart w:id="156" w:name="Tc_bl-2Gz3dhU6LLcoXPLtJuA_21_11"/>
      <w:bookmarkStart w:id="157" w:name="Tc_vhdYbyQwj0-TF-8d_J8JDw_21_8"/>
      <w:bookmarkStart w:id="158" w:name="Tc_LQ9XsbOt_E-zUzOniru6xw_21_5"/>
      <w:bookmarkStart w:id="159" w:name="Tc_0oDpaXEZbE6Mk2fbFLKwNA_21_2"/>
      <w:bookmarkStart w:id="160" w:name="Tc_Nx_ZC-_uC0uLDEuyDaStHA_21_0"/>
      <w:bookmarkStart w:id="161" w:name="Tc_I9p-Yu8C9U2wb8kW5fG4-Q_20_0"/>
      <w:bookmarkStart w:id="162" w:name="Tc_K0trNVJ1k0iRQOLhi-eXVA_19_0"/>
      <w:bookmarkStart w:id="163" w:name="Tc_dFutI2-IPkWxCHROzXE0EQ_18_0"/>
      <w:bookmarkStart w:id="164" w:name="Tc_NNnKCVzaSE-VNauTqeDodg_17_0"/>
      <w:bookmarkStart w:id="165" w:name="Tc_C3W1YrJ4K065a3HHzv9Z5g_16_0"/>
      <w:bookmarkStart w:id="166" w:name="Tc_DgOyQOFjz06M0wUJe2-xFw_15_0"/>
      <w:bookmarkStart w:id="167" w:name="Tc_cN5lJsIfe0WzbN3xV-wH-Q_14_0"/>
      <w:bookmarkStart w:id="168" w:name="Tc_p5vuC3f7yEqiJcSqy_CugA_13_0"/>
      <w:bookmarkStart w:id="169" w:name="Tc_3nyJIJ5HpEmyCajwcOgwoA_12_0"/>
      <w:bookmarkStart w:id="170" w:name="Tc_P0rDk5jEYESIRyl0RazqNw_11_0"/>
      <w:bookmarkStart w:id="171" w:name="Tc_NvqBYN1NJkW8BipHGGbklQ_10_0"/>
      <w:bookmarkStart w:id="172" w:name="Tc_SgSo9-P9a0mdRw-1xgbC3Q_9_0"/>
      <w:bookmarkStart w:id="173" w:name="Tc_vGwgiTjVBU6hRDnBUskHCQ_8_0"/>
      <w:bookmarkStart w:id="174" w:name="Tc_Gr94NJdm0U63gzXOXABt7w_7_0"/>
      <w:bookmarkStart w:id="175" w:name="Tc_N9eN7HVFaEGq2YDs8oe_0A_6_0"/>
      <w:bookmarkStart w:id="176" w:name="Tc_DNwAxLtaKkydSThSwMwl6A_5_0"/>
      <w:bookmarkStart w:id="177" w:name="Tc_pg7Cc9WlkUOrDoB-WakW-Q_4_11"/>
      <w:bookmarkStart w:id="178" w:name="Tc_3sZqZWwc80yCPmxmCmzLnw_4_8"/>
      <w:bookmarkStart w:id="179" w:name="Tc_wJQRbHnCMEWEaTzP7YPzjA_4_5"/>
      <w:bookmarkStart w:id="180" w:name="Tc_59QsTNUlFk2Sn_G5cvWfvA_4_2"/>
      <w:bookmarkStart w:id="181" w:name="Tc_yTCFTG4Ib0GANd6I32chww_4_0"/>
      <w:bookmarkStart w:id="182" w:name="Tc_yNzC1HHtYkCuf1YxNByvEg_3_11"/>
      <w:bookmarkStart w:id="183" w:name="Tc_VJRuVtwumkeWDoVIhpGQfQ_3_8"/>
      <w:bookmarkStart w:id="184" w:name="Tc_JtINGhCfRkCNHhSaXM6wYg_3_5"/>
      <w:bookmarkStart w:id="185" w:name="Tc_7OtNBaGU80yEzQqt1r8SZA_3_2"/>
      <w:bookmarkStart w:id="186" w:name="Tc_3RE_0pEVxkqbJ6MIV1ntZA_2_8"/>
      <w:bookmarkStart w:id="187" w:name="Tc_1IoTKX4Z5UOvGughhItXGQ_2_2"/>
      <w:bookmarkStart w:id="188" w:name="_94655d95_3a9a_492f_9919_27e66ae8726e"/>
      <w:bookmarkStart w:id="189" w:name="_fdc0b01b_c892_47a2_ad8b_e4fbdeef6d86"/>
      <w:bookmarkStart w:id="190" w:name="Tc_Px7IO9kVUkGYq460fbVzXg_23_0"/>
      <w:bookmarkStart w:id="191" w:name="Tc_tegj9WyAf0WFKCcihfcMIw_22_11"/>
      <w:bookmarkStart w:id="192" w:name="Tc_LFM2FmKYm06alc25-hmP3w_22_8"/>
      <w:bookmarkStart w:id="193" w:name="Tc_RDZvSqGKRUeCxCqt3G68sg_22_5"/>
      <w:bookmarkStart w:id="194" w:name="Tc_YUZ089-Q-k6mrQWYYxzbAA_22_2"/>
      <w:bookmarkStart w:id="195" w:name="Tc_35aj8mA2z0WS06AchGCz6g_22_0"/>
      <w:bookmarkStart w:id="196" w:name="Tc_bl-2Gz3dhU6LLcoXPLtJuA_21_11"/>
      <w:bookmarkStart w:id="197" w:name="Tc_vhdYbyQwj0-TF-8d_J8JDw_21_8"/>
      <w:bookmarkStart w:id="198" w:name="Tc_LQ9XsbOt_E-zUzOniru6xw_21_5"/>
      <w:bookmarkStart w:id="199" w:name="Tc_0oDpaXEZbE6Mk2fbFLKwNA_21_2"/>
      <w:bookmarkStart w:id="200" w:name="Tc_Nx_ZC-_uC0uLDEuyDaStHA_21_0"/>
      <w:bookmarkStart w:id="201" w:name="Tc_I9p-Yu8C9U2wb8kW5fG4-Q_20_0"/>
      <w:bookmarkStart w:id="202" w:name="Tc_K0trNVJ1k0iRQOLhi-eXVA_19_0"/>
      <w:bookmarkStart w:id="203" w:name="Tc_dFutI2-IPkWxCHROzXE0EQ_18_0"/>
      <w:bookmarkStart w:id="204" w:name="Tc_NNnKCVzaSE-VNauTqeDodg_17_0"/>
      <w:bookmarkStart w:id="205" w:name="Tc_C3W1YrJ4K065a3HHzv9Z5g_16_0"/>
      <w:bookmarkStart w:id="206" w:name="Tc_DgOyQOFjz06M0wUJe2-xFw_15_0"/>
      <w:bookmarkStart w:id="207" w:name="Tc_cN5lJsIfe0WzbN3xV-wH-Q_14_0"/>
      <w:bookmarkStart w:id="208" w:name="Tc_p5vuC3f7yEqiJcSqy_CugA_13_0"/>
      <w:bookmarkStart w:id="209" w:name="Tc_3nyJIJ5HpEmyCajwcOgwoA_12_0"/>
      <w:bookmarkStart w:id="210" w:name="Tc_P0rDk5jEYESIRyl0RazqNw_11_0"/>
      <w:bookmarkStart w:id="211" w:name="Tc_NvqBYN1NJkW8BipHGGbklQ_10_0"/>
      <w:bookmarkStart w:id="212" w:name="Tc_SgSo9-P9a0mdRw-1xgbC3Q_9_0"/>
      <w:bookmarkStart w:id="213" w:name="Tc_vGwgiTjVBU6hRDnBUskHCQ_8_0"/>
      <w:bookmarkStart w:id="214" w:name="Tc_Gr94NJdm0U63gzXOXABt7w_7_0"/>
      <w:bookmarkStart w:id="215" w:name="Tc_N9eN7HVFaEGq2YDs8oe_0A_6_0"/>
      <w:bookmarkStart w:id="216" w:name="Tc_DNwAxLtaKkydSThSwMwl6A_5_0"/>
      <w:bookmarkStart w:id="217" w:name="Tc_pg7Cc9WlkUOrDoB-WakW-Q_4_11"/>
      <w:bookmarkStart w:id="218" w:name="Tc_3sZqZWwc80yCPmxmCmzLnw_4_8"/>
      <w:bookmarkStart w:id="219" w:name="Tc_wJQRbHnCMEWEaTzP7YPzjA_4_5"/>
      <w:bookmarkStart w:id="220" w:name="Tc_59QsTNUlFk2Sn_G5cvWfvA_4_2"/>
      <w:bookmarkStart w:id="221" w:name="Tc_yTCFTG4Ib0GANd6I32chww_4_0"/>
      <w:bookmarkStart w:id="222" w:name="Tc_yNzC1HHtYkCuf1YxNByvEg_3_11"/>
      <w:bookmarkStart w:id="223" w:name="Tc_VJRuVtwumkeWDoVIhpGQfQ_3_8"/>
      <w:bookmarkStart w:id="224" w:name="Tc_JtINGhCfRkCNHhSaXM6wYg_3_5"/>
      <w:bookmarkStart w:id="225" w:name="Tc_7OtNBaGU80yEzQqt1r8SZA_3_2"/>
      <w:bookmarkStart w:id="226" w:name="Tc_3RE_0pEVxkqbJ6MIV1ntZA_2_8"/>
      <w:bookmarkStart w:id="227" w:name="Tc_1IoTKX4Z5UOvGughhItXGQ_2_2"/>
      <w:bookmarkStart w:id="228" w:name="_94655d95_3a9a_492f_9919_27e66ae8726e"/>
      <w:bookmarkStart w:id="229" w:name="_fdc0b01b_c892_47a2_ad8b_e4fbdeef6d8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4760"/>
        <w:gridCol w:w="326"/>
        <w:gridCol w:w="214"/>
        <w:gridCol w:w="800"/>
        <w:gridCol w:w="331"/>
        <w:gridCol w:w="214"/>
        <w:gridCol w:w="800"/>
        <w:gridCol w:w="326"/>
        <w:gridCol w:w="211"/>
        <w:gridCol w:w="786"/>
        <w:gridCol w:w="326"/>
        <w:gridCol w:w="211"/>
        <w:gridCol w:w="900"/>
      </w:tblGrid>
      <w:tr>
        <w:trPr/>
        <w:tc>
          <w:tcPr>
            <w:tcW w:w="47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5890" cy="175260"/>
                      <wp:effectExtent l="0" t="0" r="0" b="0"/>
                      <wp:wrapNone/>
                      <wp:docPr id="16" name="Frame1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08000" cy="175260"/>
                      <wp:effectExtent l="0" t="0" r="0" b="0"/>
                      <wp:wrapNone/>
                      <wp:docPr id="17" name="Frame17"/>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0185" cy="175260"/>
                      <wp:effectExtent l="0" t="0" r="0" b="0"/>
                      <wp:wrapNone/>
                      <wp:docPr id="18" name="Frame1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5890" cy="175260"/>
                      <wp:effectExtent l="0" t="0" r="0" b="0"/>
                      <wp:wrapNone/>
                      <wp:docPr id="19" name="Frame1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08000" cy="175260"/>
                      <wp:effectExtent l="0" t="0" r="0" b="0"/>
                      <wp:wrapNone/>
                      <wp:docPr id="20" name="Frame20"/>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99110" cy="175260"/>
                      <wp:effectExtent l="0" t="0" r="0" b="0"/>
                      <wp:wrapNone/>
                      <wp:docPr id="23" name="Frame2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1500" cy="175260"/>
                      <wp:effectExtent l="0" t="0" r="0" b="0"/>
                      <wp:wrapNone/>
                      <wp:docPr id="26" name="Frame2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left"/>
              <w:rPr/>
            </w:pPr>
            <w:r>
              <w:rPr/>
              <w:t>​</w:t>
            </w:r>
          </w:p>
        </w:tc>
      </w:tr>
      <w:tr>
        <w:trPr/>
        <w:tc>
          <w:tcPr>
            <w:tcW w:w="47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w:t>
            </w:r>
          </w:p>
        </w:tc>
        <w:tc>
          <w:tcPr>
            <w:tcW w:w="326" w:type="dxa"/>
            <w:tcBorders/>
            <w:vAlign w:val="center"/>
          </w:tcPr>
          <w:p>
            <w:pPr>
              <w:pStyle w:val="TableContents"/>
              <w:bidi w:val="0"/>
              <w:spacing w:before="0" w:after="0"/>
              <w:ind w:left="0" w:right="0" w:hanging="0"/>
              <w:jc w:val="left"/>
              <w:rPr/>
            </w:pPr>
            <w:r>
              <w:rPr/>
              <w:t> </w:t>
            </w:r>
          </w:p>
        </w:tc>
        <w:tc>
          <w:tcPr>
            <w:tcW w:w="24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47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31" w:type="dxa"/>
            <w:tcBorders/>
            <w:vAlign w:val="center"/>
          </w:tcPr>
          <w:p>
            <w:pPr>
              <w:pStyle w:val="TableContents"/>
              <w:bidi w:val="0"/>
              <w:spacing w:before="0" w:after="0"/>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31"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11,870</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26,925</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w:t>
            </w:r>
          </w:p>
        </w:tc>
        <w:tc>
          <w:tcPr>
            <w:tcW w:w="33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14,761</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18,075</w:t>
            </w:r>
          </w:p>
        </w:tc>
        <w:tc>
          <w:tcPr>
            <w:tcW w:w="331"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42,677</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(16,085)</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(38,256)</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3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331"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31"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31"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31"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4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in computing net loss per share attributable to common stockholders – basic and diluted</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171,903</w:t>
            </w:r>
          </w:p>
        </w:tc>
        <w:tc>
          <w:tcPr>
            <w:tcW w:w="331"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126,657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0" w:name="_70d679ac_a79a_4893_a3e9_a51ecc434648"/>
      <w:bookmarkEnd w:id="230"/>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31" w:name="STATEMENTS_OF_COMPREHENSIVE_LOSS"/>
      <w:bookmarkEnd w:id="231"/>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2" w:name="Tc_pN7FG8vB7kOa6HRck29lFg_11_11"/>
      <w:bookmarkStart w:id="233" w:name="Tc_yBpiA9wqAUW0MRwLN6AgtA_11_8"/>
      <w:bookmarkStart w:id="234" w:name="Tc_iX501z0TJUm_k0tgipuGVg_11_5"/>
      <w:bookmarkStart w:id="235" w:name="Tc_JaXaN6nYm0qugr7LaCm5QQ_11_2"/>
      <w:bookmarkStart w:id="236" w:name="Tc_Ba9O4OyZEk2YLYq3LqO5ng_11_0"/>
      <w:bookmarkStart w:id="237" w:name="Tc_v1kIMjSU50qj5RetzxmhRg_10_0"/>
      <w:bookmarkStart w:id="238" w:name="Tc_smSw0KCpakOv6v_2VxlvVg_9_0"/>
      <w:bookmarkStart w:id="239" w:name="Tc_WFi3yttsfkmJXXLZInfxYQ_8_0"/>
      <w:bookmarkStart w:id="240" w:name="Tc_mxEziSgQJEGPb7ndsrrHpQ_7_0"/>
      <w:bookmarkStart w:id="241" w:name="Tc_jqiix-rkBkqYHoICz3kkcg_6_0"/>
      <w:bookmarkStart w:id="242" w:name="Tc_93pEb4efdUeY1LyT8V3YTg_5_0"/>
      <w:bookmarkStart w:id="243" w:name="Tc_HSEAewJ1rU2V6im5zFyMoQ_4_11"/>
      <w:bookmarkStart w:id="244" w:name="Tc_Ma1SoR3fEUmXWmZvJhZukw_4_8"/>
      <w:bookmarkStart w:id="245" w:name="Tc_RdWeVKICH0q3sdwVgcj29A_4_5"/>
      <w:bookmarkStart w:id="246" w:name="Tc_peORKZO8xUe1LyU6RAcxOA_4_2"/>
      <w:bookmarkStart w:id="247" w:name="Tc_Nrh-PGtGhEONf2YDzE2emg_4_0"/>
      <w:bookmarkStart w:id="248" w:name="Tc_V3Dtu59I70K0eupUzF_BnA_3_11"/>
      <w:bookmarkStart w:id="249" w:name="Tc_91AOyzjH0Ey9Kis7Eo_vYA_3_8"/>
      <w:bookmarkStart w:id="250" w:name="Tc_LIM58N5nUESLgMUuFgFFCA_3_5"/>
      <w:bookmarkStart w:id="251" w:name="Tc_7g6asvAs6kaQKSZYQMqY4Q_3_2"/>
      <w:bookmarkStart w:id="252" w:name="Tc_XMYzvU1AUUSGbzWsuYV_jA_2_8"/>
      <w:bookmarkStart w:id="253" w:name="Tc_ixib_8_X402FhMXjmx66AA_2_2"/>
      <w:bookmarkStart w:id="254" w:name="_99dc7a5b_c2f8_4f00_98a6_3090063f1ae3"/>
      <w:bookmarkStart w:id="255" w:name="Tc_pN7FG8vB7kOa6HRck29lFg_11_11"/>
      <w:bookmarkStart w:id="256" w:name="Tc_yBpiA9wqAUW0MRwLN6AgtA_11_8"/>
      <w:bookmarkStart w:id="257" w:name="Tc_iX501z0TJUm_k0tgipuGVg_11_5"/>
      <w:bookmarkStart w:id="258" w:name="Tc_JaXaN6nYm0qugr7LaCm5QQ_11_2"/>
      <w:bookmarkStart w:id="259" w:name="Tc_Ba9O4OyZEk2YLYq3LqO5ng_11_0"/>
      <w:bookmarkStart w:id="260" w:name="Tc_v1kIMjSU50qj5RetzxmhRg_10_0"/>
      <w:bookmarkStart w:id="261" w:name="Tc_smSw0KCpakOv6v_2VxlvVg_9_0"/>
      <w:bookmarkStart w:id="262" w:name="Tc_WFi3yttsfkmJXXLZInfxYQ_8_0"/>
      <w:bookmarkStart w:id="263" w:name="Tc_mxEziSgQJEGPb7ndsrrHpQ_7_0"/>
      <w:bookmarkStart w:id="264" w:name="Tc_jqiix-rkBkqYHoICz3kkcg_6_0"/>
      <w:bookmarkStart w:id="265" w:name="Tc_93pEb4efdUeY1LyT8V3YTg_5_0"/>
      <w:bookmarkStart w:id="266" w:name="Tc_HSEAewJ1rU2V6im5zFyMoQ_4_11"/>
      <w:bookmarkStart w:id="267" w:name="Tc_Ma1SoR3fEUmXWmZvJhZukw_4_8"/>
      <w:bookmarkStart w:id="268" w:name="Tc_RdWeVKICH0q3sdwVgcj29A_4_5"/>
      <w:bookmarkStart w:id="269" w:name="Tc_peORKZO8xUe1LyU6RAcxOA_4_2"/>
      <w:bookmarkStart w:id="270" w:name="Tc_Nrh-PGtGhEONf2YDzE2emg_4_0"/>
      <w:bookmarkStart w:id="271" w:name="Tc_V3Dtu59I70K0eupUzF_BnA_3_11"/>
      <w:bookmarkStart w:id="272" w:name="Tc_91AOyzjH0Ey9Kis7Eo_vYA_3_8"/>
      <w:bookmarkStart w:id="273" w:name="Tc_LIM58N5nUESLgMUuFgFFCA_3_5"/>
      <w:bookmarkStart w:id="274" w:name="Tc_7g6asvAs6kaQKSZYQMqY4Q_3_2"/>
      <w:bookmarkStart w:id="275" w:name="Tc_XMYzvU1AUUSGbzWsuYV_jA_2_8"/>
      <w:bookmarkStart w:id="276" w:name="Tc_ixib_8_X402FhMXjmx66AA_2_2"/>
      <w:bookmarkStart w:id="277" w:name="_99dc7a5b_c2f8_4f00_98a6_3090063f1ae3"/>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10205" w:type="dxa"/>
        <w:jc w:val="left"/>
        <w:tblInd w:w="0" w:type="dxa"/>
        <w:tblLayout w:type="fixed"/>
        <w:tblCellMar>
          <w:top w:w="0" w:type="dxa"/>
          <w:left w:w="0" w:type="dxa"/>
          <w:bottom w:w="0" w:type="dxa"/>
          <w:right w:w="0" w:type="dxa"/>
        </w:tblCellMar>
      </w:tblPr>
      <w:tblGrid>
        <w:gridCol w:w="4844"/>
        <w:gridCol w:w="326"/>
        <w:gridCol w:w="211"/>
        <w:gridCol w:w="791"/>
        <w:gridCol w:w="326"/>
        <w:gridCol w:w="211"/>
        <w:gridCol w:w="791"/>
        <w:gridCol w:w="326"/>
        <w:gridCol w:w="211"/>
        <w:gridCol w:w="791"/>
        <w:gridCol w:w="326"/>
        <w:gridCol w:w="211"/>
        <w:gridCol w:w="840"/>
      </w:tblGrid>
      <w:tr>
        <w:trPr/>
        <w:tc>
          <w:tcPr>
            <w:tcW w:w="4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075940" cy="175260"/>
                      <wp:effectExtent l="0" t="0" r="0" b="0"/>
                      <wp:wrapNone/>
                      <wp:docPr id="27" name="Frame27"/>
                      <a:graphic xmlns:a="http://schemas.openxmlformats.org/drawingml/2006/main">
                        <a:graphicData uri="http://schemas.microsoft.com/office/word/2010/wordprocessingShape">
                          <wps:wsp>
                            <wps:cNvSpPr txBox="1"/>
                            <wps:spPr>
                              <a:xfrm>
                                <a:off x="0" y="0"/>
                                <a:ext cx="307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2285" cy="175260"/>
                      <wp:effectExtent l="0" t="0" r="0" b="0"/>
                      <wp:wrapNone/>
                      <wp:docPr id="30" name="Frame3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2285" cy="175260"/>
                      <wp:effectExtent l="0" t="0" r="0" b="0"/>
                      <wp:wrapNone/>
                      <wp:docPr id="33" name="Frame3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2285" cy="175260"/>
                      <wp:effectExtent l="0" t="0" r="0" b="0"/>
                      <wp:wrapNone/>
                      <wp:docPr id="36" name="Frame3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33400" cy="175260"/>
                      <wp:effectExtent l="0" t="0" r="0" b="0"/>
                      <wp:wrapNone/>
                      <wp:docPr id="39" name="Frame3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r>
      <w:tr>
        <w:trPr/>
        <w:tc>
          <w:tcPr>
            <w:tcW w:w="4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 </w:t>
            </w:r>
          </w:p>
        </w:tc>
        <w:tc>
          <w:tcPr>
            <w:tcW w:w="23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8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  </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(loss) income after income taxes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8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8" w:name="_38f261eb_1018_4075_ad18_65ed99fd7864"/>
      <w:bookmarkEnd w:id="278"/>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79" w:name="STATEMENTS_OF_CASH_FLOWS"/>
      <w:bookmarkEnd w:id="279"/>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80" w:name="Tc_we8a2dbK8UimpKpaso1U7w_46_0"/>
      <w:bookmarkStart w:id="281" w:name="Tc_LskqQHWzcESogE-O4qntog_45_0"/>
      <w:bookmarkStart w:id="282" w:name="Tc_to4ipXBiVEiwUNVKipF66Q_44_0"/>
      <w:bookmarkStart w:id="283" w:name="Tc_4UcuOjcjiEeku9HR2z0sSg_43_0"/>
      <w:bookmarkStart w:id="284" w:name="Tc_EbvwLKnq0Ui55Ho69GcWag_42_0"/>
      <w:bookmarkStart w:id="285" w:name="Tc_1ELpv3AsEkeCvEaHHse0Yg_41_0"/>
      <w:bookmarkStart w:id="286" w:name="Tc_UsveFfTY70-id1A9SuIsUg_40_5"/>
      <w:bookmarkStart w:id="287" w:name="Tc_rH3yNutZukG9JDZz0-jWKw_40_2"/>
      <w:bookmarkStart w:id="288" w:name="Tc_Hoz32qvZRECj1ROSEHXa_g_40_0"/>
      <w:bookmarkStart w:id="289" w:name="Tc_q_PXnuq2t0KsEP8OR69qOg_39_0"/>
      <w:bookmarkStart w:id="290" w:name="Tc_EBK9R2iwUkuKn-xin3mIsA_38_5"/>
      <w:bookmarkStart w:id="291" w:name="Tc_47Fd4GBjBkiIzx8_EoUKkg_38_2"/>
      <w:bookmarkStart w:id="292" w:name="Tc_FYpNky13EEW8D3TnPWPFQA_38_0"/>
      <w:bookmarkStart w:id="293" w:name="Tc_ZTjPzDaa2U2jwt78aQ7g8w_37_0"/>
      <w:bookmarkStart w:id="294" w:name="Tc_FHm3FRN_F0K647FNMWTytw_36_0"/>
      <w:bookmarkStart w:id="295" w:name="Tc_qSoFjFkkj0epp7oSEtNXMw_35_0"/>
      <w:bookmarkStart w:id="296" w:name="Tc_6S4Tg795i02yyzKD2l1dvA_34_0"/>
      <w:bookmarkStart w:id="297" w:name="Tc_yXLnENAA30uhvl1DJ2Krqg_33_0"/>
      <w:bookmarkStart w:id="298" w:name="Tc_r4SOJ1n0a0WIfhjyDvJldQ_32_0"/>
      <w:bookmarkStart w:id="299" w:name="Tc_8qGmYi62MkeDi4yNVGkUtg_31_0"/>
      <w:bookmarkStart w:id="300" w:name="Tc_HfpYpnnV0U6_v4L_4O0i7g_30_0"/>
      <w:bookmarkStart w:id="301" w:name="Tc_CCGgBC92X0yvOXz2izPqBg_29_0"/>
      <w:bookmarkStart w:id="302" w:name="Tc_tE5kl_h3akO1IVvmFvNHrw_28_0"/>
      <w:bookmarkStart w:id="303" w:name="Tc_zFru4_aDbUuNR3NSGdKREQ_27_0"/>
      <w:bookmarkStart w:id="304" w:name="Tc_S3Ta2V9HXkKD6iC9_oKLxQ_26_0"/>
      <w:bookmarkStart w:id="305" w:name="Tc_nDyqYX8iiESE4_BrLmF7Ng_25_0"/>
      <w:bookmarkStart w:id="306" w:name="Tc_LtadVZsl1Umc8JO8lXBW4Q_24_0"/>
      <w:bookmarkStart w:id="307" w:name="Tc_-ftUqiMB4E6g0UQ8R8I2iA_23_0"/>
      <w:bookmarkStart w:id="308" w:name="Tc_MeYEy3lWiUe95zFFWg2khg_22_0"/>
      <w:bookmarkStart w:id="309" w:name="Tc_sF4gGSCe6UuWxag5P0yofw_21_0"/>
      <w:bookmarkStart w:id="310" w:name="Tc_vN4ruzN59kWrcmA8NQ5f3g_20_0"/>
      <w:bookmarkStart w:id="311" w:name="Tc_GEJdlAPIa0-7u62PgNGyMQ_19_0"/>
      <w:bookmarkStart w:id="312" w:name="Tc_CIdF0EjmNkye6BBpadHMhA_18_0"/>
      <w:bookmarkStart w:id="313" w:name="Tc_0Qvgsq1NAkCgsefUH_FY_w_17_0"/>
      <w:bookmarkStart w:id="314" w:name="Tc_SCLVKbpFS0K6yT7-y5QVhg_16_0"/>
      <w:bookmarkStart w:id="315" w:name="Tc_k4RS8xkfAESkTUkqPC0atA_15_0"/>
      <w:bookmarkStart w:id="316" w:name="Tc_9DcHsPPM30GKGALfUTS45g_14_0"/>
      <w:bookmarkStart w:id="317" w:name="Tc_tN2ckQ-8AEuWwCtviOYWJw_13_0"/>
      <w:bookmarkStart w:id="318" w:name="Tc_oFT1hngPkEq_VPQNEUairQ_12_0"/>
      <w:bookmarkStart w:id="319" w:name="Tc_r39qvAjiOU-Z6R8KPHY7PQ_11_0"/>
      <w:bookmarkStart w:id="320" w:name="Tc_bKGOuBCRBUaxgUHzUoifDg_10_0"/>
      <w:bookmarkStart w:id="321" w:name="Tc_YA82lrwyr0uBmGPEX3mCTg_9_0"/>
      <w:bookmarkStart w:id="322" w:name="Tc_E6s6wOR6RUuzCWw9JWQYaw_8_0"/>
      <w:bookmarkStart w:id="323" w:name="Tc_o9Rctbh29EuizFLEYRt7vw_7_0"/>
      <w:bookmarkStart w:id="324" w:name="Tc_77qIfolREUmIazDo-ZtjRA_6_0"/>
      <w:bookmarkStart w:id="325" w:name="Tc_lud5_KTm7kCWIcJ3iocfwQ_5_5"/>
      <w:bookmarkStart w:id="326" w:name="Tc_OjwxXWkyp0iknOVA28O8yQ_5_2"/>
      <w:bookmarkStart w:id="327" w:name="Tc_Ng0jtWY4-kGrYGKrPTVylA_5_0"/>
      <w:bookmarkStart w:id="328" w:name="Tc_Lltd4-KTtE2rssBRJuG6BQ_4_0"/>
      <w:bookmarkStart w:id="329" w:name="Tc_bE-478IOh0-grFMD0ew1OQ_3_5"/>
      <w:bookmarkStart w:id="330" w:name="Tc_AlCaeZKNREiXq82Rl1tAfQ_3_2"/>
      <w:bookmarkStart w:id="331" w:name="Tc_NmL4bOKrpUykFba6rHHR6g_2_2"/>
      <w:bookmarkStart w:id="332" w:name="_89fc5de3_f81b_4da5_95e4_97e486411872"/>
      <w:bookmarkStart w:id="333" w:name="Tc_we8a2dbK8UimpKpaso1U7w_46_0"/>
      <w:bookmarkStart w:id="334" w:name="Tc_LskqQHWzcESogE-O4qntog_45_0"/>
      <w:bookmarkStart w:id="335" w:name="Tc_to4ipXBiVEiwUNVKipF66Q_44_0"/>
      <w:bookmarkStart w:id="336" w:name="Tc_4UcuOjcjiEeku9HR2z0sSg_43_0"/>
      <w:bookmarkStart w:id="337" w:name="Tc_EbvwLKnq0Ui55Ho69GcWag_42_0"/>
      <w:bookmarkStart w:id="338" w:name="Tc_1ELpv3AsEkeCvEaHHse0Yg_41_0"/>
      <w:bookmarkStart w:id="339" w:name="Tc_UsveFfTY70-id1A9SuIsUg_40_5"/>
      <w:bookmarkStart w:id="340" w:name="Tc_rH3yNutZukG9JDZz0-jWKw_40_2"/>
      <w:bookmarkStart w:id="341" w:name="Tc_Hoz32qvZRECj1ROSEHXa_g_40_0"/>
      <w:bookmarkStart w:id="342" w:name="Tc_q_PXnuq2t0KsEP8OR69qOg_39_0"/>
      <w:bookmarkStart w:id="343" w:name="Tc_EBK9R2iwUkuKn-xin3mIsA_38_5"/>
      <w:bookmarkStart w:id="344" w:name="Tc_47Fd4GBjBkiIzx8_EoUKkg_38_2"/>
      <w:bookmarkStart w:id="345" w:name="Tc_FYpNky13EEW8D3TnPWPFQA_38_0"/>
      <w:bookmarkStart w:id="346" w:name="Tc_ZTjPzDaa2U2jwt78aQ7g8w_37_0"/>
      <w:bookmarkStart w:id="347" w:name="Tc_FHm3FRN_F0K647FNMWTytw_36_0"/>
      <w:bookmarkStart w:id="348" w:name="Tc_qSoFjFkkj0epp7oSEtNXMw_35_0"/>
      <w:bookmarkStart w:id="349" w:name="Tc_6S4Tg795i02yyzKD2l1dvA_34_0"/>
      <w:bookmarkStart w:id="350" w:name="Tc_yXLnENAA30uhvl1DJ2Krqg_33_0"/>
      <w:bookmarkStart w:id="351" w:name="Tc_r4SOJ1n0a0WIfhjyDvJldQ_32_0"/>
      <w:bookmarkStart w:id="352" w:name="Tc_8qGmYi62MkeDi4yNVGkUtg_31_0"/>
      <w:bookmarkStart w:id="353" w:name="Tc_HfpYpnnV0U6_v4L_4O0i7g_30_0"/>
      <w:bookmarkStart w:id="354" w:name="Tc_CCGgBC92X0yvOXz2izPqBg_29_0"/>
      <w:bookmarkStart w:id="355" w:name="Tc_tE5kl_h3akO1IVvmFvNHrw_28_0"/>
      <w:bookmarkStart w:id="356" w:name="Tc_zFru4_aDbUuNR3NSGdKREQ_27_0"/>
      <w:bookmarkStart w:id="357" w:name="Tc_S3Ta2V9HXkKD6iC9_oKLxQ_26_0"/>
      <w:bookmarkStart w:id="358" w:name="Tc_nDyqYX8iiESE4_BrLmF7Ng_25_0"/>
      <w:bookmarkStart w:id="359" w:name="Tc_LtadVZsl1Umc8JO8lXBW4Q_24_0"/>
      <w:bookmarkStart w:id="360" w:name="Tc_-ftUqiMB4E6g0UQ8R8I2iA_23_0"/>
      <w:bookmarkStart w:id="361" w:name="Tc_MeYEy3lWiUe95zFFWg2khg_22_0"/>
      <w:bookmarkStart w:id="362" w:name="Tc_sF4gGSCe6UuWxag5P0yofw_21_0"/>
      <w:bookmarkStart w:id="363" w:name="Tc_vN4ruzN59kWrcmA8NQ5f3g_20_0"/>
      <w:bookmarkStart w:id="364" w:name="Tc_GEJdlAPIa0-7u62PgNGyMQ_19_0"/>
      <w:bookmarkStart w:id="365" w:name="Tc_CIdF0EjmNkye6BBpadHMhA_18_0"/>
      <w:bookmarkStart w:id="366" w:name="Tc_0Qvgsq1NAkCgsefUH_FY_w_17_0"/>
      <w:bookmarkStart w:id="367" w:name="Tc_SCLVKbpFS0K6yT7-y5QVhg_16_0"/>
      <w:bookmarkStart w:id="368" w:name="Tc_k4RS8xkfAESkTUkqPC0atA_15_0"/>
      <w:bookmarkStart w:id="369" w:name="Tc_9DcHsPPM30GKGALfUTS45g_14_0"/>
      <w:bookmarkStart w:id="370" w:name="Tc_tN2ckQ-8AEuWwCtviOYWJw_13_0"/>
      <w:bookmarkStart w:id="371" w:name="Tc_oFT1hngPkEq_VPQNEUairQ_12_0"/>
      <w:bookmarkStart w:id="372" w:name="Tc_r39qvAjiOU-Z6R8KPHY7PQ_11_0"/>
      <w:bookmarkStart w:id="373" w:name="Tc_bKGOuBCRBUaxgUHzUoifDg_10_0"/>
      <w:bookmarkStart w:id="374" w:name="Tc_YA82lrwyr0uBmGPEX3mCTg_9_0"/>
      <w:bookmarkStart w:id="375" w:name="Tc_E6s6wOR6RUuzCWw9JWQYaw_8_0"/>
      <w:bookmarkStart w:id="376" w:name="Tc_o9Rctbh29EuizFLEYRt7vw_7_0"/>
      <w:bookmarkStart w:id="377" w:name="Tc_77qIfolREUmIazDo-ZtjRA_6_0"/>
      <w:bookmarkStart w:id="378" w:name="Tc_lud5_KTm7kCWIcJ3iocfwQ_5_5"/>
      <w:bookmarkStart w:id="379" w:name="Tc_OjwxXWkyp0iknOVA28O8yQ_5_2"/>
      <w:bookmarkStart w:id="380" w:name="Tc_Ng0jtWY4-kGrYGKrPTVylA_5_0"/>
      <w:bookmarkStart w:id="381" w:name="Tc_Lltd4-KTtE2rssBRJuG6BQ_4_0"/>
      <w:bookmarkStart w:id="382" w:name="Tc_bE-478IOh0-grFMD0ew1OQ_3_5"/>
      <w:bookmarkStart w:id="383" w:name="Tc_AlCaeZKNREiXq82Rl1tAfQ_3_2"/>
      <w:bookmarkStart w:id="384" w:name="Tc_NmL4bOKrpUykFba6rHHR6g_2_2"/>
      <w:bookmarkStart w:id="385" w:name="_89fc5de3_f81b_4da5_95e4_97e48641187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tbl>
      <w:tblPr>
        <w:tblW w:w="9667" w:type="dxa"/>
        <w:jc w:val="left"/>
        <w:tblInd w:w="0" w:type="dxa"/>
        <w:tblLayout w:type="fixed"/>
        <w:tblCellMar>
          <w:top w:w="0" w:type="dxa"/>
          <w:left w:w="0" w:type="dxa"/>
          <w:bottom w:w="0" w:type="dxa"/>
          <w:right w:w="0" w:type="dxa"/>
        </w:tblCellMar>
      </w:tblPr>
      <w:tblGrid>
        <w:gridCol w:w="7006"/>
        <w:gridCol w:w="326"/>
        <w:gridCol w:w="326"/>
        <w:gridCol w:w="721"/>
        <w:gridCol w:w="326"/>
        <w:gridCol w:w="196"/>
        <w:gridCol w:w="766"/>
      </w:tblGrid>
      <w:tr>
        <w:trPr/>
        <w:tc>
          <w:tcPr>
            <w:tcW w:w="7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448810" cy="175260"/>
                      <wp:effectExtent l="0" t="0" r="0" b="0"/>
                      <wp:wrapNone/>
                      <wp:docPr id="40" name="Frame40"/>
                      <a:graphic xmlns:a="http://schemas.openxmlformats.org/drawingml/2006/main">
                        <a:graphicData uri="http://schemas.microsoft.com/office/word/2010/wordprocessingShape">
                          <wps:wsp>
                            <wps:cNvSpPr txBox="1"/>
                            <wps:spPr>
                              <a:xfrm>
                                <a:off x="0" y="0"/>
                                <a:ext cx="444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7835" cy="175260"/>
                      <wp:effectExtent l="0" t="0" r="0" b="0"/>
                      <wp:wrapNone/>
                      <wp:docPr id="43" name="Frame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6410" cy="175260"/>
                      <wp:effectExtent l="0" t="0" r="0" b="0"/>
                      <wp:wrapNone/>
                      <wp:docPr id="46" name="Frame4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r>
      <w:tr>
        <w:trPr/>
        <w:tc>
          <w:tcPr>
            <w:tcW w:w="7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w:t>
            </w:r>
          </w:p>
        </w:tc>
      </w:tr>
      <w:tr>
        <w:trPr/>
        <w:tc>
          <w:tcPr>
            <w:tcW w:w="7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(40,320)</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4,249</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forward contract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1,144</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Impairment of deferred offering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(1,571)</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 commitment fees and accretion of debt end-of-term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(1,394)</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operating lease liabilities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(33,618)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  </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(5,735)</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(57,619)</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60,589</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(2,765)</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  </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principal of notes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(2,858)</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sales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sales through At-The-Market (ATM) Offering</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 and warrants</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provided by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Effects of exchange rate changes on cash and cash equivalents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decrease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(36,176)</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beginning of period </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57,888</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end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21,712</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other cash flow information: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  </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2,330</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Capitalization of deferred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accounts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deferred offering costs in accounts payable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Gain on short 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241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6" w:name="_caa72f71_0f4c_4df6_86e4_ce7c0d9568d8"/>
      <w:bookmarkEnd w:id="386"/>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387" w:name="NOTESTOTHEUNAUDITEDINTERIMCONDENSEDCONSO"/>
      <w:bookmarkEnd w:id="387"/>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0"/>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markets a 9-qubit quantum processing unit (QPU) under the </w:t>
      </w:r>
      <w:r>
        <w:rPr>
          <w:rFonts w:ascii="Times New Roman;Times;serif" w:hAnsi="Times New Roman;Times;serif"/>
          <w:sz w:val="20"/>
          <w:shd w:fill="FFFFFF" w:val="clear"/>
        </w:rPr>
        <w:t>Novera™ QPU trade name.</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Company’s Quantum Computing as a Service (“QCaaS”) platform, the Company’s machines can be integrated into any public, private or hybrid cloud.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firstLine="54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-for-one basis. The SNII Public Warrants and the Private Warrants held by SNII became Warrants for Common Stock. The Company’s Common Stock and Public Warrants trade on the Nasdaq Capital Market under the ticker symbols “RGTI” and “RGTIW,”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determined that Legacy Rigetti was the accounting acquirer in the Business Combination based on an analysis of the criteria outlined in Accounting Standards Codification (ASC) 805, Business Combination.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because of the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and six months ended June 30, 2024 are not necessarily indicative of the results to be expected for the year ending December 31, 2024 or for other interim periods or future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2023,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2023, which was filed with the SEC on March 14,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2023, which was filed with the SEC on March 14,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condensed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condensed consolidated financial statements; therefore,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388" w:name="_Hlk158886566"/>
      <w:bookmarkStart w:id="389" w:name="_Hlk158886517"/>
      <w:bookmarkStart w:id="390" w:name="_Hlk158886492"/>
      <w:bookmarkEnd w:id="388"/>
      <w:bookmarkEnd w:id="389"/>
      <w:bookmarkEnd w:id="390"/>
      <w:r>
        <w:rPr>
          <w:rFonts w:ascii="Times New Roman;Times;serif" w:hAnsi="Times New Roman;Times;serif"/>
          <w:b/>
          <w:i/>
          <w:sz w:val="20"/>
        </w:rPr>
        <w:t>Macroeconomic Conditions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Economic conditions in some parts of the world have been worsening, with disruptions to, and volatility and uncertainty in, the credit and financial markets in the U.S. and worldwide resulting from the effects of inflation and interest rates. 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conflict. It is not possible at this time to estimate the long-term impact that these and related events could have on our business, as the impact will depend on future developments, which are highly uncertain and cannot be predicted. If these conditions persist and deepen, the Company could experience an inability to access additional capital, or its liquidity could otherwise be impacted. If the Company is unable to raise capital when needed and on attractive terms, it would be forced to delay, reduce or eliminate its research and development programs and other efforts.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August 2020, the Financial Accounting Standards Board (“FASB”) issued Accounting Standards Update (“ASU”) No. 2020-06, Debt - (Topic 815) (“ASU No. 2020-06”), which simplifies an issuer’s accounting for convertible instruments and its application of the derivatives scope exception for contracts in its own equity. ASU No. 2020-06 was effective for the Company as of January 1, 2024. The Company determined that the adoption of this standard did not have a material impact on the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for annual periods beginning after December 15, 2024, and interim periods within those fiscal years, with early adoption permitted. The Company is still evaluating the impact of this pronouncement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November 2023, the FASB issued ASU No. 2023-07, “Segment Reporting -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the Company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still evaluating the impact of this pronouncement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December 2023, the FASB issued ASU 2023-09, “Income Taxes - Improvements to Income Tax Disclosures” requiring enhancements and further transparency to certain income tax disclosures, most notably the tax rate reconciliation and income taxes paid.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ASU is effective for the Company for annual periods beginning after December 15, 2024 on a prospective basis. Retrospective application is also permitted.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91" w:name="Tc_R4CBx1NvK022g1FR-ybhOA_15_16"/>
      <w:bookmarkStart w:id="392" w:name="Tc_7v1jUWjJHkiVKWT35TJsqg_15_13"/>
      <w:bookmarkStart w:id="393" w:name="Tc_IR4iiyn8fUuoEdNZz52y6Q_15_10"/>
      <w:bookmarkStart w:id="394" w:name="Tc__17jZSE-DkaMjSV4qlS3dw_15_7"/>
      <w:bookmarkStart w:id="395" w:name="Tc_mlY02_AtrEGHlxUleEseTA_15_4"/>
      <w:bookmarkStart w:id="396" w:name="Tc_GsMMFDF3kkGW9OL5SyQiNA_15_0"/>
      <w:bookmarkStart w:id="397" w:name="Tc_YGB1flN7lEGAOMa0odSzaw_14_11"/>
      <w:bookmarkStart w:id="398" w:name="Tc_8l1oBkR_UEyJMmHSo5F1Dg_14_8"/>
      <w:bookmarkStart w:id="399" w:name="Tc_tDdyBZkvS0WDoJed2gcy-Q_14_5"/>
      <w:bookmarkStart w:id="400" w:name="Tc_DJqpH6A7GkyFibBKZ1FxpQ_14_2"/>
      <w:bookmarkStart w:id="401" w:name="Tc_AhBHKW5KW06GSZtY2h6-sQ_14_0"/>
      <w:bookmarkStart w:id="402" w:name="Tc_pbhnb_pkBUyuVyPeBi0ISg_13_14"/>
      <w:bookmarkStart w:id="403" w:name="Tc_-fScA50gF0yM2Uk_9xe-8A_13_8"/>
      <w:bookmarkStart w:id="404" w:name="Tc_KogOGl_brEq0UkF1w9GVGQ_13_5"/>
      <w:bookmarkStart w:id="405" w:name="Tc_y1fPut22ikWRqbLD3xcxNw_13_2"/>
      <w:bookmarkStart w:id="406" w:name="Tc_P14qwwNiu0GpEVnFTIpyfA_13_0"/>
      <w:bookmarkStart w:id="407" w:name="Tc_CMwsnn4BXEm5S4GAGgFR-w_12_14"/>
      <w:bookmarkStart w:id="408" w:name="Tc_FMYYZWV1y0q4h8f7kcGdWw_12_8"/>
      <w:bookmarkStart w:id="409" w:name="Tc_eFHlNbvPWUK6_R4emhw_8Q_12_5"/>
      <w:bookmarkStart w:id="410" w:name="Tc_rzCXBDAatESGzgWjH-JD8g_12_2"/>
      <w:bookmarkStart w:id="411" w:name="Tc_3Lq4c4b4C0-e46LgLN7qLw_12_0"/>
      <w:bookmarkStart w:id="412" w:name="Tc_DrA0ntjlvUWre7noI7eXyQ_11_14"/>
      <w:bookmarkStart w:id="413" w:name="Tc_1eQwZ9kZNU-FgvBhSB2jFA_11_11"/>
      <w:bookmarkStart w:id="414" w:name="Tc_UYJ3evLqz0OJf9D7JhllXg_11_5"/>
      <w:bookmarkStart w:id="415" w:name="Tc_qfXXX0qThk2bH50uI0LZVw_11_2"/>
      <w:bookmarkStart w:id="416" w:name="Tc_wvY8QUJQWU2Ew4EFMbYDqQ_11_0"/>
      <w:bookmarkStart w:id="417" w:name="Tc_3mi-foZo2kGnYLl5V8c-9A_10_14"/>
      <w:bookmarkStart w:id="418" w:name="Tc_GsrIpSU4GUyaHnQ22W1GtA_10_11"/>
      <w:bookmarkStart w:id="419" w:name="Tc_j057ppvxq0G_42LnLhGHog_10_5"/>
      <w:bookmarkStart w:id="420" w:name="Tc_MvrEcWRhp0i6IN_p2gYkrg_10_2"/>
      <w:bookmarkStart w:id="421" w:name="Tc_TVnxZnpLEECb1CQf6cFVEg_10_0"/>
      <w:bookmarkStart w:id="422" w:name="Tc_Ca335c3yHkOO6L2miUo4CQ_9_14"/>
      <w:bookmarkStart w:id="423" w:name="Tc_xkT408tIHk-pn0e8HJG5LA_9_11"/>
      <w:bookmarkStart w:id="424" w:name="Tc_iNZZKZmCmkKWjEg0ZtSing_9_0"/>
      <w:bookmarkStart w:id="425" w:name="Tc_shkdvnJ72UWtc1wqUXh5jA_8_14"/>
      <w:bookmarkStart w:id="426" w:name="Tc_YTf187Y28EeyVef1IX1xqw_8_11"/>
      <w:bookmarkStart w:id="427" w:name="Tc_MjULfsAAmU2MsE7ZFB_KNA_8_0"/>
      <w:bookmarkStart w:id="428" w:name="Tc_TaUcAHkK5kqbN5jptmO5HA_7_17"/>
      <w:bookmarkStart w:id="429" w:name="Tc_HNVIRouVOUuqcHG4yX3m9w_7_14"/>
      <w:bookmarkStart w:id="430" w:name="Tc_qAFPkhP1qki5rwf5psxqqw_7_11"/>
      <w:bookmarkStart w:id="431" w:name="Tc_WHmnV7VaoUa1vufImvsf1A_7_8"/>
      <w:bookmarkStart w:id="432" w:name="Tc_HTycyB_Q3k2vlBLgysB0cQ_7_5"/>
      <w:bookmarkStart w:id="433" w:name="Tc_DUSO6YzYFUmhhExZL7vg-w_7_0"/>
      <w:bookmarkStart w:id="434" w:name="Tc_JMb1WXGRqUygRmmDeEMmcQ_6_14"/>
      <w:bookmarkStart w:id="435" w:name="Tc_LeKYcII6A06VN30kl5fMwg_6_11"/>
      <w:bookmarkStart w:id="436" w:name="Tc_Xhpn1M4TP0m5V8UE1Mh9RQ_6_5"/>
      <w:bookmarkStart w:id="437" w:name="Tc_7OHvOPhHi0aMgheaYVppPA_6_0"/>
      <w:bookmarkStart w:id="438" w:name="Tc_MzMzDMzHQUCOGUpXOF0RdQ_5_16"/>
      <w:bookmarkStart w:id="439" w:name="Tc_vtMAjt4aEEiph87oTeVMFg_5_13"/>
      <w:bookmarkStart w:id="440" w:name="Tc_mAGtq94hB0q4Es2aAWlmbQ_5_10"/>
      <w:bookmarkStart w:id="441" w:name="Tc_36wLo0sZSUmv5UEggE9u5A_5_7"/>
      <w:bookmarkStart w:id="442" w:name="Tc_GK27WiMnpkW9SCpRyNbL5Q_5_4"/>
      <w:bookmarkStart w:id="443" w:name="Tc_32dfkuwMokSg634TXNojrg_5_0"/>
      <w:bookmarkStart w:id="444" w:name="Tc_rkuXJvMV702sscVKkUsdUQ_4_16"/>
      <w:bookmarkStart w:id="445" w:name="Tc_FZPYFfGXsEqc92DON_ec6A_4_13"/>
      <w:bookmarkStart w:id="446" w:name="Tc_aqZl5Gt0EEabrts_4tyBvA_4_10"/>
      <w:bookmarkStart w:id="447" w:name="Tc_rBZE5H8I9Uyw6Rjp7HI1uQ_4_7"/>
      <w:bookmarkStart w:id="448" w:name="Tc_xh2TbXNXiEirR9_ma6IEAA_4_4"/>
      <w:bookmarkStart w:id="449" w:name="Tc_XH5Lats_pkifWa2y0ba64A_4_2"/>
      <w:bookmarkStart w:id="450" w:name="Tc_Bb8Wo70G20qG7aNguorjGQ_3_16"/>
      <w:bookmarkStart w:id="451" w:name="Tc_ETDhnEXZikOgk3hPkEGqiQ_3_13"/>
      <w:bookmarkStart w:id="452" w:name="Tc_gFZCUTzW40SsgBkPrU6j_A_3_10"/>
      <w:bookmarkStart w:id="453" w:name="Tc_Ov5z9q7qIka7OKNO0tmLOw_3_7"/>
      <w:bookmarkStart w:id="454" w:name="Tc_KptIJBDh_EOawiH_lTeagw_3_2"/>
      <w:bookmarkStart w:id="455" w:name="Tc_gRuiEJUs10O7gTVE7YKpyQ_2_16"/>
      <w:bookmarkStart w:id="456" w:name="Tc_5LFQFtFvkESwC7hhNnETqA_2_10"/>
      <w:bookmarkStart w:id="457" w:name="Tc_TpJ5pasYkkyZzUU3FwgCkw_2_7"/>
      <w:bookmarkStart w:id="458" w:name="Tc_F26IDpaxwkGmUm3X-JkObQ_1_10"/>
      <w:bookmarkStart w:id="459" w:name="_bf4af31f_e5b3_42cc_bcea_2466964dec9c"/>
      <w:bookmarkStart w:id="460" w:name="Tc_ca3yDeRKzkixZWM4benguA_14_16"/>
      <w:bookmarkStart w:id="461" w:name="Tc_LjgIBy8Wuk-tim-SWJrd4w_14_13"/>
      <w:bookmarkStart w:id="462" w:name="Tc_hEMNOnAoRE2RuJ9Qdu1yYw_14_10"/>
      <w:bookmarkStart w:id="463" w:name="Tc_8Raew7mXlUi3izCkVjKZkA_14_7"/>
      <w:bookmarkStart w:id="464" w:name="Tc_OEEWMbUXbkCrOhspzAoFqg_14_4"/>
      <w:bookmarkStart w:id="465" w:name="Tc_9rx5QVSY8UCqm41DsoPk4g_14_0"/>
      <w:bookmarkStart w:id="466" w:name="Tc_BRx4szRxzUeXtxg8AxOzyQ_13_11"/>
      <w:bookmarkStart w:id="467" w:name="Tc_PeRejWuUtk6zRAn8DRIgVg_13_8"/>
      <w:bookmarkStart w:id="468" w:name="Tc_3kjUdzLPoEWfE3fVNzTKyw_13_5"/>
      <w:bookmarkStart w:id="469" w:name="Tc_WD7CFhdbjkKG-znavLl6tQ_13_2"/>
      <w:bookmarkStart w:id="470" w:name="Tc_Aihu9_g_EEGcOGDXUkhRTQ_13_0"/>
      <w:bookmarkStart w:id="471" w:name="Tc_0hdZhnzvWEmuKGmvYo-N0w_12_14"/>
      <w:bookmarkStart w:id="472" w:name="Tc_SIvVXXAjAUal7yGHkgC2xQ_12_8"/>
      <w:bookmarkStart w:id="473" w:name="Tc_m0XJB1F2l0OyYLo4K1y98A_12_5"/>
      <w:bookmarkStart w:id="474" w:name="Tc_5Z7J0iHpqEW259XajIS2ng_12_2"/>
      <w:bookmarkStart w:id="475" w:name="Tc_sL5XkSjJUU6iAXQseHC87w_12_0"/>
      <w:bookmarkStart w:id="476" w:name="Tc_E1esSrDhRE-TRPOzf4dkcA_11_14"/>
      <w:bookmarkStart w:id="477" w:name="Tc_F7Tnfg3SskuvL2bVnEDslQ_11_8"/>
      <w:bookmarkStart w:id="478" w:name="Tc_U48YFMjZTUuXNuvtRwYoDA_11_5"/>
      <w:bookmarkStart w:id="479" w:name="Tc_nPDfuHi_lEiKf5Cr1P45vw_11_2"/>
      <w:bookmarkStart w:id="480" w:name="Tc_ZmjHUMWNZECMjt_iV36tCw_11_0"/>
      <w:bookmarkStart w:id="481" w:name="Tc_nbao099YlESDxvBFMlBV0g_10_14"/>
      <w:bookmarkStart w:id="482" w:name="Tc_Hkigq8mkukSiSuOAn2LBtA_10_11"/>
      <w:bookmarkStart w:id="483" w:name="Tc_57fMcoxPSkO2I2jWu-Dlcw_10_5"/>
      <w:bookmarkStart w:id="484" w:name="Tc_X36nfKuEvUOwIMjnB-z-4Q_10_2"/>
      <w:bookmarkStart w:id="485" w:name="Tc_H8VflvmRTU6Y--AsojKINg_10_0"/>
      <w:bookmarkStart w:id="486" w:name="Tc_oPMeIQ-Pa0qqzgQHqvplPQ_9_14"/>
      <w:bookmarkStart w:id="487" w:name="Tc_UtkxRR8QAEqiCeOD8SKttA_9_11"/>
      <w:bookmarkStart w:id="488" w:name="Tc_wkM1Nyro7UqnezRl_gUG3w_9_5"/>
      <w:bookmarkStart w:id="489" w:name="Tc_kPN0tKIN_0K_x2YgyZ91Lw_9_2"/>
      <w:bookmarkStart w:id="490" w:name="Tc_FG-tHx-eVEWTnvVR4KXelQ_9_0"/>
      <w:bookmarkStart w:id="491" w:name="Tc_gwbc0AtixkSGTyB4TKrvag_8_14"/>
      <w:bookmarkStart w:id="492" w:name="Tc_IldqqAOzcEWE3GGkiD1ZaQ_8_11"/>
      <w:bookmarkStart w:id="493" w:name="Tc_WZMK0ddkYkKa32A19CAD6A_8_0"/>
      <w:bookmarkStart w:id="494" w:name="Tc_T4zDj1uMG0yTpHgauMCy6g_7_17"/>
      <w:bookmarkStart w:id="495" w:name="Tc_jNvqeFZpnUyFKOV2d9AR6A_7_14"/>
      <w:bookmarkStart w:id="496" w:name="Tc_MyBztLOWUEi3sfedeOf_sg_7_11"/>
      <w:bookmarkStart w:id="497" w:name="Tc_k3WWyifhK0Om3wdHMe8GJg_7_8"/>
      <w:bookmarkStart w:id="498" w:name="Tc_FYfUc4BOSkuORgwrYZJqgA_7_5"/>
      <w:bookmarkStart w:id="499" w:name="Tc_MKOZKqXg00eWLZ9jcwnN0w_7_0"/>
      <w:bookmarkStart w:id="500" w:name="Tc_dMbniiUMI0iRx_s01nrszQ_6_14"/>
      <w:bookmarkStart w:id="501" w:name="Tc_9xKpZvkOW0Krh8nfRHZyHA_6_11"/>
      <w:bookmarkStart w:id="502" w:name="Tc_SEV1SKxK00iknOgvqwYP4Q_6_5"/>
      <w:bookmarkStart w:id="503" w:name="Tc_xRFNz8IdgUyBXGoUsxmZ8A_6_0"/>
      <w:bookmarkStart w:id="504" w:name="Tc_lYzR2bOGUEaMJ67sJk2-uw_5_16"/>
      <w:bookmarkStart w:id="505" w:name="Tc_EVoi7KY3m0uQBtI3k3AHyQ_5_13"/>
      <w:bookmarkStart w:id="506" w:name="Tc_xoxzz47qI0yxLViCurE1_g_5_10"/>
      <w:bookmarkStart w:id="507" w:name="Tc_nnt6Yb8T2UydvfMqHo_kSQ_5_7"/>
      <w:bookmarkStart w:id="508" w:name="Tc_MIpn4Ju0TEWZQii8ZJGNXA_5_4"/>
      <w:bookmarkStart w:id="509" w:name="Tc_XEU8Trn6_kmCPVVtbgpXrw_5_0"/>
      <w:bookmarkStart w:id="510" w:name="Tc_JJP8JA4xskS3PObOqhRCmg_4_16"/>
      <w:bookmarkStart w:id="511" w:name="Tc_dw1lRpOeTUW2GzJtRxmvcw_4_13"/>
      <w:bookmarkStart w:id="512" w:name="Tc_vG4yjtojwk-Rx0lW095viw_4_10"/>
      <w:bookmarkStart w:id="513" w:name="Tc_HLyBtUHF9EW52OoFyKXeAw_4_7"/>
      <w:bookmarkStart w:id="514" w:name="Tc_UUw-lr1hMk2kQRnjju41EQ_4_4"/>
      <w:bookmarkStart w:id="515" w:name="Tc_Dk6bZMTb5EOXysNZ8agtJw_4_2"/>
      <w:bookmarkStart w:id="516" w:name="Tc_biJb7QwgGEyx_KovFjEsfw_3_16"/>
      <w:bookmarkStart w:id="517" w:name="Tc_LR9ZWKcTSU-MI-uYahVDxQ_3_13"/>
      <w:bookmarkStart w:id="518" w:name="Tc_XhYJr8H4nU2Ol6qdm_eLeA_3_10"/>
      <w:bookmarkStart w:id="519" w:name="Tc_QZbq88xE9EW4b86Xu5QWug_3_7"/>
      <w:bookmarkStart w:id="520" w:name="Tc_yW8X2oTQvE2Y0SicwN-1og_3_2"/>
      <w:bookmarkStart w:id="521" w:name="Tc_70OPWGzSJE6FNFs6_OwIWA_2_16"/>
      <w:bookmarkStart w:id="522" w:name="Tc_EpDGnEk-fESbPcfw00G8wA_2_10"/>
      <w:bookmarkStart w:id="523" w:name="Tc_AFB9pBFb6UiIPhXnVuRqZg_2_7"/>
      <w:bookmarkStart w:id="524" w:name="Tc_VkMoLv76gEqh4uJ6cv_OHg_1_10"/>
      <w:bookmarkStart w:id="525" w:name="_bc6280c9_fad7_4828_9e7f_5e6b13a79e41"/>
      <w:bookmarkStart w:id="526" w:name="Tc_R4CBx1NvK022g1FR-ybhOA_15_16"/>
      <w:bookmarkStart w:id="527" w:name="Tc_7v1jUWjJHkiVKWT35TJsqg_15_13"/>
      <w:bookmarkStart w:id="528" w:name="Tc_IR4iiyn8fUuoEdNZz52y6Q_15_10"/>
      <w:bookmarkStart w:id="529" w:name="Tc__17jZSE-DkaMjSV4qlS3dw_15_7"/>
      <w:bookmarkStart w:id="530" w:name="Tc_mlY02_AtrEGHlxUleEseTA_15_4"/>
      <w:bookmarkStart w:id="531" w:name="Tc_GsMMFDF3kkGW9OL5SyQiNA_15_0"/>
      <w:bookmarkStart w:id="532" w:name="Tc_YGB1flN7lEGAOMa0odSzaw_14_11"/>
      <w:bookmarkStart w:id="533" w:name="Tc_8l1oBkR_UEyJMmHSo5F1Dg_14_8"/>
      <w:bookmarkStart w:id="534" w:name="Tc_tDdyBZkvS0WDoJed2gcy-Q_14_5"/>
      <w:bookmarkStart w:id="535" w:name="Tc_DJqpH6A7GkyFibBKZ1FxpQ_14_2"/>
      <w:bookmarkStart w:id="536" w:name="Tc_AhBHKW5KW06GSZtY2h6-sQ_14_0"/>
      <w:bookmarkStart w:id="537" w:name="Tc_pbhnb_pkBUyuVyPeBi0ISg_13_14"/>
      <w:bookmarkStart w:id="538" w:name="Tc_-fScA50gF0yM2Uk_9xe-8A_13_8"/>
      <w:bookmarkStart w:id="539" w:name="Tc_KogOGl_brEq0UkF1w9GVGQ_13_5"/>
      <w:bookmarkStart w:id="540" w:name="Tc_y1fPut22ikWRqbLD3xcxNw_13_2"/>
      <w:bookmarkStart w:id="541" w:name="Tc_P14qwwNiu0GpEVnFTIpyfA_13_0"/>
      <w:bookmarkStart w:id="542" w:name="Tc_CMwsnn4BXEm5S4GAGgFR-w_12_14"/>
      <w:bookmarkStart w:id="543" w:name="Tc_FMYYZWV1y0q4h8f7kcGdWw_12_8"/>
      <w:bookmarkStart w:id="544" w:name="Tc_eFHlNbvPWUK6_R4emhw_8Q_12_5"/>
      <w:bookmarkStart w:id="545" w:name="Tc_rzCXBDAatESGzgWjH-JD8g_12_2"/>
      <w:bookmarkStart w:id="546" w:name="Tc_3Lq4c4b4C0-e46LgLN7qLw_12_0"/>
      <w:bookmarkStart w:id="547" w:name="Tc_DrA0ntjlvUWre7noI7eXyQ_11_14"/>
      <w:bookmarkStart w:id="548" w:name="Tc_1eQwZ9kZNU-FgvBhSB2jFA_11_11"/>
      <w:bookmarkStart w:id="549" w:name="Tc_UYJ3evLqz0OJf9D7JhllXg_11_5"/>
      <w:bookmarkStart w:id="550" w:name="Tc_qfXXX0qThk2bH50uI0LZVw_11_2"/>
      <w:bookmarkStart w:id="551" w:name="Tc_wvY8QUJQWU2Ew4EFMbYDqQ_11_0"/>
      <w:bookmarkStart w:id="552" w:name="Tc_3mi-foZo2kGnYLl5V8c-9A_10_14"/>
      <w:bookmarkStart w:id="553" w:name="Tc_GsrIpSU4GUyaHnQ22W1GtA_10_11"/>
      <w:bookmarkStart w:id="554" w:name="Tc_j057ppvxq0G_42LnLhGHog_10_5"/>
      <w:bookmarkStart w:id="555" w:name="Tc_MvrEcWRhp0i6IN_p2gYkrg_10_2"/>
      <w:bookmarkStart w:id="556" w:name="Tc_TVnxZnpLEECb1CQf6cFVEg_10_0"/>
      <w:bookmarkStart w:id="557" w:name="Tc_Ca335c3yHkOO6L2miUo4CQ_9_14"/>
      <w:bookmarkStart w:id="558" w:name="Tc_xkT408tIHk-pn0e8HJG5LA_9_11"/>
      <w:bookmarkStart w:id="559" w:name="Tc_iNZZKZmCmkKWjEg0ZtSing_9_0"/>
      <w:bookmarkStart w:id="560" w:name="Tc_shkdvnJ72UWtc1wqUXh5jA_8_14"/>
      <w:bookmarkStart w:id="561" w:name="Tc_YTf187Y28EeyVef1IX1xqw_8_11"/>
      <w:bookmarkStart w:id="562" w:name="Tc_MjULfsAAmU2MsE7ZFB_KNA_8_0"/>
      <w:bookmarkStart w:id="563" w:name="Tc_TaUcAHkK5kqbN5jptmO5HA_7_17"/>
      <w:bookmarkStart w:id="564" w:name="Tc_HNVIRouVOUuqcHG4yX3m9w_7_14"/>
      <w:bookmarkStart w:id="565" w:name="Tc_qAFPkhP1qki5rwf5psxqqw_7_11"/>
      <w:bookmarkStart w:id="566" w:name="Tc_WHmnV7VaoUa1vufImvsf1A_7_8"/>
      <w:bookmarkStart w:id="567" w:name="Tc_HTycyB_Q3k2vlBLgysB0cQ_7_5"/>
      <w:bookmarkStart w:id="568" w:name="Tc_DUSO6YzYFUmhhExZL7vg-w_7_0"/>
      <w:bookmarkStart w:id="569" w:name="Tc_JMb1WXGRqUygRmmDeEMmcQ_6_14"/>
      <w:bookmarkStart w:id="570" w:name="Tc_LeKYcII6A06VN30kl5fMwg_6_11"/>
      <w:bookmarkStart w:id="571" w:name="Tc_Xhpn1M4TP0m5V8UE1Mh9RQ_6_5"/>
      <w:bookmarkStart w:id="572" w:name="Tc_7OHvOPhHi0aMgheaYVppPA_6_0"/>
      <w:bookmarkStart w:id="573" w:name="Tc_MzMzDMzHQUCOGUpXOF0RdQ_5_16"/>
      <w:bookmarkStart w:id="574" w:name="Tc_vtMAjt4aEEiph87oTeVMFg_5_13"/>
      <w:bookmarkStart w:id="575" w:name="Tc_mAGtq94hB0q4Es2aAWlmbQ_5_10"/>
      <w:bookmarkStart w:id="576" w:name="Tc_36wLo0sZSUmv5UEggE9u5A_5_7"/>
      <w:bookmarkStart w:id="577" w:name="Tc_GK27WiMnpkW9SCpRyNbL5Q_5_4"/>
      <w:bookmarkStart w:id="578" w:name="Tc_32dfkuwMokSg634TXNojrg_5_0"/>
      <w:bookmarkStart w:id="579" w:name="Tc_rkuXJvMV702sscVKkUsdUQ_4_16"/>
      <w:bookmarkStart w:id="580" w:name="Tc_FZPYFfGXsEqc92DON_ec6A_4_13"/>
      <w:bookmarkStart w:id="581" w:name="Tc_aqZl5Gt0EEabrts_4tyBvA_4_10"/>
      <w:bookmarkStart w:id="582" w:name="Tc_rBZE5H8I9Uyw6Rjp7HI1uQ_4_7"/>
      <w:bookmarkStart w:id="583" w:name="Tc_xh2TbXNXiEirR9_ma6IEAA_4_4"/>
      <w:bookmarkStart w:id="584" w:name="Tc_XH5Lats_pkifWa2y0ba64A_4_2"/>
      <w:bookmarkStart w:id="585" w:name="Tc_Bb8Wo70G20qG7aNguorjGQ_3_16"/>
      <w:bookmarkStart w:id="586" w:name="Tc_ETDhnEXZikOgk3hPkEGqiQ_3_13"/>
      <w:bookmarkStart w:id="587" w:name="Tc_gFZCUTzW40SsgBkPrU6j_A_3_10"/>
      <w:bookmarkStart w:id="588" w:name="Tc_Ov5z9q7qIka7OKNO0tmLOw_3_7"/>
      <w:bookmarkStart w:id="589" w:name="Tc_KptIJBDh_EOawiH_lTeagw_3_2"/>
      <w:bookmarkStart w:id="590" w:name="Tc_gRuiEJUs10O7gTVE7YKpyQ_2_16"/>
      <w:bookmarkStart w:id="591" w:name="Tc_5LFQFtFvkESwC7hhNnETqA_2_10"/>
      <w:bookmarkStart w:id="592" w:name="Tc_TpJ5pasYkkyZzUU3FwgCkw_2_7"/>
      <w:bookmarkStart w:id="593" w:name="Tc_F26IDpaxwkGmUm3X-JkObQ_1_10"/>
      <w:bookmarkStart w:id="594" w:name="_bf4af31f_e5b3_42cc_bcea_2466964dec9c"/>
      <w:bookmarkStart w:id="595" w:name="Tc_ca3yDeRKzkixZWM4benguA_14_16"/>
      <w:bookmarkStart w:id="596" w:name="Tc_LjgIBy8Wuk-tim-SWJrd4w_14_13"/>
      <w:bookmarkStart w:id="597" w:name="Tc_hEMNOnAoRE2RuJ9Qdu1yYw_14_10"/>
      <w:bookmarkStart w:id="598" w:name="Tc_8Raew7mXlUi3izCkVjKZkA_14_7"/>
      <w:bookmarkStart w:id="599" w:name="Tc_OEEWMbUXbkCrOhspzAoFqg_14_4"/>
      <w:bookmarkStart w:id="600" w:name="Tc_9rx5QVSY8UCqm41DsoPk4g_14_0"/>
      <w:bookmarkStart w:id="601" w:name="Tc_BRx4szRxzUeXtxg8AxOzyQ_13_11"/>
      <w:bookmarkStart w:id="602" w:name="Tc_PeRejWuUtk6zRAn8DRIgVg_13_8"/>
      <w:bookmarkStart w:id="603" w:name="Tc_3kjUdzLPoEWfE3fVNzTKyw_13_5"/>
      <w:bookmarkStart w:id="604" w:name="Tc_WD7CFhdbjkKG-znavLl6tQ_13_2"/>
      <w:bookmarkStart w:id="605" w:name="Tc_Aihu9_g_EEGcOGDXUkhRTQ_13_0"/>
      <w:bookmarkStart w:id="606" w:name="Tc_0hdZhnzvWEmuKGmvYo-N0w_12_14"/>
      <w:bookmarkStart w:id="607" w:name="Tc_SIvVXXAjAUal7yGHkgC2xQ_12_8"/>
      <w:bookmarkStart w:id="608" w:name="Tc_m0XJB1F2l0OyYLo4K1y98A_12_5"/>
      <w:bookmarkStart w:id="609" w:name="Tc_5Z7J0iHpqEW259XajIS2ng_12_2"/>
      <w:bookmarkStart w:id="610" w:name="Tc_sL5XkSjJUU6iAXQseHC87w_12_0"/>
      <w:bookmarkStart w:id="611" w:name="Tc_E1esSrDhRE-TRPOzf4dkcA_11_14"/>
      <w:bookmarkStart w:id="612" w:name="Tc_F7Tnfg3SskuvL2bVnEDslQ_11_8"/>
      <w:bookmarkStart w:id="613" w:name="Tc_U48YFMjZTUuXNuvtRwYoDA_11_5"/>
      <w:bookmarkStart w:id="614" w:name="Tc_nPDfuHi_lEiKf5Cr1P45vw_11_2"/>
      <w:bookmarkStart w:id="615" w:name="Tc_ZmjHUMWNZECMjt_iV36tCw_11_0"/>
      <w:bookmarkStart w:id="616" w:name="Tc_nbao099YlESDxvBFMlBV0g_10_14"/>
      <w:bookmarkStart w:id="617" w:name="Tc_Hkigq8mkukSiSuOAn2LBtA_10_11"/>
      <w:bookmarkStart w:id="618" w:name="Tc_57fMcoxPSkO2I2jWu-Dlcw_10_5"/>
      <w:bookmarkStart w:id="619" w:name="Tc_X36nfKuEvUOwIMjnB-z-4Q_10_2"/>
      <w:bookmarkStart w:id="620" w:name="Tc_H8VflvmRTU6Y--AsojKINg_10_0"/>
      <w:bookmarkStart w:id="621" w:name="Tc_oPMeIQ-Pa0qqzgQHqvplPQ_9_14"/>
      <w:bookmarkStart w:id="622" w:name="Tc_UtkxRR8QAEqiCeOD8SKttA_9_11"/>
      <w:bookmarkStart w:id="623" w:name="Tc_wkM1Nyro7UqnezRl_gUG3w_9_5"/>
      <w:bookmarkStart w:id="624" w:name="Tc_kPN0tKIN_0K_x2YgyZ91Lw_9_2"/>
      <w:bookmarkStart w:id="625" w:name="Tc_FG-tHx-eVEWTnvVR4KXelQ_9_0"/>
      <w:bookmarkStart w:id="626" w:name="Tc_gwbc0AtixkSGTyB4TKrvag_8_14"/>
      <w:bookmarkStart w:id="627" w:name="Tc_IldqqAOzcEWE3GGkiD1ZaQ_8_11"/>
      <w:bookmarkStart w:id="628" w:name="Tc_WZMK0ddkYkKa32A19CAD6A_8_0"/>
      <w:bookmarkStart w:id="629" w:name="Tc_T4zDj1uMG0yTpHgauMCy6g_7_17"/>
      <w:bookmarkStart w:id="630" w:name="Tc_jNvqeFZpnUyFKOV2d9AR6A_7_14"/>
      <w:bookmarkStart w:id="631" w:name="Tc_MyBztLOWUEi3sfedeOf_sg_7_11"/>
      <w:bookmarkStart w:id="632" w:name="Tc_k3WWyifhK0Om3wdHMe8GJg_7_8"/>
      <w:bookmarkStart w:id="633" w:name="Tc_FYfUc4BOSkuORgwrYZJqgA_7_5"/>
      <w:bookmarkStart w:id="634" w:name="Tc_MKOZKqXg00eWLZ9jcwnN0w_7_0"/>
      <w:bookmarkStart w:id="635" w:name="Tc_dMbniiUMI0iRx_s01nrszQ_6_14"/>
      <w:bookmarkStart w:id="636" w:name="Tc_9xKpZvkOW0Krh8nfRHZyHA_6_11"/>
      <w:bookmarkStart w:id="637" w:name="Tc_SEV1SKxK00iknOgvqwYP4Q_6_5"/>
      <w:bookmarkStart w:id="638" w:name="Tc_xRFNz8IdgUyBXGoUsxmZ8A_6_0"/>
      <w:bookmarkStart w:id="639" w:name="Tc_lYzR2bOGUEaMJ67sJk2-uw_5_16"/>
      <w:bookmarkStart w:id="640" w:name="Tc_EVoi7KY3m0uQBtI3k3AHyQ_5_13"/>
      <w:bookmarkStart w:id="641" w:name="Tc_xoxzz47qI0yxLViCurE1_g_5_10"/>
      <w:bookmarkStart w:id="642" w:name="Tc_nnt6Yb8T2UydvfMqHo_kSQ_5_7"/>
      <w:bookmarkStart w:id="643" w:name="Tc_MIpn4Ju0TEWZQii8ZJGNXA_5_4"/>
      <w:bookmarkStart w:id="644" w:name="Tc_XEU8Trn6_kmCPVVtbgpXrw_5_0"/>
      <w:bookmarkStart w:id="645" w:name="Tc_JJP8JA4xskS3PObOqhRCmg_4_16"/>
      <w:bookmarkStart w:id="646" w:name="Tc_dw1lRpOeTUW2GzJtRxmvcw_4_13"/>
      <w:bookmarkStart w:id="647" w:name="Tc_vG4yjtojwk-Rx0lW095viw_4_10"/>
      <w:bookmarkStart w:id="648" w:name="Tc_HLyBtUHF9EW52OoFyKXeAw_4_7"/>
      <w:bookmarkStart w:id="649" w:name="Tc_UUw-lr1hMk2kQRnjju41EQ_4_4"/>
      <w:bookmarkStart w:id="650" w:name="Tc_Dk6bZMTb5EOXysNZ8agtJw_4_2"/>
      <w:bookmarkStart w:id="651" w:name="Tc_biJb7QwgGEyx_KovFjEsfw_3_16"/>
      <w:bookmarkStart w:id="652" w:name="Tc_LR9ZWKcTSU-MI-uYahVDxQ_3_13"/>
      <w:bookmarkStart w:id="653" w:name="Tc_XhYJr8H4nU2Ol6qdm_eLeA_3_10"/>
      <w:bookmarkStart w:id="654" w:name="Tc_QZbq88xE9EW4b86Xu5QWug_3_7"/>
      <w:bookmarkStart w:id="655" w:name="Tc_yW8X2oTQvE2Y0SicwN-1og_3_2"/>
      <w:bookmarkStart w:id="656" w:name="Tc_70OPWGzSJE6FNFs6_OwIWA_2_16"/>
      <w:bookmarkStart w:id="657" w:name="Tc_EpDGnEk-fESbPcfw00G8wA_2_10"/>
      <w:bookmarkStart w:id="658" w:name="Tc_AFB9pBFb6UiIPhXnVuRqZg_2_7"/>
      <w:bookmarkStart w:id="659" w:name="Tc_VkMoLv76gEqh4uJ6cv_OHg_1_10"/>
      <w:bookmarkStart w:id="660" w:name="_bc6280c9_fad7_4828_9e7f_5e6b13a79e41"/>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3287" w:type="dxa"/>
        <w:jc w:val="left"/>
        <w:tblInd w:w="0" w:type="dxa"/>
        <w:tblLayout w:type="fixed"/>
        <w:tblCellMar>
          <w:top w:w="0" w:type="dxa"/>
          <w:left w:w="0" w:type="dxa"/>
          <w:bottom w:w="0" w:type="dxa"/>
          <w:right w:w="0" w:type="dxa"/>
        </w:tblCellMar>
      </w:tblPr>
      <w:tblGrid>
        <w:gridCol w:w="346"/>
        <w:gridCol w:w="29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Changes in Stockholders’ Equity </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2024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0"/>
        <w:gridCol w:w="326"/>
        <w:gridCol w:w="781"/>
        <w:gridCol w:w="326"/>
        <w:gridCol w:w="335"/>
        <w:gridCol w:w="356"/>
        <w:gridCol w:w="326"/>
        <w:gridCol w:w="326"/>
        <w:gridCol w:w="781"/>
        <w:gridCol w:w="326"/>
        <w:gridCol w:w="404"/>
        <w:gridCol w:w="812"/>
        <w:gridCol w:w="326"/>
        <w:gridCol w:w="211"/>
        <w:gridCol w:w="848"/>
        <w:gridCol w:w="326"/>
        <w:gridCol w:w="326"/>
        <w:gridCol w:w="899"/>
      </w:tblGrid>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2725" cy="175260"/>
                      <wp:effectExtent l="0" t="0" r="0" b="0"/>
                      <wp:wrapNone/>
                      <wp:docPr id="50" name="Frame5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6060" cy="175260"/>
                      <wp:effectExtent l="0" t="0" r="0" b="0"/>
                      <wp:wrapNone/>
                      <wp:docPr id="51" name="Frame5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4"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56540" cy="175260"/>
                      <wp:effectExtent l="0" t="0" r="0" b="0"/>
                      <wp:wrapNone/>
                      <wp:docPr id="56" name="Frame5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15620" cy="175260"/>
                      <wp:effectExtent l="0" t="0" r="0" b="0"/>
                      <wp:wrapNone/>
                      <wp:docPr id="57" name="Frame5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8480" cy="175260"/>
                      <wp:effectExtent l="0" t="0" r="0" b="0"/>
                      <wp:wrapNone/>
                      <wp:docPr id="60" name="Frame60"/>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0865" cy="175260"/>
                      <wp:effectExtent l="0" t="0" r="0" b="0"/>
                      <wp:wrapNone/>
                      <wp:docPr id="63" name="Frame6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center"/>
              <w:rPr/>
            </w:pPr>
            <w:r>
              <w:rPr/>
              <w:t>​</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165,311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489,955</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(374,532)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115,577</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pPr>
            <w:r>
              <w:rPr/>
              <w:t>—</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12,777</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15,801</w:t>
            </w:r>
          </w:p>
        </w:tc>
        <w:tc>
          <w:tcPr>
            <w:tcW w:w="326"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15,802</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(12,421)</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179,597</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vAlign w:val="center"/>
          </w:tcPr>
          <w:p>
            <w:pPr>
              <w:pStyle w:val="TableContents"/>
              <w:bidi w:val="0"/>
              <w:spacing w:before="0"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122,158</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1"/>
        <w:gridCol w:w="326"/>
        <w:gridCol w:w="781"/>
        <w:gridCol w:w="326"/>
        <w:gridCol w:w="335"/>
        <w:gridCol w:w="356"/>
        <w:gridCol w:w="326"/>
        <w:gridCol w:w="326"/>
        <w:gridCol w:w="781"/>
        <w:gridCol w:w="326"/>
        <w:gridCol w:w="370"/>
        <w:gridCol w:w="846"/>
        <w:gridCol w:w="326"/>
        <w:gridCol w:w="211"/>
        <w:gridCol w:w="849"/>
        <w:gridCol w:w="326"/>
        <w:gridCol w:w="326"/>
        <w:gridCol w:w="897"/>
      </w:tblGrid>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2725" cy="175260"/>
                      <wp:effectExtent l="0" t="0" r="0" b="0"/>
                      <wp:wrapNone/>
                      <wp:docPr id="67" name="Frame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6060" cy="175260"/>
                      <wp:effectExtent l="0" t="0" r="0" b="0"/>
                      <wp:wrapNone/>
                      <wp:docPr id="68" name="Frame6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34950" cy="175260"/>
                      <wp:effectExtent l="0" t="0" r="0" b="0"/>
                      <wp:wrapNone/>
                      <wp:docPr id="73" name="Frame7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7210" cy="175260"/>
                      <wp:effectExtent l="0" t="0" r="0" b="0"/>
                      <wp:wrapNone/>
                      <wp:docPr id="74" name="Frame7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39115" cy="175260"/>
                      <wp:effectExtent l="0" t="0" r="0" b="0"/>
                      <wp:wrapNone/>
                      <wp:docPr id="77" name="Frame77"/>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9595" cy="175260"/>
                      <wp:effectExtent l="0" t="0" r="0" b="0"/>
                      <wp:wrapNone/>
                      <wp:docPr id="80" name="Frame80"/>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center"/>
              <w:rPr/>
            </w:pPr>
            <w:r>
              <w:rPr/>
              <w:t>​</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147,066</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463,089</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(353,759)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2,801</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10,057</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19,423</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26,831</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26,833</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6,278</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6,278</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(33,194)</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(33,194)</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179,597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122,158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661" w:name="Tc_WWGdymqE-0yISLrkS3_oXA_15_16"/>
      <w:bookmarkStart w:id="662" w:name="Tc_EUC6-tT-BEOPZpyBugy6Vg_15_13"/>
      <w:bookmarkStart w:id="663" w:name="Tc_i8Uy5nHqLEuZIHZXCGSaoA_15_10"/>
      <w:bookmarkStart w:id="664" w:name="Tc_QFNq9IKb8k-LE5iB_gQakQ_15_7"/>
      <w:bookmarkStart w:id="665" w:name="Tc_Zq-cfyJ7YU6LV9_S3mHM6g_15_4"/>
      <w:bookmarkStart w:id="666" w:name="Tc_qU4Bp36G2UCgXc19cZvh9w_15_0"/>
      <w:bookmarkStart w:id="667" w:name="Tc_WwmhYTTTLEiRWtVItlxI5A_14_11"/>
      <w:bookmarkStart w:id="668" w:name="Tc_e5lnwVi2QUO8AYJvTyfvjQ_14_8"/>
      <w:bookmarkStart w:id="669" w:name="Tc_VBxbWtvsxkqqxXg0oia5Xg_14_5"/>
      <w:bookmarkStart w:id="670" w:name="Tc_GDcdiIr7SUOxt71EiCc9sA_14_2"/>
      <w:bookmarkStart w:id="671" w:name="Tc_giuZfWoFJ0CHbPa14NK-0w_14_0"/>
      <w:bookmarkStart w:id="672" w:name="Tc_toyuJOcY2Ue2FSLzg34KMw_13_14"/>
      <w:bookmarkStart w:id="673" w:name="Tc_j3_YiXb25UWkg1MMcMBw1Q_13_8"/>
      <w:bookmarkStart w:id="674" w:name="Tc_kszdP4gKTkSWdHhckWPhgg_13_5"/>
      <w:bookmarkStart w:id="675" w:name="Tc_j1VSAGstx064NT_rPdHApw_13_2"/>
      <w:bookmarkStart w:id="676" w:name="Tc_u4vbsLtQRU6nuBQbB8Jk4g_13_0"/>
      <w:bookmarkStart w:id="677" w:name="Tc_vkmvm8wsQ06eZHd2icMWdg_12_14"/>
      <w:bookmarkStart w:id="678" w:name="Tc_9X0I6L5og0uy21TBuuQs3g_12_8"/>
      <w:bookmarkStart w:id="679" w:name="Tc_WjNZ4wAZsE6ztuAb_MbUmQ_12_5"/>
      <w:bookmarkStart w:id="680" w:name="Tc_cGD91RrHm0GB2D1ZM1dApA_12_2"/>
      <w:bookmarkStart w:id="681" w:name="Tc_27VLAdS9n0aum-rkUB8F8g_12_0"/>
      <w:bookmarkStart w:id="682" w:name="Tc_ATmzQlNHKEO8BQzBZWDojQ_11_14"/>
      <w:bookmarkStart w:id="683" w:name="Tc_nbS1N9XctEqTO8VRw9rlwA_11_11"/>
      <w:bookmarkStart w:id="684" w:name="Tc_vpcgcxcgcUqB8pj9ojTblQ_11_5"/>
      <w:bookmarkStart w:id="685" w:name="Tc_4fWumdHwX0-7PgWdkq_wEQ_11_2"/>
      <w:bookmarkStart w:id="686" w:name="Tc_IZlciq4YHk-BTRR0yBSNmg_11_0"/>
      <w:bookmarkStart w:id="687" w:name="Tc_3Yb9FgWyz0q9_lEco0BfOQ_10_14"/>
      <w:bookmarkStart w:id="688" w:name="Tc_UU7mzvs4C0igMvpXtJkBvw_10_11"/>
      <w:bookmarkStart w:id="689" w:name="Tc_85esHqogmU254xoz3t2Vhw_10_5"/>
      <w:bookmarkStart w:id="690" w:name="Tc_wgzvHYA7CEO56wXSWX2ICw_10_2"/>
      <w:bookmarkStart w:id="691" w:name="Tc_S9-cch55_kiwy4ZzI2LwQw_10_0"/>
      <w:bookmarkStart w:id="692" w:name="Tc_iQn08hXxNkuTWHlPIHfHjg_9_14"/>
      <w:bookmarkStart w:id="693" w:name="Tc_UQZQ4g0WP02gJ__mG4QhlA_9_11"/>
      <w:bookmarkStart w:id="694" w:name="Tc_5ehaV6EhvEyuKBSUSyLoGA_9_0"/>
      <w:bookmarkStart w:id="695" w:name="Tc_vGane3Vgzku1mK3DE8Ochg_8_17"/>
      <w:bookmarkStart w:id="696" w:name="Tc_RBWIW9jKHUWSMKTkiNe6sA_8_14"/>
      <w:bookmarkStart w:id="697" w:name="Tc_WW0JeKn8Xka5XYkMVUC56w_8_11"/>
      <w:bookmarkStart w:id="698" w:name="Tc_o1uDkXWfgEW0QqNiqXkdSw_8_8"/>
      <w:bookmarkStart w:id="699" w:name="Tc_77gqvxlPUkOxnrbxHUjOmw_8_5"/>
      <w:bookmarkStart w:id="700" w:name="Tc_LlPlV1vUvU-JiltaGi62tA_8_0"/>
      <w:bookmarkStart w:id="701" w:name="Tc_BwLRaPp0aEqNqVDTamju2g_7_14"/>
      <w:bookmarkStart w:id="702" w:name="Tc_eJcG3XIDl0mzUHDfNp3j6Q_7_11"/>
      <w:bookmarkStart w:id="703" w:name="Tc_beU1qGW040mXUmh8r_nt4A_7_5"/>
      <w:bookmarkStart w:id="704" w:name="Tc_AD4pwPoXMU2-8-erKTZbZw_7_0"/>
      <w:bookmarkStart w:id="705" w:name="Tc_UEi2XQMiO028wapLurKMHg_6_14"/>
      <w:bookmarkStart w:id="706" w:name="Tc_GjqjSHMvvUChzvHHVZOsCw_6_11"/>
      <w:bookmarkStart w:id="707" w:name="Tc_b0nxmc7AsUCIYTkfKWVIfw_6_5"/>
      <w:bookmarkStart w:id="708" w:name="Tc_1exw6-m4ok6Zj9YZOh9rSg_6_0"/>
      <w:bookmarkStart w:id="709" w:name="Tc_vvkeo9SnwE-eJ_ASp0Jt4A_5_16"/>
      <w:bookmarkStart w:id="710" w:name="Tc_dtkXalX10kKKoZw39ntExA_5_13"/>
      <w:bookmarkStart w:id="711" w:name="Tc_t6g2iK3sIUW3uSnsIdIZcQ_5_10"/>
      <w:bookmarkStart w:id="712" w:name="Tc_jjNejw5ai0mtMSWTmHp6NA_5_7"/>
      <w:bookmarkStart w:id="713" w:name="Tc_k8qgpYIfpES0FhSCe_8f9w_5_4"/>
      <w:bookmarkStart w:id="714" w:name="Tc_gUM1RKWGX020hjk90v90tg_5_0"/>
      <w:bookmarkStart w:id="715" w:name="Tc_1a6BueHRxkWzUAi2tCQl_g_4_16"/>
      <w:bookmarkStart w:id="716" w:name="Tc_ORSHBM2YFkSmt-ODo8Z8eQ_4_13"/>
      <w:bookmarkStart w:id="717" w:name="Tc_-DjXvV5BKUOvXR3eLLtvSw_4_10"/>
      <w:bookmarkStart w:id="718" w:name="Tc_Pjy4yxtTOUCfPaNq9u67IQ_4_7"/>
      <w:bookmarkStart w:id="719" w:name="Tc_fUxEO3cbQEmAuRkGT3tkNg_4_4"/>
      <w:bookmarkStart w:id="720" w:name="Tc_OcCujuAs-EOKSr-iTeCIDg_4_2"/>
      <w:bookmarkStart w:id="721" w:name="Tc_cXpg_lNZ60uyy8iv_coGJQ_3_16"/>
      <w:bookmarkStart w:id="722" w:name="Tc_mrzDrM42akKERxzcKp1rbw_3_13"/>
      <w:bookmarkStart w:id="723" w:name="Tc_9q8UCGdaUEydHD7JxHFCPQ_3_10"/>
      <w:bookmarkStart w:id="724" w:name="Tc_ToXey4hoc0a5lr8bu4-Z0g_3_7"/>
      <w:bookmarkStart w:id="725" w:name="Tc_JQchKtrM80uXfN5wuD_Eew_3_2"/>
      <w:bookmarkStart w:id="726" w:name="Tc_4ed8Ufj1v06gZsNv3w6K1Q_2_16"/>
      <w:bookmarkStart w:id="727" w:name="Tc_HB-O8Zsvn0y--CJZ0jAMzQ_2_10"/>
      <w:bookmarkStart w:id="728" w:name="Tc_85FgXQtcjE2B_s5Y09CEEQ_2_7"/>
      <w:bookmarkStart w:id="729" w:name="Tc_-VeF9nb40UC7m7fvS_8IWg_1_10"/>
      <w:bookmarkStart w:id="730" w:name="_5ded4693_3b39_4ba1_94c7_3a7d76ffc073"/>
      <w:bookmarkStart w:id="731" w:name="Tc__Ar3FYGfbUu70H-ze8-fnA_14_16"/>
      <w:bookmarkStart w:id="732" w:name="Tc_0eVIpAzb9EGzaNOcfnegQw_14_13"/>
      <w:bookmarkStart w:id="733" w:name="Tc_itgMUgqkck-3u0Pu-91dEA_14_10"/>
      <w:bookmarkStart w:id="734" w:name="Tc_7z52QQmztk-TadM4zXx6Yg_14_7"/>
      <w:bookmarkStart w:id="735" w:name="Tc_iCOcm-8GP0m6AVp03esmoQ_14_4"/>
      <w:bookmarkStart w:id="736" w:name="Tc_MDe5XGRG5UixmlYE68M6hg_14_0"/>
      <w:bookmarkStart w:id="737" w:name="Tc_dzmxO-8Eu0mANwN3sednew_13_11"/>
      <w:bookmarkStart w:id="738" w:name="Tc_VUhpRBbA40Wn0NHLad20kw_13_8"/>
      <w:bookmarkStart w:id="739" w:name="Tc_g7myYE3Pp0mMkb6Wvq_g5w_13_5"/>
      <w:bookmarkStart w:id="740" w:name="Tc_1pqUifQJFUKSHxH_QVcJDA_13_2"/>
      <w:bookmarkStart w:id="741" w:name="Tc_Hseq6Jqg_EaP_vugudvpoQ_13_0"/>
      <w:bookmarkStart w:id="742" w:name="Tc_mUhl6RB-JEiC-F30obKl6Q_12_14"/>
      <w:bookmarkStart w:id="743" w:name="Tc_ZenDmvmPwUuYF4Zz7qMV5g_12_8"/>
      <w:bookmarkStart w:id="744" w:name="Tc_Dh9_zNWUUUqmjIkVbl5kHA_12_5"/>
      <w:bookmarkStart w:id="745" w:name="Tc_rK1LRk6fd0ivU5L3RWeWDA_12_2"/>
      <w:bookmarkStart w:id="746" w:name="Tc_qyGQ2BfqtkupNqRkCRnWoA_12_0"/>
      <w:bookmarkStart w:id="747" w:name="Tc_kCFd29_vNUyPcs8aZVWfpg_11_14"/>
      <w:bookmarkStart w:id="748" w:name="Tc_wi8K22ZcxkG7GBuwzEOG5w_11_8"/>
      <w:bookmarkStart w:id="749" w:name="Tc_NkLYDPsxIkaa1PH7FeBehg_11_5"/>
      <w:bookmarkStart w:id="750" w:name="Tc_JgI3pIpelEejPBtKfZqDrw_11_2"/>
      <w:bookmarkStart w:id="751" w:name="Tc_u9zMNB03EE20Kn9QWZq-qA_11_0"/>
      <w:bookmarkStart w:id="752" w:name="Tc_RkHg1zNCa0mS5YsJ4NTOrg_10_14"/>
      <w:bookmarkStart w:id="753" w:name="Tc_leN8SYMxk0upjXyTOFJurg_10_11"/>
      <w:bookmarkStart w:id="754" w:name="Tc_HElDRVAwtkKBqfq8lY3qlA_10_5"/>
      <w:bookmarkStart w:id="755" w:name="Tc_zWCVBvDmA0m37JDo9EsnZg_10_2"/>
      <w:bookmarkStart w:id="756" w:name="Tc_IuL7yA8EPEWLld8yynXSNw_10_0"/>
      <w:bookmarkStart w:id="757" w:name="Tc_PKwV9s5OlUu6y8qoMxp7iw_9_14"/>
      <w:bookmarkStart w:id="758" w:name="Tc_K2Tysc0KKES29L0WrMGtmA_9_11"/>
      <w:bookmarkStart w:id="759" w:name="Tc_6Kvs9DitEkaHDITskLkiPw_9_0"/>
      <w:bookmarkStart w:id="760" w:name="Tc_ZZ3spZCRPkS5aeIZDyleWA_8_17"/>
      <w:bookmarkStart w:id="761" w:name="Tc_Ocn-2TaVEEenuy1_C1AiGA_8_14"/>
      <w:bookmarkStart w:id="762" w:name="Tc_Bgm0qtMOMU2t0200jV54qA_8_11"/>
      <w:bookmarkStart w:id="763" w:name="Tc_TSBMuTJui0OscKlzDs80vw_8_8"/>
      <w:bookmarkStart w:id="764" w:name="Tc_I0GpZJKrn0iGuONsoGO7Dg_8_5"/>
      <w:bookmarkStart w:id="765" w:name="Tc_9o90hUjjKU2LGGGORH49ew_8_0"/>
      <w:bookmarkStart w:id="766" w:name="Tc_3ZtYMaklREqBK22rYRvjgQ_7_17"/>
      <w:bookmarkStart w:id="767" w:name="Tc_HuRaHzcwbUmbcIxGdfRfkw_7_14"/>
      <w:bookmarkStart w:id="768" w:name="Tc_I49DHN3uHkCD53-75PaUnA_7_11"/>
      <w:bookmarkStart w:id="769" w:name="Tc_ZENzM2_aBUaNpfN2XNow-A_7_8"/>
      <w:bookmarkStart w:id="770" w:name="Tc_tiIHKIHVuU-PGegemCqPng_7_5"/>
      <w:bookmarkStart w:id="771" w:name="Tc_3A5liqUWfUmrWb4ZOTcRbQ_7_0"/>
      <w:bookmarkStart w:id="772" w:name="Tc_O4w94VbL3EaCuAZ3EMZMtg_6_14"/>
      <w:bookmarkStart w:id="773" w:name="Tc_MMCyPwShCECdB5xDSsVftQ_6_11"/>
      <w:bookmarkStart w:id="774" w:name="Tc_YeI85eOank2zeI6GAuYRPA_6_5"/>
      <w:bookmarkStart w:id="775" w:name="Tc_Ret1TVJ5xEGWV-zlsqvq9A_6_0"/>
      <w:bookmarkStart w:id="776" w:name="Tc_qPR1j7HFn06Nrc7r9DC5cw_5_16"/>
      <w:bookmarkStart w:id="777" w:name="Tc_4RP_3U4vk0CO9ziNFbEeYg_5_13"/>
      <w:bookmarkStart w:id="778" w:name="Tc_wiNAFkTRn0SGtIAVAf4ARA_5_10"/>
      <w:bookmarkStart w:id="779" w:name="Tc_EWrjXzABB0yAFk4mcQgl0A_5_7"/>
      <w:bookmarkStart w:id="780" w:name="Tc_p3eCBPPNMk6PxcwBQNfZ3A_5_4"/>
      <w:bookmarkStart w:id="781" w:name="Tc_2SiMH3ujbk2ASOORyJFTdw_5_0"/>
      <w:bookmarkStart w:id="782" w:name="Tc_AcyiZw5pbkOUiJmid-Ljog_4_16"/>
      <w:bookmarkStart w:id="783" w:name="Tc_gNiGdWX8t0qD6vhH5fY4yA_4_13"/>
      <w:bookmarkStart w:id="784" w:name="Tc_ldxPsuDSAEu0AXO_fGCvdw_4_10"/>
      <w:bookmarkStart w:id="785" w:name="Tc_PJ_gAKEycUWY8I5-mb6e7A_4_7"/>
      <w:bookmarkStart w:id="786" w:name="Tc_Epc4W8ZKQ02rX0Qp09pWCw_4_4"/>
      <w:bookmarkStart w:id="787" w:name="Tc_6XQY4IE_cEyQsWyQngkuKg_4_2"/>
      <w:bookmarkStart w:id="788" w:name="Tc_tbnwWyj-REagp9-hB2sgTQ_3_16"/>
      <w:bookmarkStart w:id="789" w:name="Tc_B0ZUSMHk6kO8ByYjI8XYyw_3_13"/>
      <w:bookmarkStart w:id="790" w:name="Tc_LS-dVy28bE2THhOTWbPYBA_3_10"/>
      <w:bookmarkStart w:id="791" w:name="Tc_9qnOtvXfgk-nT0Bra_t4-Q_3_7"/>
      <w:bookmarkStart w:id="792" w:name="Tc_R9nEgD7tZEO4gVQLpq0rAQ_3_2"/>
      <w:bookmarkStart w:id="793" w:name="Tc_6QkGaNyqIESLA-LaBEBo8A_2_16"/>
      <w:bookmarkStart w:id="794" w:name="Tc_6ppcmOVpDUKQt_8SbpUQdA_2_10"/>
      <w:bookmarkStart w:id="795" w:name="Tc_nthe74etUk6_GxNQzBd5Ew_2_7"/>
      <w:bookmarkStart w:id="796" w:name="Tc_m2CEnMM6mUiQWI00bHDZOg_1_10"/>
      <w:bookmarkStart w:id="797" w:name="_d5cce238_b7f6_4914_a62e_c9f22596f946"/>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2023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1"/>
        <w:gridCol w:w="326"/>
        <w:gridCol w:w="781"/>
        <w:gridCol w:w="326"/>
        <w:gridCol w:w="335"/>
        <w:gridCol w:w="356"/>
        <w:gridCol w:w="326"/>
        <w:gridCol w:w="326"/>
        <w:gridCol w:w="781"/>
        <w:gridCol w:w="326"/>
        <w:gridCol w:w="460"/>
        <w:gridCol w:w="756"/>
        <w:gridCol w:w="326"/>
        <w:gridCol w:w="211"/>
        <w:gridCol w:w="849"/>
        <w:gridCol w:w="326"/>
        <w:gridCol w:w="326"/>
        <w:gridCol w:w="897"/>
      </w:tblGrid>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2725" cy="175260"/>
                      <wp:effectExtent l="0" t="0" r="0" b="0"/>
                      <wp:wrapNone/>
                      <wp:docPr id="84" name="Frame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060" cy="175260"/>
                      <wp:effectExtent l="0" t="0" r="0" b="0"/>
                      <wp:wrapNone/>
                      <wp:docPr id="85" name="Frame8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92100" cy="175260"/>
                      <wp:effectExtent l="0" t="0" r="0" b="0"/>
                      <wp:wrapNone/>
                      <wp:docPr id="90" name="Frame90"/>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80060" cy="175260"/>
                      <wp:effectExtent l="0" t="0" r="0" b="0"/>
                      <wp:wrapNone/>
                      <wp:docPr id="91" name="Frame91"/>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9115" cy="175260"/>
                      <wp:effectExtent l="0" t="0" r="0" b="0"/>
                      <wp:wrapNone/>
                      <wp:docPr id="94" name="Frame94"/>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9595" cy="175260"/>
                      <wp:effectExtent l="0" t="0" r="0" b="0"/>
                      <wp:wrapNone/>
                      <wp:docPr id="97" name="Frame97"/>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center"/>
              <w:rPr/>
            </w:pPr>
            <w:r>
              <w:rPr/>
              <w:t>​</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129,171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431,466</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(302,006)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129,466</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(16,966)</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132,401</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vAlign w:val="center"/>
          </w:tcPr>
          <w:p>
            <w:pPr>
              <w:pStyle w:val="TableContents"/>
              <w:bidi w:val="0"/>
              <w:spacing w:before="0"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118,362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58"/>
        <w:gridCol w:w="326"/>
        <w:gridCol w:w="781"/>
        <w:gridCol w:w="326"/>
        <w:gridCol w:w="335"/>
        <w:gridCol w:w="356"/>
        <w:gridCol w:w="326"/>
        <w:gridCol w:w="326"/>
        <w:gridCol w:w="781"/>
        <w:gridCol w:w="326"/>
        <w:gridCol w:w="370"/>
        <w:gridCol w:w="846"/>
        <w:gridCol w:w="326"/>
        <w:gridCol w:w="326"/>
        <w:gridCol w:w="847"/>
        <w:gridCol w:w="326"/>
        <w:gridCol w:w="326"/>
        <w:gridCol w:w="897"/>
      </w:tblGrid>
      <w:tr>
        <w:trPr/>
        <w:tc>
          <w:tcPr>
            <w:tcW w:w="20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20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center"/>
              <w:rPr/>
            </w:pPr>
            <w:r>
              <w:rPr/>
              <w:t>​</w:t>
            </w:r>
          </w:p>
        </w:tc>
      </w:tr>
      <w:tr>
        <w:trPr/>
        <w:tc>
          <w:tcPr>
            <w:tcW w:w="20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7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125,257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429,025</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(278,652)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2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2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1,708</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r>
      <w:tr>
        <w:trPr/>
        <w:tc>
          <w:tcPr>
            <w:tcW w:w="2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w:t>
            </w:r>
          </w:p>
        </w:tc>
      </w:tr>
      <w:tr>
        <w:trPr/>
        <w:tc>
          <w:tcPr>
            <w:tcW w:w="2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w:t>
            </w:r>
          </w:p>
        </w:tc>
      </w:tr>
      <w:tr>
        <w:trPr/>
        <w:tc>
          <w:tcPr>
            <w:tcW w:w="2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2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(40,320)</w:t>
            </w:r>
          </w:p>
        </w:tc>
      </w:tr>
      <w:tr>
        <w:trPr/>
        <w:tc>
          <w:tcPr>
            <w:tcW w:w="2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132,401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118,362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98" w:name="Tc_ZVhIac4GtEyFnUqFdxtAGw_8_11"/>
      <w:bookmarkStart w:id="799" w:name="Tc_XpdVxnCQAUOZu8LeORT0JQ_8_8"/>
      <w:bookmarkStart w:id="800" w:name="Tc_SCEb8Ri4NEqGneQfiHNUhg_8_5"/>
      <w:bookmarkStart w:id="801" w:name="Tc_QWnjO_BaRk6HfaJ_MXIN2g_8_2"/>
      <w:bookmarkStart w:id="802" w:name="Tc_l7qqZd-voEqxCM34rHazAw_8_0"/>
      <w:bookmarkStart w:id="803" w:name="Tc_SwsGM41fKUmPla7hxuRPpw_7_0"/>
      <w:bookmarkStart w:id="804" w:name="Tc__KflVk4aNkaJGG8C4D9MFw_6_6"/>
      <w:bookmarkStart w:id="805" w:name="Tc_0-kDPAA7QUeVQSsytk3PEQ_6_0"/>
      <w:bookmarkStart w:id="806" w:name="Tc_V-JGUh6zeEWp9ijxZN5tpg_5_11"/>
      <w:bookmarkStart w:id="807" w:name="Tc_gU7MIEuImkSV6_fZSWy_0A_5_9"/>
      <w:bookmarkStart w:id="808" w:name="Tc_NgcNrcF0A0y1Mcq9I7XCBQ_5_8"/>
      <w:bookmarkStart w:id="809" w:name="Tc_c4eNyw51jka6vyiR9tGnMw_5_5"/>
      <w:bookmarkStart w:id="810" w:name="Tc_-JLktIy6K0q4G_2nvytslg_5_2"/>
      <w:bookmarkStart w:id="811" w:name="Tc_Hwc-Yg9B_0a7XIWaL7qR4g_5_0"/>
      <w:bookmarkStart w:id="812" w:name="Tc_wXQtjVmI8UObW4zxr7o-_Q_4_0"/>
      <w:bookmarkStart w:id="813" w:name="Tc_tqBTcjysok6YpyuYZaczIw_3_11"/>
      <w:bookmarkStart w:id="814" w:name="Tc_7l4FoFj440CEZ-MEcJ4nwg_3_8"/>
      <w:bookmarkStart w:id="815" w:name="Tc_Ux6rUPS49k-PlM4il7RpjQ_3_5"/>
      <w:bookmarkStart w:id="816" w:name="Tc_Z1MJb6KjEEGrIGxlKe5Qsw_3_2"/>
      <w:bookmarkStart w:id="817" w:name="Tc_MROUd8Rcx0m5B35s0ntIqw_2_11"/>
      <w:bookmarkStart w:id="818" w:name="Tc_aAIC-2okW0GG9CEYOB3-Jw_2_8"/>
      <w:bookmarkStart w:id="819" w:name="Tc_VpIwHUJrrEm2UpZdj4gjlw_2_5"/>
      <w:bookmarkStart w:id="820" w:name="Tc_cHF7K_Q2OE-fk5ISQU-Wzg_2_2"/>
      <w:bookmarkStart w:id="821" w:name="Tc_Wk-KZ86_wUu-7n5_O9Lkyw_1_2"/>
      <w:bookmarkStart w:id="822" w:name="_34ae83b5_5fc0_4896_912e_dd0979131730"/>
      <w:bookmarkStart w:id="823" w:name="Tc_N1ThoDpBP06-sZnosj4fyw_7_11"/>
      <w:bookmarkStart w:id="824" w:name="Tc_JKRTwOCIn0CunZXF8I1q-A_7_8"/>
      <w:bookmarkStart w:id="825" w:name="Tc_zCuyYajfS0WNhLupNI3r1A_7_5"/>
      <w:bookmarkStart w:id="826" w:name="Tc__r9ITaddgUCNdsZe4LV3sw_7_2"/>
      <w:bookmarkStart w:id="827" w:name="Tc_59tLK3ZY-06WOrHBKIFrwA_7_0"/>
      <w:bookmarkStart w:id="828" w:name="Tc_WYal5kxbaE-F9XgODtzY0Q_6_9"/>
      <w:bookmarkStart w:id="829" w:name="Tc_IYwxthfwRUGOojdZ538TfA_6_6"/>
      <w:bookmarkStart w:id="830" w:name="Tc__f_c5SbAgkGQngiroLNqNw_6_0"/>
      <w:bookmarkStart w:id="831" w:name="Tc_AzwBtErxC0S9nDpc7v_9ZA_5_11"/>
      <w:bookmarkStart w:id="832" w:name="Tc_-cD3ef2dLk2c7KelUL8cfA_5_8"/>
      <w:bookmarkStart w:id="833" w:name="Tc_gGYBdItVHk-aBT0NFsXnFA_5_5"/>
      <w:bookmarkStart w:id="834" w:name="Tc_IUT-ekneHUKxZ9BjwBuIKg_5_2"/>
      <w:bookmarkStart w:id="835" w:name="Tc_1zraz_lSp0KGpIUAHmjUMQ_5_0"/>
      <w:bookmarkStart w:id="836" w:name="Tc_AHdXpFxUNUeaRNAouQJVJA_4_0"/>
      <w:bookmarkStart w:id="837" w:name="Tc_0sTouYkUZkOyrXugCSD_jQ_3_11"/>
      <w:bookmarkStart w:id="838" w:name="Tc_DTa0FUM6kU-kOD9eBdFJsA_3_8"/>
      <w:bookmarkStart w:id="839" w:name="Tc_ko36KXmJMEmPkcZHYa5qOQ_3_5"/>
      <w:bookmarkStart w:id="840" w:name="Tc_EgShaI7GREWusSDh7co4pw_3_2"/>
      <w:bookmarkStart w:id="841" w:name="Tc_hiyf3pxaPk-Nsfgp-CSpAg_2_11"/>
      <w:bookmarkStart w:id="842" w:name="Tc_hcHn3WsDkEmIoBHM_TZxrA_2_8"/>
      <w:bookmarkStart w:id="843" w:name="Tc_ZnpWYgRqAkmiB1atHSzPIg_2_5"/>
      <w:bookmarkStart w:id="844" w:name="Tc_e3Vn6X50mEOttCCHj8H7yg_2_2"/>
      <w:bookmarkStart w:id="845" w:name="Tc_utHOt0eepkSS-PBHn1-Ygw_1_2"/>
      <w:bookmarkStart w:id="846" w:name="_1e4d5122_7d71_4397_96b1_61a4c47b722b"/>
      <w:bookmarkStart w:id="847" w:name="Tc_ZVhIac4GtEyFnUqFdxtAGw_8_11"/>
      <w:bookmarkStart w:id="848" w:name="Tc_XpdVxnCQAUOZu8LeORT0JQ_8_8"/>
      <w:bookmarkStart w:id="849" w:name="Tc_SCEb8Ri4NEqGneQfiHNUhg_8_5"/>
      <w:bookmarkStart w:id="850" w:name="Tc_QWnjO_BaRk6HfaJ_MXIN2g_8_2"/>
      <w:bookmarkStart w:id="851" w:name="Tc_l7qqZd-voEqxCM34rHazAw_8_0"/>
      <w:bookmarkStart w:id="852" w:name="Tc_SwsGM41fKUmPla7hxuRPpw_7_0"/>
      <w:bookmarkStart w:id="853" w:name="Tc__KflVk4aNkaJGG8C4D9MFw_6_6"/>
      <w:bookmarkStart w:id="854" w:name="Tc_0-kDPAA7QUeVQSsytk3PEQ_6_0"/>
      <w:bookmarkStart w:id="855" w:name="Tc_V-JGUh6zeEWp9ijxZN5tpg_5_11"/>
      <w:bookmarkStart w:id="856" w:name="Tc_gU7MIEuImkSV6_fZSWy_0A_5_9"/>
      <w:bookmarkStart w:id="857" w:name="Tc_NgcNrcF0A0y1Mcq9I7XCBQ_5_8"/>
      <w:bookmarkStart w:id="858" w:name="Tc_c4eNyw51jka6vyiR9tGnMw_5_5"/>
      <w:bookmarkStart w:id="859" w:name="Tc_-JLktIy6K0q4G_2nvytslg_5_2"/>
      <w:bookmarkStart w:id="860" w:name="Tc_Hwc-Yg9B_0a7XIWaL7qR4g_5_0"/>
      <w:bookmarkStart w:id="861" w:name="Tc_wXQtjVmI8UObW4zxr7o-_Q_4_0"/>
      <w:bookmarkStart w:id="862" w:name="Tc_tqBTcjysok6YpyuYZaczIw_3_11"/>
      <w:bookmarkStart w:id="863" w:name="Tc_7l4FoFj440CEZ-MEcJ4nwg_3_8"/>
      <w:bookmarkStart w:id="864" w:name="Tc_Ux6rUPS49k-PlM4il7RpjQ_3_5"/>
      <w:bookmarkStart w:id="865" w:name="Tc_Z1MJb6KjEEGrIGxlKe5Qsw_3_2"/>
      <w:bookmarkStart w:id="866" w:name="Tc_MROUd8Rcx0m5B35s0ntIqw_2_11"/>
      <w:bookmarkStart w:id="867" w:name="Tc_aAIC-2okW0GG9CEYOB3-Jw_2_8"/>
      <w:bookmarkStart w:id="868" w:name="Tc_VpIwHUJrrEm2UpZdj4gjlw_2_5"/>
      <w:bookmarkStart w:id="869" w:name="Tc_cHF7K_Q2OE-fk5ISQU-Wzg_2_2"/>
      <w:bookmarkStart w:id="870" w:name="Tc_Wk-KZ86_wUu-7n5_O9Lkyw_1_2"/>
      <w:bookmarkStart w:id="871" w:name="_34ae83b5_5fc0_4896_912e_dd0979131730"/>
      <w:bookmarkStart w:id="872" w:name="Tc_N1ThoDpBP06-sZnosj4fyw_7_11"/>
      <w:bookmarkStart w:id="873" w:name="Tc_JKRTwOCIn0CunZXF8I1q-A_7_8"/>
      <w:bookmarkStart w:id="874" w:name="Tc_zCuyYajfS0WNhLupNI3r1A_7_5"/>
      <w:bookmarkStart w:id="875" w:name="Tc__r9ITaddgUCNdsZe4LV3sw_7_2"/>
      <w:bookmarkStart w:id="876" w:name="Tc_59tLK3ZY-06WOrHBKIFrwA_7_0"/>
      <w:bookmarkStart w:id="877" w:name="Tc_WYal5kxbaE-F9XgODtzY0Q_6_9"/>
      <w:bookmarkStart w:id="878" w:name="Tc_IYwxthfwRUGOojdZ538TfA_6_6"/>
      <w:bookmarkStart w:id="879" w:name="Tc__f_c5SbAgkGQngiroLNqNw_6_0"/>
      <w:bookmarkStart w:id="880" w:name="Tc_AzwBtErxC0S9nDpc7v_9ZA_5_11"/>
      <w:bookmarkStart w:id="881" w:name="Tc_-cD3ef2dLk2c7KelUL8cfA_5_8"/>
      <w:bookmarkStart w:id="882" w:name="Tc_gGYBdItVHk-aBT0NFsXnFA_5_5"/>
      <w:bookmarkStart w:id="883" w:name="Tc_IUT-ekneHUKxZ9BjwBuIKg_5_2"/>
      <w:bookmarkStart w:id="884" w:name="Tc_1zraz_lSp0KGpIUAHmjUMQ_5_0"/>
      <w:bookmarkStart w:id="885" w:name="Tc_AHdXpFxUNUeaRNAouQJVJA_4_0"/>
      <w:bookmarkStart w:id="886" w:name="Tc_0sTouYkUZkOyrXugCSD_jQ_3_11"/>
      <w:bookmarkStart w:id="887" w:name="Tc_DTa0FUM6kU-kOD9eBdFJsA_3_8"/>
      <w:bookmarkStart w:id="888" w:name="Tc_ko36KXmJMEmPkcZHYa5qOQ_3_5"/>
      <w:bookmarkStart w:id="889" w:name="Tc_EgShaI7GREWusSDh7co4pw_3_2"/>
      <w:bookmarkStart w:id="890" w:name="Tc_hiyf3pxaPk-Nsfgp-CSpAg_2_11"/>
      <w:bookmarkStart w:id="891" w:name="Tc_hcHn3WsDkEmIoBHM_TZxrA_2_8"/>
      <w:bookmarkStart w:id="892" w:name="Tc_ZnpWYgRqAkmiB1atHSzPIg_2_5"/>
      <w:bookmarkStart w:id="893" w:name="Tc_e3Vn6X50mEOttCCHj8H7yg_2_2"/>
      <w:bookmarkStart w:id="894" w:name="Tc_utHOt0eepkSS-PBHn1-Ygw_1_2"/>
      <w:bookmarkStart w:id="895" w:name="_1e4d5122_7d71_4397_96b1_61a4c47b722b"/>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tbl>
      <w:tblPr>
        <w:tblW w:w="1502" w:type="dxa"/>
        <w:jc w:val="left"/>
        <w:tblInd w:w="0" w:type="dxa"/>
        <w:tblLayout w:type="fixed"/>
        <w:tblCellMar>
          <w:top w:w="0" w:type="dxa"/>
          <w:left w:w="0" w:type="dxa"/>
          <w:bottom w:w="0" w:type="dxa"/>
          <w:right w:w="0" w:type="dxa"/>
        </w:tblCellMar>
      </w:tblPr>
      <w:tblGrid>
        <w:gridCol w:w="346"/>
        <w:gridCol w:w="11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1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All investments in fixed income securities are classified as available-for-sale in the condensed consolidated balance sheets. Fixed income securities are recorded at their estimated fair value. The amortized cost, gross unrealized holding gains and losses included in other comprehensive income (loss) and the fair value of the fixed income securities at June 30, 2024 and December 31, 2023 are presented in the tables below (in thousands):</w:t>
      </w:r>
    </w:p>
    <w:p>
      <w:pPr>
        <w:pStyle w:val="TextBody"/>
        <w:bidi w:val="0"/>
        <w:spacing w:before="0" w:after="0"/>
        <w:ind w:left="0" w:right="0" w:hanging="0"/>
        <w:jc w:val="left"/>
        <w:rPr/>
      </w:pPr>
      <w:r>
        <w:rPr/>
        <w:t>​</w:t>
      </w:r>
    </w:p>
    <w:tbl>
      <w:tblPr>
        <w:tblW w:w="8620"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335"/>
        <w:gridCol w:w="551"/>
        <w:gridCol w:w="326"/>
        <w:gridCol w:w="211"/>
        <w:gridCol w:w="676"/>
        <w:gridCol w:w="154"/>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100"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2725" cy="175260"/>
                      <wp:effectExtent l="0" t="0" r="0" b="0"/>
                      <wp:wrapNone/>
                      <wp:docPr id="102" name="Frame10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49885" cy="175260"/>
                      <wp:effectExtent l="0" t="0" r="0" b="0"/>
                      <wp:wrapNone/>
                      <wp:docPr id="103" name="Frame10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2725" cy="175260"/>
                      <wp:effectExtent l="0" t="0" r="0" b="0"/>
                      <wp:wrapNone/>
                      <wp:docPr id="105" name="Frame10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49885" cy="175260"/>
                      <wp:effectExtent l="0" t="0" r="0" b="0"/>
                      <wp:wrapNone/>
                      <wp:docPr id="106" name="Frame10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7790" cy="175260"/>
                      <wp:effectExtent l="0" t="0" r="0" b="0"/>
                      <wp:wrapNone/>
                      <wp:docPr id="110" name="Frame1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76,801</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76,796</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79,797</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8583"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318"/>
        <w:gridCol w:w="568"/>
        <w:gridCol w:w="326"/>
        <w:gridCol w:w="211"/>
        <w:gridCol w:w="793"/>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2725" cy="175260"/>
                      <wp:effectExtent l="0" t="0" r="0" b="0"/>
                      <wp:wrapNone/>
                      <wp:docPr id="115" name="Frame11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9885" cy="175260"/>
                      <wp:effectExtent l="0" t="0" r="0" b="0"/>
                      <wp:wrapNone/>
                      <wp:docPr id="116" name="Frame11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1930" cy="175260"/>
                      <wp:effectExtent l="0" t="0" r="0" b="0"/>
                      <wp:wrapNone/>
                      <wp:docPr id="118" name="Frame11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0680" cy="175260"/>
                      <wp:effectExtent l="0" t="0" r="0" b="0"/>
                      <wp:wrapNone/>
                      <wp:docPr id="119" name="Frame119"/>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3555" cy="175260"/>
                      <wp:effectExtent l="0" t="0" r="0" b="0"/>
                      <wp:wrapNone/>
                      <wp:docPr id="122" name="Frame12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45,252</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7,927</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78,537</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invests in highly rated investment grade debt securities.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June 30, 2024 or December 31, 2023,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 Accordingly, the Company determined that none of the unrealized losses were other-than-temporary, and that recognition of an impairment charge was not required as of June 30, 2024 or December 31, 2023, respectively. As of June 30, 2024, there were 6 securities that were in an unrealized loss position with a market value of $48.5 million, with the largest loss for any single security being inconsequential. None of the Company’s available-for-sale securities have been in an unrealized loss position for more than one year. No available-for-sale securities were sold during the three and six months ended June 30, 2024 and 2023,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96" w:name="Tc_tsaNAxD9j0uchGvPS-y15g_14_8"/>
      <w:bookmarkStart w:id="897" w:name="Tc_1nPQkosdu0ec2wMB9OlDfQ_14_6"/>
      <w:bookmarkStart w:id="898" w:name="Tc_qgquQOWBmU2jDqaChV5KlQ_14_5"/>
      <w:bookmarkStart w:id="899" w:name="Tc_mJ2mj6K7hU2RSfoYl2qOig_14_2"/>
      <w:bookmarkStart w:id="900" w:name="Tc_TdGczxjsK0a__dxmfQ6MmA_14_0"/>
      <w:bookmarkStart w:id="901" w:name="Tc_dZ2JQBm32ESliIL5P6tVow_13_6"/>
      <w:bookmarkStart w:id="902" w:name="Tc_Y7xFLOPOwUu87cd3hZ7LXg_13_3"/>
      <w:bookmarkStart w:id="903" w:name="Tc_iGQUhT2WLESryVrsEPVzsA_13_0"/>
      <w:bookmarkStart w:id="904" w:name="Tc_EWN9u2JfgEmYu2oMww-cAw_12_6"/>
      <w:bookmarkStart w:id="905" w:name="Tc_lmNPnk6BF0aKS0LJajs7yA_12_3"/>
      <w:bookmarkStart w:id="906" w:name="Tc_Jqzgjr0YgUyQAaszKzmqvA_12_0"/>
      <w:bookmarkStart w:id="907" w:name="Tc_WbeuXZtWIEWaOCx-x_ffTw_11_9"/>
      <w:bookmarkStart w:id="908" w:name="Tc_PN5aDfei5UO2jy6zjHhJXQ_11_8"/>
      <w:bookmarkStart w:id="909" w:name="Tc_r2TBpePcdEOaK4kZGeR46A_11_6"/>
      <w:bookmarkStart w:id="910" w:name="Tc_TTcp3DS81k6wd2uvMd_XJw_11_5"/>
      <w:bookmarkStart w:id="911" w:name="Tc_orY0qktdKEy-t487wUwJSg_11_2"/>
      <w:bookmarkStart w:id="912" w:name="Tc__pZFb8B1T0aARozzTZTmZg_11_0"/>
      <w:bookmarkStart w:id="913" w:name="Tc_JGufphZdvkm8-_0TcFnCrQ_10_0"/>
      <w:bookmarkStart w:id="914" w:name="Tc_hlerPoXKeE6djMuIobkTdw_9_9"/>
      <w:bookmarkStart w:id="915" w:name="Tc_MO2vclpOgUCxra86dE40uQ_9_8"/>
      <w:bookmarkStart w:id="916" w:name="Tc_XYWY69URnEeOsC5lvgCI_A_9_5"/>
      <w:bookmarkStart w:id="917" w:name="Tc_kzApzO92lk6u4v05NZ0utQ_9_2"/>
      <w:bookmarkStart w:id="918" w:name="Tc_yBFR7qRYF0ixDCsi6MG-wQ_9_0"/>
      <w:bookmarkStart w:id="919" w:name="Tc_UpKP04Xzk0GnKTCFLRNjTQ_8_9"/>
      <w:bookmarkStart w:id="920" w:name="Tc_qwpw81z6xU6ltjMyPKxR2Q_8_6"/>
      <w:bookmarkStart w:id="921" w:name="Tc_5J-ZwkA4c0yXjKXKIQXVCw_8_0"/>
      <w:bookmarkStart w:id="922" w:name="Tc_5RWxTBCKBUiDrDjLWn1ZAg_7_9"/>
      <w:bookmarkStart w:id="923" w:name="Tc_jYiqbSw420aYJfLFA0zpmw_7_3"/>
      <w:bookmarkStart w:id="924" w:name="Tc_PG5Gg7k1EkiWU_bSlGBYtA_7_0"/>
      <w:bookmarkStart w:id="925" w:name="Tc_mmBafv5pg0WK9w2oxO9cxQ_6_0"/>
      <w:bookmarkStart w:id="926" w:name="Tc_l0LsmTPr_Uy74kalvBZFkw_5_9"/>
      <w:bookmarkStart w:id="927" w:name="Tc_rAx-Z-UZWkSH2ySXVsWv9Q_5_8"/>
      <w:bookmarkStart w:id="928" w:name="Tc_U6bxbF7jC0qtvFharlB4jw_5_6"/>
      <w:bookmarkStart w:id="929" w:name="Tc_iV1a5a1JpU2FhH-z-B67MQ_5_5"/>
      <w:bookmarkStart w:id="930" w:name="Tc_WRzfMfEG6EG95R_gDe_wvQ_5_2"/>
      <w:bookmarkStart w:id="931" w:name="Tc_BETw6LiMs0S5OkgM-zybwQ_5_0"/>
      <w:bookmarkStart w:id="932" w:name="Tc_pMvKl1B9f0uHX2NWZ874kQ_4_0"/>
      <w:bookmarkStart w:id="933" w:name="Tc_2Ljy0KiLgkCON4_ti14FyA_3_0"/>
      <w:bookmarkStart w:id="934" w:name="Tc_ayjLKofxC02lGsvOsIp52w_2_8"/>
      <w:bookmarkStart w:id="935" w:name="Tc_0fyUgeB7CE696QnCf5ymwg_2_5"/>
      <w:bookmarkStart w:id="936" w:name="Tc_LWOvwW5eHEGNnM3iFQNi4A_2_2"/>
      <w:bookmarkStart w:id="937" w:name="Tc_3d5NhPQL1EacTfxtmgCb1A_1_2"/>
      <w:bookmarkStart w:id="938" w:name="_795cc3c0_ac8c_44a3_9511_86db4026b985"/>
      <w:bookmarkStart w:id="939" w:name="Tc_tsaNAxD9j0uchGvPS-y15g_14_8"/>
      <w:bookmarkStart w:id="940" w:name="Tc_1nPQkosdu0ec2wMB9OlDfQ_14_6"/>
      <w:bookmarkStart w:id="941" w:name="Tc_qgquQOWBmU2jDqaChV5KlQ_14_5"/>
      <w:bookmarkStart w:id="942" w:name="Tc_mJ2mj6K7hU2RSfoYl2qOig_14_2"/>
      <w:bookmarkStart w:id="943" w:name="Tc_TdGczxjsK0a__dxmfQ6MmA_14_0"/>
      <w:bookmarkStart w:id="944" w:name="Tc_dZ2JQBm32ESliIL5P6tVow_13_6"/>
      <w:bookmarkStart w:id="945" w:name="Tc_Y7xFLOPOwUu87cd3hZ7LXg_13_3"/>
      <w:bookmarkStart w:id="946" w:name="Tc_iGQUhT2WLESryVrsEPVzsA_13_0"/>
      <w:bookmarkStart w:id="947" w:name="Tc_EWN9u2JfgEmYu2oMww-cAw_12_6"/>
      <w:bookmarkStart w:id="948" w:name="Tc_lmNPnk6BF0aKS0LJajs7yA_12_3"/>
      <w:bookmarkStart w:id="949" w:name="Tc_Jqzgjr0YgUyQAaszKzmqvA_12_0"/>
      <w:bookmarkStart w:id="950" w:name="Tc_WbeuXZtWIEWaOCx-x_ffTw_11_9"/>
      <w:bookmarkStart w:id="951" w:name="Tc_PN5aDfei5UO2jy6zjHhJXQ_11_8"/>
      <w:bookmarkStart w:id="952" w:name="Tc_r2TBpePcdEOaK4kZGeR46A_11_6"/>
      <w:bookmarkStart w:id="953" w:name="Tc_TTcp3DS81k6wd2uvMd_XJw_11_5"/>
      <w:bookmarkStart w:id="954" w:name="Tc_orY0qktdKEy-t487wUwJSg_11_2"/>
      <w:bookmarkStart w:id="955" w:name="Tc__pZFb8B1T0aARozzTZTmZg_11_0"/>
      <w:bookmarkStart w:id="956" w:name="Tc_JGufphZdvkm8-_0TcFnCrQ_10_0"/>
      <w:bookmarkStart w:id="957" w:name="Tc_hlerPoXKeE6djMuIobkTdw_9_9"/>
      <w:bookmarkStart w:id="958" w:name="Tc_MO2vclpOgUCxra86dE40uQ_9_8"/>
      <w:bookmarkStart w:id="959" w:name="Tc_XYWY69URnEeOsC5lvgCI_A_9_5"/>
      <w:bookmarkStart w:id="960" w:name="Tc_kzApzO92lk6u4v05NZ0utQ_9_2"/>
      <w:bookmarkStart w:id="961" w:name="Tc_yBFR7qRYF0ixDCsi6MG-wQ_9_0"/>
      <w:bookmarkStart w:id="962" w:name="Tc_UpKP04Xzk0GnKTCFLRNjTQ_8_9"/>
      <w:bookmarkStart w:id="963" w:name="Tc_qwpw81z6xU6ltjMyPKxR2Q_8_6"/>
      <w:bookmarkStart w:id="964" w:name="Tc_5J-ZwkA4c0yXjKXKIQXVCw_8_0"/>
      <w:bookmarkStart w:id="965" w:name="Tc_5RWxTBCKBUiDrDjLWn1ZAg_7_9"/>
      <w:bookmarkStart w:id="966" w:name="Tc_jYiqbSw420aYJfLFA0zpmw_7_3"/>
      <w:bookmarkStart w:id="967" w:name="Tc_PG5Gg7k1EkiWU_bSlGBYtA_7_0"/>
      <w:bookmarkStart w:id="968" w:name="Tc_mmBafv5pg0WK9w2oxO9cxQ_6_0"/>
      <w:bookmarkStart w:id="969" w:name="Tc_l0LsmTPr_Uy74kalvBZFkw_5_9"/>
      <w:bookmarkStart w:id="970" w:name="Tc_rAx-Z-UZWkSH2ySXVsWv9Q_5_8"/>
      <w:bookmarkStart w:id="971" w:name="Tc_U6bxbF7jC0qtvFharlB4jw_5_6"/>
      <w:bookmarkStart w:id="972" w:name="Tc_iV1a5a1JpU2FhH-z-B67MQ_5_5"/>
      <w:bookmarkStart w:id="973" w:name="Tc_WRzfMfEG6EG95R_gDe_wvQ_5_2"/>
      <w:bookmarkStart w:id="974" w:name="Tc_BETw6LiMs0S5OkgM-zybwQ_5_0"/>
      <w:bookmarkStart w:id="975" w:name="Tc_pMvKl1B9f0uHX2NWZ874kQ_4_0"/>
      <w:bookmarkStart w:id="976" w:name="Tc_2Ljy0KiLgkCON4_ti14FyA_3_0"/>
      <w:bookmarkStart w:id="977" w:name="Tc_ayjLKofxC02lGsvOsIp52w_2_8"/>
      <w:bookmarkStart w:id="978" w:name="Tc_0fyUgeB7CE696QnCf5ymwg_2_5"/>
      <w:bookmarkStart w:id="979" w:name="Tc_LWOvwW5eHEGNnM3iFQNi4A_2_2"/>
      <w:bookmarkStart w:id="980" w:name="Tc_3d5NhPQL1EacTfxtmgCb1A_1_2"/>
      <w:bookmarkStart w:id="981" w:name="_795cc3c0_ac8c_44a3_9511_86db4026b985"/>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June 30, 2024 and December 31, 2023, respectively (in thousands):</w:t>
      </w:r>
    </w:p>
    <w:tbl>
      <w:tblPr>
        <w:tblW w:w="750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36880" cy="175260"/>
                      <wp:effectExtent l="0" t="0" r="0" b="0"/>
                      <wp:wrapNone/>
                      <wp:docPr id="131" name="Frame13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82" w:name="_d393a454_38f8_453c_950b_874f10677ee9_4"/>
      <w:bookmarkStart w:id="983" w:name="_d393a454_38f8_453c_950b_874f10677ee9_3"/>
      <w:bookmarkStart w:id="984" w:name="_d393a454_38f8_453c_950b_874f10677ee9_2"/>
      <w:bookmarkStart w:id="985" w:name="_d393a454_38f8_453c_950b_874f10677ee9"/>
      <w:bookmarkStart w:id="986" w:name="Tc_xY7I7-mc7E-0RzcW7D6hjg_15_8"/>
      <w:bookmarkStart w:id="987" w:name="Tc_5biX7kLE7EmbukyvplE_rQ_15_6"/>
      <w:bookmarkStart w:id="988" w:name="Tc_oM2Q7KcOLka4C4PYASKQaw_15_5"/>
      <w:bookmarkStart w:id="989" w:name="Tc_lHTFjLM2FEWTgHwgphvYJA_15_2"/>
      <w:bookmarkStart w:id="990" w:name="Tc_W0uMj8iXkEWIvzoGo6b56A_15_0"/>
      <w:bookmarkStart w:id="991" w:name="Tc_5DpZWIFvMU6nE6E-bWSxFA_14_6"/>
      <w:bookmarkStart w:id="992" w:name="Tc_flYcRVHVHUCml3uhjqQMog_14_3"/>
      <w:bookmarkStart w:id="993" w:name="Tc_aaHEAvGxDEqfX5cTxCcFXA_14_0"/>
      <w:bookmarkStart w:id="994" w:name="Tc_qnqGgWXCB0qXQ9mLcADavg_13_6"/>
      <w:bookmarkStart w:id="995" w:name="Tc_U5R1mPn9RE-P3ZUrFKB3_g_13_3"/>
      <w:bookmarkStart w:id="996" w:name="Tc_Y2xF-FmAWk-pFSugXFkjVQ_13_0"/>
      <w:bookmarkStart w:id="997" w:name="Tc_RNdUIJ06cEGATFd6UtgtEQ_12_9"/>
      <w:bookmarkStart w:id="998" w:name="Tc__9ENZG41yEC66oyAcQZh3Q_12_8"/>
      <w:bookmarkStart w:id="999" w:name="Tc_c5MC6JRhGkKemNzpT-I2oQ_12_6"/>
      <w:bookmarkStart w:id="1000" w:name="Tc_UtAI9E49V0aLAHOmsaOAeQ_12_5"/>
      <w:bookmarkStart w:id="1001" w:name="Tc_hve1rn-ebkOUp1s5p6M4dA_12_2"/>
      <w:bookmarkStart w:id="1002" w:name="Tc_XlopiOuULkyow9FwY6xaCw_12_0"/>
      <w:bookmarkStart w:id="1003" w:name="Tc_or3veGDI60K57KCQxrc2pQ_11_0"/>
      <w:bookmarkStart w:id="1004" w:name="Tc_o0_x5ev2m0yq_eoSYXQddQ_10_9"/>
      <w:bookmarkStart w:id="1005" w:name="Tc_EtB9E3cFf0CuZsflNaKniw_10_8"/>
      <w:bookmarkStart w:id="1006" w:name="Tc_k3B4dLlyQUeict3q62P9gQ_10_5"/>
      <w:bookmarkStart w:id="1007" w:name="Tc_dRO5xySwZkifL4fhebKsVQ_10_2"/>
      <w:bookmarkStart w:id="1008" w:name="Tc_kt2Y6kxFBU-V-qNBgeFQGA_10_0"/>
      <w:bookmarkStart w:id="1009" w:name="Tc_ZXNROdxQWkOmoUUXD_6eTw_9_9"/>
      <w:bookmarkStart w:id="1010" w:name="Tc_HsXBTt2NpEqFIL7vPIbOFA_9_6"/>
      <w:bookmarkStart w:id="1011" w:name="Tc_o16m7fXS_UqGfyYv3y9JMg_9_0"/>
      <w:bookmarkStart w:id="1012" w:name="Tc_xN9soTugSEi33ryEjZ5Xhg_8_9"/>
      <w:bookmarkStart w:id="1013" w:name="Tc_L_OigDvkdUOq2TINhxv4tQ_8_3"/>
      <w:bookmarkStart w:id="1014" w:name="Tc_S_PqrVUsnUS6N4G0owWJMA_8_0"/>
      <w:bookmarkStart w:id="1015" w:name="Tc_KbWV2r8KR0uRoMOaLIAGeA_7_9"/>
      <w:bookmarkStart w:id="1016" w:name="Tc_x0CPsbxzsEaTxNUH5YXnAA_7_3"/>
      <w:bookmarkStart w:id="1017" w:name="Tc_3GlqV4ws402M1buU2veNTg_7_0"/>
      <w:bookmarkStart w:id="1018" w:name="Tc_7twDIabkaE6jut6akgBUdw_6_0"/>
      <w:bookmarkStart w:id="1019" w:name="Tc_U9phixF80EyWN6KTD6P9xQ_5_9"/>
      <w:bookmarkStart w:id="1020" w:name="Tc_gWR_tJUX4Ua47k7j_91-Zw_5_8"/>
      <w:bookmarkStart w:id="1021" w:name="Tc_-yGK5VlSDkSqjeKjEqjqIg_5_6"/>
      <w:bookmarkStart w:id="1022" w:name="Tc_7_IdMgCqFE6TCPMVxxmzmg_5_5"/>
      <w:bookmarkStart w:id="1023" w:name="Tc_NR1msnbWVUqq5p1geboB8A_5_2"/>
      <w:bookmarkStart w:id="1024" w:name="Tc_gCwlFmc1Z0Six03R3lDnOQ_5_0"/>
      <w:bookmarkStart w:id="1025" w:name="Tc_TWnlQ5CeREO3BsMJ-nzNuw_4_0"/>
      <w:bookmarkStart w:id="1026" w:name="Tc_ia-kQhwxkE2dQyH-3-ce0g_3_0"/>
      <w:bookmarkStart w:id="1027" w:name="Tc_hrEt8ZrtvUimuOOvXzcFTw_2_8"/>
      <w:bookmarkStart w:id="1028" w:name="Tc_tfTZJT5BWkqZ7LbMwAJXEQ_2_5"/>
      <w:bookmarkStart w:id="1029" w:name="Tc_kXDnrB4R00GKiBDEFtbLaA_2_2"/>
      <w:bookmarkStart w:id="1030" w:name="Tc_PVnGqmNyKUSZggRpca4lzA_1_2"/>
      <w:bookmarkStart w:id="1031" w:name="_42d2fb24_d8fd_4d3c_a49d_5b5eba6b87c8"/>
      <w:bookmarkStart w:id="1032" w:name="_d393a454_38f8_453c_950b_874f10677ee9_4"/>
      <w:bookmarkStart w:id="1033" w:name="_d393a454_38f8_453c_950b_874f10677ee9_3"/>
      <w:bookmarkStart w:id="1034" w:name="_d393a454_38f8_453c_950b_874f10677ee9_2"/>
      <w:bookmarkStart w:id="1035" w:name="_d393a454_38f8_453c_950b_874f10677ee9"/>
      <w:bookmarkStart w:id="1036" w:name="Tc_xY7I7-mc7E-0RzcW7D6hjg_15_8"/>
      <w:bookmarkStart w:id="1037" w:name="Tc_5biX7kLE7EmbukyvplE_rQ_15_6"/>
      <w:bookmarkStart w:id="1038" w:name="Tc_oM2Q7KcOLka4C4PYASKQaw_15_5"/>
      <w:bookmarkStart w:id="1039" w:name="Tc_lHTFjLM2FEWTgHwgphvYJA_15_2"/>
      <w:bookmarkStart w:id="1040" w:name="Tc_W0uMj8iXkEWIvzoGo6b56A_15_0"/>
      <w:bookmarkStart w:id="1041" w:name="Tc_5DpZWIFvMU6nE6E-bWSxFA_14_6"/>
      <w:bookmarkStart w:id="1042" w:name="Tc_flYcRVHVHUCml3uhjqQMog_14_3"/>
      <w:bookmarkStart w:id="1043" w:name="Tc_aaHEAvGxDEqfX5cTxCcFXA_14_0"/>
      <w:bookmarkStart w:id="1044" w:name="Tc_qnqGgWXCB0qXQ9mLcADavg_13_6"/>
      <w:bookmarkStart w:id="1045" w:name="Tc_U5R1mPn9RE-P3ZUrFKB3_g_13_3"/>
      <w:bookmarkStart w:id="1046" w:name="Tc_Y2xF-FmAWk-pFSugXFkjVQ_13_0"/>
      <w:bookmarkStart w:id="1047" w:name="Tc_RNdUIJ06cEGATFd6UtgtEQ_12_9"/>
      <w:bookmarkStart w:id="1048" w:name="Tc__9ENZG41yEC66oyAcQZh3Q_12_8"/>
      <w:bookmarkStart w:id="1049" w:name="Tc_c5MC6JRhGkKemNzpT-I2oQ_12_6"/>
      <w:bookmarkStart w:id="1050" w:name="Tc_UtAI9E49V0aLAHOmsaOAeQ_12_5"/>
      <w:bookmarkStart w:id="1051" w:name="Tc_hve1rn-ebkOUp1s5p6M4dA_12_2"/>
      <w:bookmarkStart w:id="1052" w:name="Tc_XlopiOuULkyow9FwY6xaCw_12_0"/>
      <w:bookmarkStart w:id="1053" w:name="Tc_or3veGDI60K57KCQxrc2pQ_11_0"/>
      <w:bookmarkStart w:id="1054" w:name="Tc_o0_x5ev2m0yq_eoSYXQddQ_10_9"/>
      <w:bookmarkStart w:id="1055" w:name="Tc_EtB9E3cFf0CuZsflNaKniw_10_8"/>
      <w:bookmarkStart w:id="1056" w:name="Tc_k3B4dLlyQUeict3q62P9gQ_10_5"/>
      <w:bookmarkStart w:id="1057" w:name="Tc_dRO5xySwZkifL4fhebKsVQ_10_2"/>
      <w:bookmarkStart w:id="1058" w:name="Tc_kt2Y6kxFBU-V-qNBgeFQGA_10_0"/>
      <w:bookmarkStart w:id="1059" w:name="Tc_ZXNROdxQWkOmoUUXD_6eTw_9_9"/>
      <w:bookmarkStart w:id="1060" w:name="Tc_HsXBTt2NpEqFIL7vPIbOFA_9_6"/>
      <w:bookmarkStart w:id="1061" w:name="Tc_o16m7fXS_UqGfyYv3y9JMg_9_0"/>
      <w:bookmarkStart w:id="1062" w:name="Tc_xN9soTugSEi33ryEjZ5Xhg_8_9"/>
      <w:bookmarkStart w:id="1063" w:name="Tc_L_OigDvkdUOq2TINhxv4tQ_8_3"/>
      <w:bookmarkStart w:id="1064" w:name="Tc_S_PqrVUsnUS6N4G0owWJMA_8_0"/>
      <w:bookmarkStart w:id="1065" w:name="Tc_KbWV2r8KR0uRoMOaLIAGeA_7_9"/>
      <w:bookmarkStart w:id="1066" w:name="Tc_x0CPsbxzsEaTxNUH5YXnAA_7_3"/>
      <w:bookmarkStart w:id="1067" w:name="Tc_3GlqV4ws402M1buU2veNTg_7_0"/>
      <w:bookmarkStart w:id="1068" w:name="Tc_7twDIabkaE6jut6akgBUdw_6_0"/>
      <w:bookmarkStart w:id="1069" w:name="Tc_U9phixF80EyWN6KTD6P9xQ_5_9"/>
      <w:bookmarkStart w:id="1070" w:name="Tc_gWR_tJUX4Ua47k7j_91-Zw_5_8"/>
      <w:bookmarkStart w:id="1071" w:name="Tc_-yGK5VlSDkSqjeKjEqjqIg_5_6"/>
      <w:bookmarkStart w:id="1072" w:name="Tc_7_IdMgCqFE6TCPMVxxmzmg_5_5"/>
      <w:bookmarkStart w:id="1073" w:name="Tc_NR1msnbWVUqq5p1geboB8A_5_2"/>
      <w:bookmarkStart w:id="1074" w:name="Tc_gCwlFmc1Z0Six03R3lDnOQ_5_0"/>
      <w:bookmarkStart w:id="1075" w:name="Tc_TWnlQ5CeREO3BsMJ-nzNuw_4_0"/>
      <w:bookmarkStart w:id="1076" w:name="Tc_ia-kQhwxkE2dQyH-3-ce0g_3_0"/>
      <w:bookmarkStart w:id="1077" w:name="Tc_hrEt8ZrtvUimuOOvXzcFTw_2_8"/>
      <w:bookmarkStart w:id="1078" w:name="Tc_tfTZJT5BWkqZ7LbMwAJXEQ_2_5"/>
      <w:bookmarkStart w:id="1079" w:name="Tc_kXDnrB4R00GKiBDEFtbLaA_2_2"/>
      <w:bookmarkStart w:id="1080" w:name="Tc_PVnGqmNyKUSZggRpca4lzA_1_2"/>
      <w:bookmarkStart w:id="1081" w:name="_42d2fb24_d8fd_4d3c_a49d_5b5eba6b87c8"/>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tbl>
      <w:tblPr>
        <w:tblW w:w="750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260" cy="175260"/>
                      <wp:effectExtent l="0" t="0" r="0" b="0"/>
                      <wp:wrapNone/>
                      <wp:docPr id="134" name="Frame1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29260" cy="175260"/>
                      <wp:effectExtent l="0" t="0" r="0" b="0"/>
                      <wp:wrapNone/>
                      <wp:docPr id="137" name="Frame1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6880" cy="175260"/>
                      <wp:effectExtent l="0" t="0" r="0" b="0"/>
                      <wp:wrapNone/>
                      <wp:docPr id="140" name="Frame14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3,759</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of June 30, 2024 and December 31, 2023, the Company has recorded the following financial instruments subject to fair value measurements: 1) Derivative warrant liabilities—Public Warrants and Private Warrants, 2) Available-for-sale securities and 3) Earn-out liabilities.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also has long-term debt that provides for variable interest, and therefore, the carrying value approximates the fair value. The carrying values of the long-term debt as of June 30, 2024 and December 31, 2023, respectively, represent the original principal amounts borrowed, accretion of final payments fees, less principal payments and unamortized debt issuance costs.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the Public Warrants has been measured based on the observable listed prices for such Warrants, a Level 1 measurement. Long-term debt issued by the Company is classified within Level 2. The fair value of the Company’s Level 2 financial assets are determined by using inputs based on quoted market prices for similar instruments. The carrying value of the long-term debt approximates its fair value given their maturity and variable interest rates.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All other financial instruments are classified as Level 3 instruments as they all include unobservable inputs. The Private Warrants are measured at fair value using a Black Scholes model. The Company estimates the volatility of its ordinary share Warrants based on the implied volatility from the Company’s publicly traded Warrants and from historical volatility of select peer company ordinary shares that matches the expected remaining life of the Warrants. The fair value of the Earn-out liabilities is estimated using a Monte Carlo simulation model.</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estimated the fair value of a Forward Warrant Agreement that was in place throughout most of 2023 using a forward analysis with unobservable inputs which included selected risk-free rate and probability outcomes. The Forward Warrant Agreement had no value as of December 31, 2023 because the Forward Warrant Agreement expired in October 2023 without taking effect. See Note 6 for further discussion regarding the Forward Warrant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There were no changes in fair value measurement techniques during the three and six months ended June 30, 2024. The Company reduced the estimated probability of occurrence for the Forward Warrant Agreement from 50% to 0% during the nine months ended September 30, 2023 to account for expiration of the Forward Warrant Agreement in October 2023. There were no changes in fair value measurement techniques during the year ended December 31, 2023, other than the change in the estimated probability of occurrence for the Forward Warrant Agreement described above. There were no transfers in or out of Level 3 of the fair value hierarchy during the three and six months ended June 30, 2024 or 2023, </w:t>
      </w:r>
      <w:r>
        <w:rPr>
          <w:rFonts w:ascii="Times New Roman;Times;serif" w:hAnsi="Times New Roman;Times;serif"/>
          <w:sz w:val="20"/>
          <w:shd w:fill="FFFFFF" w:val="clear"/>
        </w:rPr>
        <w:t>except that in the six months ended June 30, 2023, the derivative liability for 450,000 Warrants was transferred from Level 3 to Level 1 of the fair value hierarchy because such Warrants were converted from Private to Public Warrants. The transfer had a $0.1 million favorable impact on the Company’s net loss in the six months ended June 30, 2023</w:t>
      </w:r>
      <w:r>
        <w:rPr>
          <w:rFonts w:ascii="Times New Roman;Times;serif" w:hAnsi="Times New Roman;Times;serif"/>
          <w:sz w:val="20"/>
        </w:rPr>
        <w:t>. The fair value estimates are based on pertinent information available to management as of June 30, 2024 and December 31, 2023. Current estimates of fair value may differ from the amounts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bookmarkStart w:id="1082" w:name="Tc_sp4jchMlhEC5TM6PW3DZiQ_13_8"/>
      <w:bookmarkStart w:id="1083" w:name="Tc_zYMs3hBSE0WU9iHdG7pfwQ_13_5"/>
      <w:bookmarkStart w:id="1084" w:name="Tc_pDrniH4aAkqG5lMo6_jGmg_13_2"/>
      <w:bookmarkStart w:id="1085" w:name="Tc_MeemG0TvC0WazjNVQxMMBQ_13_0"/>
      <w:bookmarkStart w:id="1086" w:name="Tc_YmqM2lOmCESqAqc0OUZt0w_12_0"/>
      <w:bookmarkStart w:id="1087" w:name="Tc_CDSCEL5OYk-1ffeS3y1O1A_11_9"/>
      <w:bookmarkStart w:id="1088" w:name="Tc_IS2agxlPiE2AOh0XU6geew_11_6"/>
      <w:bookmarkStart w:id="1089" w:name="Tc_cyq3GFJZi0eRDAwqAq4AQA_11_0"/>
      <w:bookmarkStart w:id="1090" w:name="Tc_ywT_UDXZMUGeCzGiTk8i7w_10_0"/>
      <w:bookmarkStart w:id="1091" w:name="Tc_FAdhFBM0yk6qzvoKsC1f_w_9_8"/>
      <w:bookmarkStart w:id="1092" w:name="Tc_0H_4baE6lU6D3tUrl2n5UA_9_5"/>
      <w:bookmarkStart w:id="1093" w:name="Tc_bCjhZlTjkkGPq2kLExNuuw_9_2"/>
      <w:bookmarkStart w:id="1094" w:name="Tc_xfMAMAr3z0WGWIQmV0Q1Gg_9_0"/>
      <w:bookmarkStart w:id="1095" w:name="Tc_5NIn435QK0Gsy814poWWQA_7_8"/>
      <w:bookmarkStart w:id="1096" w:name="Tc_7IgfgE9Rs06x8SFjTqMgLg_7_6"/>
      <w:bookmarkStart w:id="1097" w:name="Tc_FL2IAPbgy02nXOVS3Jp-_g_7_5"/>
      <w:bookmarkStart w:id="1098" w:name="Tc_D9ykQjb4n0egLaqIckQjaQ_7_2"/>
      <w:bookmarkStart w:id="1099" w:name="Tc_w4_ER5X8sEappcS0ooAowQ_7_0"/>
      <w:bookmarkStart w:id="1100" w:name="Tc_NSzqjey03k2nnMW-1kKKow_6_6"/>
      <w:bookmarkStart w:id="1101" w:name="Tc_YoaUWoIxKU6uumGAvHgWVQ_6_0"/>
      <w:bookmarkStart w:id="1102" w:name="Tc_tI4Yp1pfHU2GVuHZkegBAA_5_6"/>
      <w:bookmarkStart w:id="1103" w:name="Tc_W8EGwgn5jEOkrzrjrjEFhg_5_0"/>
      <w:bookmarkStart w:id="1104" w:name="Tc__18ZJuqq0E6MTiFAjGFW4w_4_8"/>
      <w:bookmarkStart w:id="1105" w:name="Tc_IrLSo2Mj_0KMsCEto0s_Tg_4_6"/>
      <w:bookmarkStart w:id="1106" w:name="Tc_YeXHza9DfUy7TXPqYmE6eQ_4_5"/>
      <w:bookmarkStart w:id="1107" w:name="Tc_wPb9fvrio0qzPhzbAN5LXg_4_2"/>
      <w:bookmarkStart w:id="1108" w:name="Tc_rjle-IOSOk2T43LSAkjVZQ_4_0"/>
      <w:bookmarkStart w:id="1109" w:name="Tc_g-QuxL9cokeBe-fEJaBA4A_3_8"/>
      <w:bookmarkStart w:id="1110" w:name="Tc_x14hWF4CjU6cGOGilWnL9g_3_5"/>
      <w:bookmarkStart w:id="1111" w:name="Tc_TBU72EvBvEycj5kveZdXiQ_3_2"/>
      <w:bookmarkStart w:id="1112" w:name="Tc_tBju-_dRfUWmYPd2i2izgQ_2_8"/>
      <w:bookmarkStart w:id="1113" w:name="Tc_U8vdL6jm1E6bEyP5EA-CZA_2_5"/>
      <w:bookmarkStart w:id="1114" w:name="Tc_LCE4kqw7xkKvIBn7YKLffw_2_2"/>
      <w:bookmarkStart w:id="1115" w:name="Tc_QhuSKCcFb0WGp3ja_1x0bA_1_5"/>
      <w:bookmarkStart w:id="1116" w:name="Tc_pVdS_62QgU2rnzEEYv0TyQ_1_2"/>
      <w:bookmarkStart w:id="1117" w:name="_cf66f3f5_b9b9_48d5_95d5_e01294a9e4ea"/>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r>
        <w:rPr>
          <w:rFonts w:ascii="Times New Roman;Times;serif" w:hAnsi="Times New Roman;Times;serif"/>
          <w:sz w:val="20"/>
        </w:rPr>
        <w:t>A summary of the changes in the fair value of the Company’s Level 3 financial instruments during the six months ended June 30, 2024, and 2023 respectively, is as follows (in thousands):</w:t>
      </w:r>
    </w:p>
    <w:p>
      <w:pPr>
        <w:pStyle w:val="TextBody"/>
        <w:bidi w:val="0"/>
        <w:spacing w:before="0" w:after="240"/>
        <w:ind w:left="0" w:right="0" w:firstLine="540"/>
        <w:jc w:val="both"/>
        <w:rPr/>
      </w:pPr>
      <w:r>
        <w:rPr/>
        <w:t>​</w:t>
      </w:r>
    </w:p>
    <w:tbl>
      <w:tblPr>
        <w:tblW w:w="9189" w:type="dxa"/>
        <w:jc w:val="left"/>
        <w:tblInd w:w="0" w:type="dxa"/>
        <w:tblLayout w:type="fixed"/>
        <w:tblCellMar>
          <w:top w:w="0" w:type="dxa"/>
          <w:left w:w="0" w:type="dxa"/>
          <w:bottom w:w="0" w:type="dxa"/>
          <w:right w:w="0" w:type="dxa"/>
        </w:tblCellMar>
      </w:tblPr>
      <w:tblGrid>
        <w:gridCol w:w="4846"/>
        <w:gridCol w:w="326"/>
        <w:gridCol w:w="367"/>
        <w:gridCol w:w="1149"/>
        <w:gridCol w:w="326"/>
        <w:gridCol w:w="211"/>
        <w:gridCol w:w="691"/>
        <w:gridCol w:w="326"/>
        <w:gridCol w:w="211"/>
        <w:gridCol w:w="736"/>
      </w:tblGrid>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3045" cy="175260"/>
                      <wp:effectExtent l="0" t="0" r="0" b="0"/>
                      <wp:wrapNone/>
                      <wp:docPr id="142" name="Frame14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29615" cy="175260"/>
                      <wp:effectExtent l="0" t="0" r="0" b="0"/>
                      <wp:wrapNone/>
                      <wp:docPr id="143" name="Frame143"/>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38785" cy="175260"/>
                      <wp:effectExtent l="0" t="0" r="0" b="0"/>
                      <wp:wrapNone/>
                      <wp:docPr id="146" name="Frame1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9" name="Frame14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Forward</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2024</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2024</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r>
      <w:tr>
        <w:trPr/>
        <w:tc>
          <w:tcPr>
            <w:tcW w:w="4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2023</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1,837</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Forward Warrant Agreement</w:t>
      </w:r>
    </w:p>
    <w:p>
      <w:pPr>
        <w:pStyle w:val="TextBody"/>
        <w:bidi w:val="0"/>
        <w:spacing w:before="0" w:after="0"/>
        <w:ind w:left="0" w:right="0" w:hanging="0"/>
        <w:jc w:val="left"/>
        <w:rPr/>
      </w:pPr>
      <w:r>
        <w:rPr/>
        <w:t>​</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execution of the Merger Agreement in October 2021 (See Note 2),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provided for the issuance of a warrant for the purchase of up to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was required to pay an additional $5.0 million to Rigetti no later than the closing date of the listing of Ampere’s capital stock on a stock exchange, provided that if the listing had not occurred by the second anniversary of the Forward Warrant Agreement (October 2023), Ampere was not obligated to make the additional payment. Ampere’s obligation to make the additional $5.0 million payment has now expired. The Company filed a registration statement, pursuant to a Registration Rights Agreement with Ampere, registering the resale of the initial 500,000 shares issued under the warrant which was declared effective during the year ended December 31, 2022.</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re-measured at each reporting period using the Forward Contract Pricing methodology with the change in fair value recorded in selling, general and administrative expense in the condensed consolidated statement of operations.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2023, the Company reduced the estimated probability of occurrence for the Forward Warrant Agreement from 50% to 0% because Ampere’s obligation to make the additional payment under the Forward Warrant Agreement expired without taking effect. As a result, the Forward Warrant Agreement had no value as of June 30, 2024 or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12" w:type="dxa"/>
        <w:jc w:val="left"/>
        <w:tblInd w:w="0" w:type="dxa"/>
        <w:tblLayout w:type="fixed"/>
        <w:tblCellMar>
          <w:top w:w="0" w:type="dxa"/>
          <w:left w:w="0" w:type="dxa"/>
          <w:bottom w:w="0" w:type="dxa"/>
          <w:right w:w="0" w:type="dxa"/>
        </w:tblCellMar>
      </w:tblPr>
      <w:tblGrid>
        <w:gridCol w:w="346"/>
        <w:gridCol w:w="22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2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On June 21, 2024, (the “Amendment Date”), the Company entered into the Amended and Restated Loan and Security Agreement (the “Amended Loan Agreement”), by and between Trinity Capital Inc., as lender (the “Lender”), and  Rigetti &amp; Co, LLC and Rigetti Intermediate LLC (the “Company”), as borrowers, which amended and restated in its entirety the Company’s existing loan and security agreement, dated as of March 10, 2021 (as amended from time to time, the “Existing Loan Agreement”).   </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Under the Existing Loan Agreement, the Company drew $12.0 million in March 2021, $8.0 million in May 2021, $7.0 million in November 2021 and $5.0 million in January 2022 (collectively, the “Term Loans”). The outstanding principal balance of the Term Loans as of the Amendment Date was $16.2 million. There are currently no additional amounts available to be drawn under the Amended Loan Agreement. Each Term Loan amortizes in equal monthly installments through 48 months following the disbursement date of each Term Loan (each, a “Maturity Date”), and bears interest at a rate equal to the greater of 11% or the </w:t>
      </w:r>
      <w:r>
        <w:rPr>
          <w:rFonts w:ascii="Times New Roman;Times;serif" w:hAnsi="Times New Roman;Times;serif"/>
          <w:b w:val="false"/>
          <w:i w:val="false"/>
          <w:caps w:val="false"/>
          <w:smallCaps w:val="false"/>
          <w:sz w:val="20"/>
        </w:rPr>
        <w:t>US Prime Rate</w:t>
      </w:r>
      <w:r>
        <w:rPr>
          <w:rFonts w:ascii="Times New Roman;Times;serif" w:hAnsi="Times New Roman;Times;serif"/>
          <w:sz w:val="20"/>
        </w:rPr>
        <w:t xml:space="preserve"> plus 7.50% per annum, payable monthly. The economic terms and cash flows of the Term Loans remain unchanged under the Amended Loan Agreement.</w:t>
      </w:r>
    </w:p>
    <w:p>
      <w:pPr>
        <w:pStyle w:val="TextBody"/>
        <w:shd w:fill="FFFFFF" w:val="clear"/>
        <w:bidi w:val="0"/>
        <w:spacing w:before="0" w:after="0"/>
        <w:ind w:left="0" w:right="0" w:firstLine="540"/>
        <w:jc w:val="both"/>
        <w:rPr/>
      </w:pPr>
      <w:r>
        <w:rPr/>
        <w:t>​</w:t>
      </w:r>
    </w:p>
    <w:p>
      <w:pPr>
        <w:pStyle w:val="TextBody"/>
        <w:shd w:fill="FFFFFF" w:val="clear"/>
        <w:bidi w:val="0"/>
        <w:spacing w:lineRule="auto" w:line="240" w:before="0" w:after="0"/>
        <w:ind w:left="0" w:right="0" w:firstLine="540"/>
        <w:jc w:val="both"/>
        <w:rPr>
          <w:rFonts w:ascii="Times New Roman;Times;serif" w:hAnsi="Times New Roman;Times;serif"/>
          <w:sz w:val="20"/>
        </w:rPr>
      </w:pPr>
      <w:r>
        <w:rPr>
          <w:rFonts w:ascii="Times New Roman;Times;serif" w:hAnsi="Times New Roman;Times;serif"/>
          <w:sz w:val="20"/>
        </w:rPr>
        <w:t>The Company may prepay, in whole or in part, the outstanding Term Loans, subject to a prepayment premium that remains unchanged from the Existing Loan Agreement, which is 1.5% on or after the 19</w:t>
      </w:r>
      <w:r>
        <w:rPr>
          <w:rFonts w:ascii="Times New Roman;Times;serif" w:hAnsi="Times New Roman;Times;serif"/>
          <w:sz w:val="15"/>
        </w:rPr>
        <w:t>th</w:t>
      </w:r>
      <w:r>
        <w:rPr>
          <w:rFonts w:ascii="Times New Roman;Times;serif" w:hAnsi="Times New Roman;Times;serif"/>
          <w:sz w:val="20"/>
        </w:rPr>
        <w:t xml:space="preserve"> month following the disbursement date of each Term Loan (each, an “Amortization Date”) and before the first anniversary of the Amortization Date, 1.0% on or after the first anniversary of the Amortization Date and before the second anniversary of the Amortization Date and 0.50% on or after the second anniversary of the Amortization Date and before the Maturity Date. </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addition, the Company is required to pay on the respective Maturity Date or the date of an earlier prepayment a final payment fee equal to 2.75% of the aggregate original principal amount of the Term Loans being repaid, which remains consistent with the Existing Loan Agreement. The final payment fee is being accreted and amortized into interest expense using the effective interest rate method over the term of the loan.</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Amended Loan Agreement contains representations and warranties and customary affirmative and negative covenants applicable to the Loan Parties (as defined below) and its consolidated subsidiaries, including, among other things, restrictions on indebtedness, liens, investments, mergers, dispositions, prepayment of other indebtedness and dividends and other distributions, which were amended from the covenants in the Existing Loan Agreement to increase flexibility for the Company. </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Amended Loan Agreement also includes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undischarged judgments, material invalidity of guarantees or grant of security interest, and change of control, in certain cases subject to certain thresholds and grace periods. If one or more events of default occurs and continues beyond any applicable cure period, the Lender may declare all of the obligations of the Company under the Amended Loan Agreement to be immediately due and payable, which remains consistent with the Existing Loan Agreement.</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obligations of the Company under the Amended Loan Agreement are currently guaranteed by the Company’s wholly owned subsidiaries, Rigetti &amp; Co, LLC and Rigetti Intermediate LLC (which, together with the Company, are collectively referred to as the “Loan Parties” and each, a “Loan Party”) and will be guaranteed by any future domestic subsidiaries of the Company. The obligations of the Loan Parties under the Amended Loan Agreement and other loan documents are secured, subject to customary permitted liens and other agreed upon exceptions, by a perfected security interest in all assets of the Loan Parties.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effective interest rate for all tranches of the debt was approximately 23.1% and 22.5% as of June 30, 2024 and December 31, 2023, respectively.</w:t>
      </w:r>
    </w:p>
    <w:p>
      <w:pPr>
        <w:pStyle w:val="TextBody"/>
        <w:shd w:fill="FFFFFF" w:val="clear"/>
        <w:bidi w:val="0"/>
        <w:spacing w:before="0" w:after="0"/>
        <w:ind w:left="0" w:right="0" w:firstLine="63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118" w:name="Tc_SC5Vz_-peE6Dg92-lRaq7A_5_2"/>
      <w:bookmarkStart w:id="1119" w:name="Tc_NwNkPZfM1kKFoaVRPLwCtw_4_0"/>
      <w:bookmarkStart w:id="1120" w:name="Tc_p6AL4WZRHEyhhg3b7pM44Q_3_0"/>
      <w:bookmarkStart w:id="1121" w:name="Tc_A-YVT9AqxkONqYfvqPne3A_2_2"/>
      <w:bookmarkStart w:id="1122" w:name="Tc_JeYzoXKb1UO9_I70Edb5dA_2_0"/>
      <w:bookmarkStart w:id="1123" w:name="Tc_0ad8NXC-j0u5E39xah9mng_1_2"/>
      <w:bookmarkStart w:id="1124" w:name="_e56099af_876c_445c_95a9_41baebbd672e"/>
      <w:bookmarkStart w:id="1125" w:name="Tc_qqJOnFKROUeNC4EE-xIblw_10_5"/>
      <w:bookmarkStart w:id="1126" w:name="Tc_J6piXrookUyXPhJ8kNgeNg_10_2"/>
      <w:bookmarkStart w:id="1127" w:name="Tc_f-KaWm3Boku3HT3TIhVHaw_10_0"/>
      <w:bookmarkStart w:id="1128" w:name="Tc_KuF1HhsuCkSWIqr8OeCwWw_9_0"/>
      <w:bookmarkStart w:id="1129" w:name="Tc_PXCQW3oHLkCLI0x6FEUD3g_8_6"/>
      <w:bookmarkStart w:id="1130" w:name="Tc_zY8Y_GDm4UWs3c-33IY0Sg_8_0"/>
      <w:bookmarkStart w:id="1131" w:name="Tc_eR1B__6V2kWToYg3kNsFCA_7_0"/>
      <w:bookmarkStart w:id="1132" w:name="Tc_hWgGfLwbHEOx4drY4Fi5Sw_6_5"/>
      <w:bookmarkStart w:id="1133" w:name="Tc_UhEBfLfPZEeekHNXp-dcyQ_6_2"/>
      <w:bookmarkStart w:id="1134" w:name="Tc_WbWFBoE_c0-kcncTmCwZmA_6_0"/>
      <w:bookmarkStart w:id="1135" w:name="Tc_UQGFldLAbkGi7cN4pqEk3A_5_0"/>
      <w:bookmarkStart w:id="1136" w:name="Tc_2tfBxgOXUU-uXeNQycwiHA_4_0"/>
      <w:bookmarkStart w:id="1137" w:name="Tc_Dec6JyVs2kOk-hXMiMci1A_3_0"/>
      <w:bookmarkStart w:id="1138" w:name="Tc_N5SD-pU2sUagT4qfJkNL1Q_2_5"/>
      <w:bookmarkStart w:id="1139" w:name="Tc_L1OPAo2vQEGtG5P_dcMOAA_2_2"/>
      <w:bookmarkStart w:id="1140" w:name="Tc_0x0ZEqKP_0OiFE0TtFHZbg_2_0"/>
      <w:bookmarkStart w:id="1141" w:name="Tc_04HoVrqmsEyuXqXc5gov8A_1_5"/>
      <w:bookmarkStart w:id="1142" w:name="Tc_AcbdnaZA9UuFgiv2wS3EPg_1_2"/>
      <w:bookmarkStart w:id="1143" w:name="_43b244e3_6206_45b4_98b2_90977b961d30"/>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Times New Roman;Times;serif" w:hAnsi="Times New Roman;Times;serif"/>
          <w:sz w:val="20"/>
        </w:rPr>
        <w:t>Long term debt and the unamortized discount balances are as follows (in thousands):</w:t>
      </w:r>
    </w:p>
    <w:tbl>
      <w:tblPr>
        <w:tblW w:w="7119" w:type="dxa"/>
        <w:jc w:val="left"/>
        <w:tblInd w:w="0" w:type="dxa"/>
        <w:tblLayout w:type="fixed"/>
        <w:tblCellMar>
          <w:top w:w="0" w:type="dxa"/>
          <w:left w:w="0" w:type="dxa"/>
          <w:bottom w:w="0" w:type="dxa"/>
          <w:right w:w="0" w:type="dxa"/>
        </w:tblCellMar>
      </w:tblPr>
      <w:tblGrid>
        <w:gridCol w:w="4231"/>
        <w:gridCol w:w="109"/>
        <w:gridCol w:w="235"/>
        <w:gridCol w:w="890"/>
        <w:gridCol w:w="109"/>
        <w:gridCol w:w="310"/>
        <w:gridCol w:w="1235"/>
      </w:tblGrid>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49225" cy="175260"/>
                      <wp:effectExtent l="0" t="0" r="0" b="0"/>
                      <wp:wrapNone/>
                      <wp:docPr id="150" name="Frame15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65150" cy="175260"/>
                      <wp:effectExtent l="0" t="0" r="0" b="0"/>
                      <wp:wrapNone/>
                      <wp:docPr id="151" name="Frame151"/>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96850" cy="175260"/>
                      <wp:effectExtent l="0" t="0" r="0" b="0"/>
                      <wp:wrapNone/>
                      <wp:docPr id="153" name="Frame15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84225" cy="175260"/>
                      <wp:effectExtent l="0" t="0" r="0" b="0"/>
                      <wp:wrapNone/>
                      <wp:docPr id="154" name="Frame154"/>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amount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16,177</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109"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discount, long-term</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 principal</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(13,014)</w:t>
            </w:r>
          </w:p>
        </w:tc>
        <w:tc>
          <w:tcPr>
            <w:tcW w:w="109" w:type="dxa"/>
            <w:tcBorders/>
            <w:vAlign w:val="center"/>
          </w:tcPr>
          <w:p>
            <w:pPr>
              <w:pStyle w:val="TableContents"/>
              <w:bidi w:val="0"/>
              <w:spacing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 – principal</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13,014</w:t>
            </w:r>
          </w:p>
        </w:tc>
        <w:tc>
          <w:tcPr>
            <w:tcW w:w="109"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unamortized debt discount</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109" w:type="dxa"/>
            <w:tcBorders/>
            <w:vAlign w:val="center"/>
          </w:tcPr>
          <w:p>
            <w:pPr>
              <w:pStyle w:val="TableContents"/>
              <w:bidi w:val="0"/>
              <w:spacing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13,042</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12,164</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three and six months ended June 30, 2024, the Company recorded interest expense of $1.0 million and $2.1 million, respectively, which includes accretion of the end-of-term liability, amortization of the commitment fee asset and amortization of debt issuance costs totaling $0.2 million and $0.5 million, respectively. During the three and six months ended June 30, 2023, the Company recorded interest expense of $1.6 million and $3.0 million, respectively, which includes accretion of the end-of-term liability, amortization of the commitment fee asset and amortization of debt issuance costs totaling $0.3 million and $0.7 million,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unamortized debt discount as of June 30, 2024 and December 31, 2023 of $0.5 million and $1.0 million, respectively, is offset against the carrying value of the term loan in the condensed consolidated balance sheets.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Scheduled principal payments on total outstanding debt are as follows (in thousands):</w:t>
      </w:r>
    </w:p>
    <w:tbl>
      <w:tblPr>
        <w:tblW w:w="2232" w:type="dxa"/>
        <w:jc w:val="left"/>
        <w:tblInd w:w="0" w:type="dxa"/>
        <w:tblLayout w:type="fixed"/>
        <w:tblCellMar>
          <w:top w:w="0" w:type="dxa"/>
          <w:left w:w="0" w:type="dxa"/>
          <w:bottom w:w="0" w:type="dxa"/>
          <w:right w:w="0" w:type="dxa"/>
        </w:tblCellMar>
      </w:tblPr>
      <w:tblGrid>
        <w:gridCol w:w="541"/>
        <w:gridCol w:w="566"/>
        <w:gridCol w:w="236"/>
        <w:gridCol w:w="889"/>
      </w:tblGrid>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59410" cy="175260"/>
                      <wp:effectExtent l="0" t="0" r="0" b="0"/>
                      <wp:wrapNone/>
                      <wp:docPr id="155" name="Frame15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9860" cy="175260"/>
                      <wp:effectExtent l="0" t="0" r="0" b="0"/>
                      <wp:wrapNone/>
                      <wp:docPr id="156" name="Frame15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4515" cy="175260"/>
                      <wp:effectExtent l="0" t="0" r="0" b="0"/>
                      <wp:wrapNone/>
                      <wp:docPr id="157" name="Frame157"/>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30,2024</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56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56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9,060</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56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54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16,177</w:t>
            </w:r>
          </w:p>
        </w:tc>
      </w:tr>
    </w:tbl>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(8)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Prior to the Business Combination, SNII issued 4,450,000 private placement warrants (“Private Warrants”) and 8,625,000 public warrants (“Public Warrants”). Each whole Private Warrant and Public Warrant entitles the holder to purchase one share of our Common Stock at a price of $11.50 per share, subject to adjustments, and will expire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after completion of the Business Combination or earlier upon redemption or liquidation. </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Liability Classified Warrants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June 30, 2024, there were 9,802,138 Public Warrants issued and outstanding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144" w:name="Tc_tQHNhE55LE2gl4x2c9Y6Xw_8_0"/>
      <w:bookmarkStart w:id="1145" w:name="Tc_N25pAycUrU6cLQyR6L6RuQ_7_0"/>
      <w:bookmarkStart w:id="1146" w:name="Tc_JCngrVE8LUaaUA9-e58MxA_6_0"/>
      <w:bookmarkStart w:id="1147" w:name="Tc_aJe6DLX4QEymc8ooqeySgQ_5_0"/>
      <w:bookmarkStart w:id="1148" w:name="Tc_RmEQ7eI8F0CXSMl0zQd25g_4_5"/>
      <w:bookmarkStart w:id="1149" w:name="Tc_5sgIiuZ07Em2S2mHq_8o5A_4_2"/>
      <w:bookmarkStart w:id="1150" w:name="Tc_DRf07AqJr0i4s3tYHlWOdg_4_0"/>
      <w:bookmarkStart w:id="1151" w:name="Tc_-3fMPXtDPEWOYmKME7qIOQ_3_5"/>
      <w:bookmarkStart w:id="1152" w:name="Tc_aMwto2ASl0C_jFepduDUGQ_3_2"/>
      <w:bookmarkStart w:id="1153" w:name="Tc_fK5oIRW9502S6rDa60jmkQ_3_0"/>
      <w:bookmarkStart w:id="1154" w:name="Tc_gG4lZVhFo0-Th_mj2TdrcA_2_5"/>
      <w:bookmarkStart w:id="1155" w:name="Tc_9aHheWijSUO_r9ghukQf3g_2_2"/>
      <w:bookmarkStart w:id="1156" w:name="Tc_OEnJAhVw2ESD1VFmdjeilQ_2_0"/>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rFonts w:ascii="Times New Roman;Times;serif" w:hAnsi="Times New Roman;Times;serif"/>
          <w:sz w:val="20"/>
        </w:rPr>
        <w:t>The calculated fair value of the derivative liability for the Public Warrants as of June 30, 2024 and December 31, 2023 was $1.4 million and $1.3 million, respectively. The change in the fair value of the Public Warrants included in the condensed consolidated statement of operations during the three and six months ended June 30, 2024 was a gain of $1.0 million and a loss of $0.1 million, respectively. The change in the fair value of the Public Warrants included in the condensed consolidated statement of operations during the three and six months ended June 30, 2023 was a loss of $0.3 million and $0.5 million, respectively.</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Warrants were transferred from the initial purchasers to permitted transferees and remain unredeemable by the Company. As of June 30, 2024, there were 3,272,834 Private Warrants issued and outstanding (Refer to Note 5 for fair value measurement).The Private Warrants are accounted for as a derivative liability. The fair value of the Private Warrants is determined using the Black- Scholes option-pricing model, with subsequent changes in the fair value recognized in the condensed consolidated statements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Private Warrants as of June 30, 2024 and December 31, 2023 was $2.0 million and $1.6 million, respectively. The change in the fair value of the Private Warrants included in the condensed consolidated statements of operations during the three and six months ended June 30, 2024 was a gain of $1.1 million and a loss of $0.4 million, respectively. The change in the fair value of the Private Warrants included in the condensed consolidated statements of operations during the three and six months ended June 30, 2023 was a gain of $0.3 million and a loss of $0.3 million,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June 30, 2024 and December 31, 2023 are as follows:</w:t>
      </w:r>
    </w:p>
    <w:p>
      <w:pPr>
        <w:pStyle w:val="TextBody"/>
        <w:bidi w:val="0"/>
        <w:spacing w:before="0" w:after="0"/>
        <w:ind w:left="0" w:right="0" w:hanging="0"/>
        <w:jc w:val="left"/>
        <w:rPr/>
      </w:pPr>
      <w:r>
        <w:rPr/>
        <w:t>​</w:t>
      </w:r>
    </w:p>
    <w:tbl>
      <w:tblPr>
        <w:tblW w:w="6861" w:type="dxa"/>
        <w:jc w:val="left"/>
        <w:tblInd w:w="0" w:type="dxa"/>
        <w:tblLayout w:type="fixed"/>
        <w:tblCellMar>
          <w:top w:w="0" w:type="dxa"/>
          <w:left w:w="0" w:type="dxa"/>
          <w:bottom w:w="0" w:type="dxa"/>
          <w:right w:w="0" w:type="dxa"/>
        </w:tblCellMar>
      </w:tblPr>
      <w:tblGrid>
        <w:gridCol w:w="3016"/>
        <w:gridCol w:w="566"/>
        <w:gridCol w:w="326"/>
        <w:gridCol w:w="841"/>
        <w:gridCol w:w="566"/>
        <w:gridCol w:w="481"/>
        <w:gridCol w:w="1065"/>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59410" cy="175260"/>
                      <wp:effectExtent l="0" t="0" r="0" b="0"/>
                      <wp:wrapNone/>
                      <wp:docPr id="158" name="Frame158"/>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34035" cy="175260"/>
                      <wp:effectExtent l="0" t="0" r="0" b="0"/>
                      <wp:wrapNone/>
                      <wp:docPr id="160" name="Frame1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59410" cy="175260"/>
                      <wp:effectExtent l="0" t="0" r="0" b="0"/>
                      <wp:wrapNone/>
                      <wp:docPr id="161" name="Frame16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05435" cy="175260"/>
                      <wp:effectExtent l="0" t="0" r="0" b="0"/>
                      <wp:wrapNone/>
                      <wp:docPr id="162" name="Frame16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76275" cy="175260"/>
                      <wp:effectExtent l="0" t="0" r="0" b="0"/>
                      <wp:wrapNone/>
                      <wp:docPr id="163" name="Frame163"/>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56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5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166.00%</w:t>
            </w:r>
          </w:p>
        </w:tc>
        <w:tc>
          <w:tcPr>
            <w:tcW w:w="5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5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5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The Series C Warrants can be exercised for cash or on a cashless basis. As of June 30, 2024, there were 972,578 Series C Warrants issued and outstanding.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sz w:val="20"/>
        </w:rPr>
      </w:pPr>
      <w:bookmarkStart w:id="1157" w:name="Tc_ztbRsMgbEEq1sVJcnTxnnw_3_0"/>
      <w:bookmarkStart w:id="1158" w:name="Tc_d4kH2gJRoEu1-RD9O259_g_2_0"/>
      <w:bookmarkStart w:id="1159" w:name="Tc_y3lGqv9hq0qflWQNoHC02w_1_4"/>
      <w:bookmarkStart w:id="1160" w:name="Tc_rlkne1PwgECGTA_J3DgO5w_1_2"/>
      <w:bookmarkEnd w:id="1157"/>
      <w:bookmarkEnd w:id="1158"/>
      <w:bookmarkEnd w:id="1159"/>
      <w:bookmarkEnd w:id="1160"/>
      <w:r>
        <w:rPr>
          <w:rFonts w:ascii="Times New Roman;Times;serif" w:hAnsi="Times New Roman;Times;serif"/>
          <w:b/>
          <w:sz w:val="20"/>
        </w:rPr>
        <w:t>Customer Warrant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February 2020, the Company issued a warrant to purchase 2,680,607 shares of Class A Common Stock to a customer in conjunction with a revenue arrangement (the “Customer Warrant”). The Customer Warrant has an exercise price of $1.152 per share and has a 10-year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xml:space="preserve"> The Customer Warrant was assumed by the Company in connection with the Business Combination and converted into a warrant to purchase shares of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June 30, 2024, the deferred asset balance outstanding is approximately $0.1 million, which will be recognized as a reduction in revenue in future periods.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0"/>
        <w:ind w:left="0" w:right="0" w:hanging="0"/>
        <w:jc w:val="left"/>
        <w:rPr/>
      </w:pPr>
      <w:r>
        <w:rPr/>
        <w:t>​</w:t>
      </w:r>
    </w:p>
    <w:tbl>
      <w:tblPr>
        <w:tblW w:w="6700" w:type="dxa"/>
        <w:jc w:val="left"/>
        <w:tblInd w:w="0" w:type="dxa"/>
        <w:tblLayout w:type="fixed"/>
        <w:tblCellMar>
          <w:top w:w="0" w:type="dxa"/>
          <w:left w:w="0" w:type="dxa"/>
          <w:bottom w:w="0" w:type="dxa"/>
          <w:right w:w="0" w:type="dxa"/>
        </w:tblCellMar>
      </w:tblPr>
      <w:tblGrid>
        <w:gridCol w:w="2896"/>
        <w:gridCol w:w="566"/>
        <w:gridCol w:w="1126"/>
        <w:gridCol w:w="566"/>
        <w:gridCol w:w="1546"/>
      </w:tblGrid>
      <w:tr>
        <w:trPr/>
        <w:tc>
          <w:tcPr>
            <w:tcW w:w="289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59410" cy="175260"/>
                      <wp:effectExtent l="0" t="0" r="0" b="0"/>
                      <wp:wrapNone/>
                      <wp:docPr id="164" name="Frame16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15010" cy="175260"/>
                      <wp:effectExtent l="0" t="0" r="0" b="0"/>
                      <wp:wrapNone/>
                      <wp:docPr id="165" name="Frame16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59410" cy="175260"/>
                      <wp:effectExtent l="0" t="0" r="0" b="0"/>
                      <wp:wrapNone/>
                      <wp:docPr id="166" name="Frame166"/>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81710" cy="175260"/>
                      <wp:effectExtent l="0" t="0" r="0" b="0"/>
                      <wp:wrapNone/>
                      <wp:docPr id="167" name="Frame167"/>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pBdr/>
        <w:bidi w:val="0"/>
        <w:spacing w:before="240" w:after="240"/>
        <w:ind w:left="0" w:right="0" w:hanging="360"/>
        <w:jc w:val="left"/>
        <w:rPr>
          <w:rFonts w:ascii="Times New Roman;Times;serif" w:hAnsi="Times New Roman;Times;serif"/>
          <w:b/>
          <w:sz w:val="20"/>
        </w:rPr>
      </w:pPr>
      <w:r>
        <w:rPr>
          <w:rFonts w:ascii="Times New Roman;Times;serif" w:hAnsi="Times New Roman;Times;serif"/>
          <w:b/>
          <w:sz w:val="20"/>
        </w:rPr>
        <w:t>(9)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tc>
      </w:tr>
    </w:tbl>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Earn-out liabilities are adjusted to fair value each reporting period using the Monte Carlo simulation model until such time as the Earn-Out Triggering Events are achieved or the Sponsor Vesting Shares are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161" w:name="Tc_WP3Fzk1AwkS7zIm4HUqgTQ_6_0"/>
      <w:bookmarkStart w:id="1162" w:name="Tc_NCZOnlqW10mnf4KNu5Dz4w_5_0"/>
      <w:bookmarkStart w:id="1163" w:name="Tc_DeGh7FIVLUuAxH8UnLE6Iw_4_0"/>
      <w:bookmarkStart w:id="1164" w:name="Tc_H2uKU24zLEe_VS-17IWuBA_3_0"/>
      <w:bookmarkStart w:id="1165" w:name="Tc_anHQp0reg0uf1wFSaI0I1w_2_5"/>
      <w:bookmarkStart w:id="1166" w:name="Tc_lAEdvvaiTkSF96uj9ayJcw_2_2"/>
      <w:bookmarkStart w:id="1167" w:name="Tc_YsutRYKAHUme0v1h4D8KFA_2_0"/>
      <w:bookmarkStart w:id="1168" w:name="Tc_FZhLo7iYTk2bpLwW2m_MNA_1_5"/>
      <w:bookmarkStart w:id="1169" w:name="Tc_Lqx_aO0Q_EGkIIBmep0Lwg_1_2"/>
      <w:bookmarkStart w:id="1170" w:name="Tc_51RCWDnEGk-NVJCJPFvHxQ_1_0"/>
      <w:bookmarkEnd w:id="1161"/>
      <w:bookmarkEnd w:id="1162"/>
      <w:bookmarkEnd w:id="1163"/>
      <w:bookmarkEnd w:id="1164"/>
      <w:bookmarkEnd w:id="1165"/>
      <w:bookmarkEnd w:id="1166"/>
      <w:bookmarkEnd w:id="1167"/>
      <w:bookmarkEnd w:id="1168"/>
      <w:bookmarkEnd w:id="1169"/>
      <w:bookmarkEnd w:id="1170"/>
      <w:r>
        <w:rPr>
          <w:rFonts w:ascii="Times New Roman;Times;serif" w:hAnsi="Times New Roman;Times;serif"/>
          <w:sz w:val="20"/>
        </w:rPr>
        <w:t>The calculated fair value of the Earn-out liabilities with respect to the Sponsor Vesting Shares as of June 30, 2024 and December 31, 2023 was $2.5 million and $2.2 million, respectively. The change in the fair value of the Earn-out liabilities included in the condensed consolidated statements of operations during the three and six months ended June 30, 2024 was a gain of $1.3 million and a loss of $0.3 million, respectively. The change in the fair value of the Earn-out liabilities included in the condensed consolidated statements of operations during the three and six months ended June 30, 2023 was a loss of $0.4 million and $0.6 million,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models as of June 30, 2024 and December 31, 2023 are as follows:</w:t>
      </w:r>
    </w:p>
    <w:p>
      <w:pPr>
        <w:pStyle w:val="TextBody"/>
        <w:bidi w:val="0"/>
        <w:spacing w:before="0" w:after="0"/>
        <w:ind w:left="0" w:right="0" w:hanging="0"/>
        <w:jc w:val="left"/>
        <w:rPr/>
      </w:pPr>
      <w:r>
        <w:rPr/>
        <w:t>​</w:t>
      </w:r>
    </w:p>
    <w:tbl>
      <w:tblPr>
        <w:tblW w:w="6504" w:type="dxa"/>
        <w:jc w:val="left"/>
        <w:tblInd w:w="0" w:type="dxa"/>
        <w:tblLayout w:type="fixed"/>
        <w:tblCellMar>
          <w:top w:w="0" w:type="dxa"/>
          <w:left w:w="0" w:type="dxa"/>
          <w:bottom w:w="0" w:type="dxa"/>
          <w:right w:w="0" w:type="dxa"/>
        </w:tblCellMar>
      </w:tblPr>
      <w:tblGrid>
        <w:gridCol w:w="3226"/>
        <w:gridCol w:w="326"/>
        <w:gridCol w:w="216"/>
        <w:gridCol w:w="864"/>
        <w:gridCol w:w="326"/>
        <w:gridCol w:w="350"/>
        <w:gridCol w:w="1196"/>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7160" cy="175260"/>
                      <wp:effectExtent l="0" t="0" r="0" b="0"/>
                      <wp:wrapNone/>
                      <wp:docPr id="169" name="Frame16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48640" cy="175260"/>
                      <wp:effectExtent l="0" t="0" r="0" b="0"/>
                      <wp:wrapNone/>
                      <wp:docPr id="170" name="Frame17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2250" cy="175260"/>
                      <wp:effectExtent l="0" t="0" r="0" b="0"/>
                      <wp:wrapNone/>
                      <wp:docPr id="172" name="Frame17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59460" cy="175260"/>
                      <wp:effectExtent l="0" t="0" r="0" b="0"/>
                      <wp:wrapNone/>
                      <wp:docPr id="173" name="Frame173"/>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3.17</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171" w:name="Tc_w-CT18KfxkOaSgDKEuSPTw_5_0"/>
      <w:bookmarkStart w:id="1172" w:name="Tc_3NQrulRaCEmYUzakTq9few_4_0"/>
      <w:bookmarkStart w:id="1173" w:name="Tc_Hq_NBtET206XotHVVa6CRw_3_0"/>
      <w:bookmarkStart w:id="1174" w:name="Tc_k9aaASEVSk-SNHELmzT2sw_2_0"/>
      <w:bookmarkStart w:id="1175" w:name="Tc_NI1sdnW2-EurgkdZkeAm0A_1_2"/>
      <w:bookmarkEnd w:id="1171"/>
      <w:bookmarkEnd w:id="1172"/>
      <w:bookmarkEnd w:id="1173"/>
      <w:bookmarkEnd w:id="1174"/>
      <w:bookmarkEnd w:id="1175"/>
      <w:r>
        <w:rPr>
          <w:rFonts w:ascii="Times New Roman;Times;serif" w:hAnsi="Times New Roman;Times;serif"/>
          <w:b/>
          <w:sz w:val="20"/>
        </w:rPr>
        <w:t>(10) Stockholders’ Equity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June 30, 2024, the Company has reserved the following shares of Common Stock for issuance upon the conversion, exercise or vesting of the underlying instruments:</w:t>
      </w:r>
    </w:p>
    <w:p>
      <w:pPr>
        <w:pStyle w:val="TextBody"/>
        <w:bidi w:val="0"/>
        <w:spacing w:before="0" w:after="0"/>
        <w:ind w:left="0" w:right="0" w:hanging="0"/>
        <w:jc w:val="left"/>
        <w:rPr/>
      </w:pPr>
      <w:r>
        <w:rPr/>
        <w:t>​</w:t>
      </w:r>
    </w:p>
    <w:tbl>
      <w:tblPr>
        <w:tblW w:w="5263" w:type="dxa"/>
        <w:jc w:val="left"/>
        <w:tblInd w:w="0" w:type="dxa"/>
        <w:tblLayout w:type="fixed"/>
        <w:tblCellMar>
          <w:top w:w="0" w:type="dxa"/>
          <w:left w:w="0" w:type="dxa"/>
          <w:bottom w:w="0" w:type="dxa"/>
          <w:right w:w="0" w:type="dxa"/>
        </w:tblCellMar>
      </w:tblPr>
      <w:tblGrid>
        <w:gridCol w:w="3676"/>
        <w:gridCol w:w="326"/>
        <w:gridCol w:w="1261"/>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800735" cy="175260"/>
                      <wp:effectExtent l="0" t="0" r="0" b="0"/>
                      <wp:wrapNone/>
                      <wp:docPr id="175" name="Frame17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16,763,305</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9,600,802</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8,382,814</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34,746,921</w:t>
            </w:r>
          </w:p>
        </w:tc>
      </w:tr>
    </w:tbl>
    <w:p>
      <w:pPr>
        <w:pStyle w:val="TextBody"/>
        <w:bidi w:val="0"/>
        <w:spacing w:before="0" w:after="0"/>
        <w:ind w:left="0" w:right="0" w:hanging="0"/>
        <w:jc w:val="left"/>
        <w:rPr/>
      </w:pPr>
      <w:r>
        <w:rPr/>
        <w:t>​</w:t>
      </w:r>
    </w:p>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At-the-Market Offering Agreement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15, 2024, the Company entered into an At-the-Market (“ATM”) Sales Agreement (the “ATM Agreement”) with </w:t>
      </w:r>
      <w:r>
        <w:rPr>
          <w:rFonts w:ascii="Times New Roman;Times;serif" w:hAnsi="Times New Roman;Times;serif"/>
          <w:sz w:val="20"/>
          <w:shd w:fill="FFFFFF" w:val="clear"/>
        </w:rPr>
        <w:t> B. Riley Securities, Inc. (“B. Riley”) and Needham &amp; Company, LLC (“Needham”; each of B. Riley and Needham, a “Sales Agent” and collectively, the “Sales Agents”), pursuant to which the Company may offer and sell, from time to time in its sole discretion, shares of its common stock, having an aggregate offering price of up to $100,000,000, subject to certain limitations as set forth in the ATM Agreement. The Company is not obligated to make any sales under the ATM Agreement.</w:t>
      </w:r>
    </w:p>
    <w:p>
      <w:pPr>
        <w:pStyle w:val="TextBody"/>
        <w:bidi w:val="0"/>
        <w:spacing w:before="160" w:after="0"/>
        <w:ind w:left="0" w:right="0" w:firstLine="533"/>
        <w:jc w:val="both"/>
        <w:rPr>
          <w:rFonts w:ascii="Times New Roman;Times;serif" w:hAnsi="Times New Roman;Times;serif"/>
          <w:sz w:val="20"/>
        </w:rPr>
      </w:pPr>
      <w:r>
        <w:rPr>
          <w:rFonts w:ascii="Times New Roman;Times;serif" w:hAnsi="Times New Roman;Times;serif"/>
          <w:sz w:val="20"/>
        </w:rPr>
        <w:t>Any shares offered and sold in the ATM offering will be issued pursuant to the Company’s effective shelf registration statement on Form S-3 and the related prospectus supplement. Under the ATM Agreement, the sales agents may sell shares of common stock by any method permitted by law deemed to be an “at the market offering” as defined in Rule 415(a)(4) of the Securities Act of 1933, as amended. The Company will pay the sales agents a commission rate of up to 3% of the gross sales proceeds of any shares sold and has agreed to provide the sales agents with customary indemnification, contribution and reimbursement rights. The ATM Agreement contains customary representations and warranties and conditions to the placements of the shares pursuant thereto.</w:t>
      </w:r>
    </w:p>
    <w:p>
      <w:pPr>
        <w:pStyle w:val="TextBody"/>
        <w:bidi w:val="0"/>
        <w:spacing w:before="160" w:after="0"/>
        <w:ind w:left="0" w:right="0" w:firstLine="533"/>
        <w:jc w:val="both"/>
        <w:rPr>
          <w:rFonts w:ascii="Times New Roman;Times;serif" w:hAnsi="Times New Roman;Times;serif"/>
          <w:sz w:val="20"/>
        </w:rPr>
      </w:pPr>
      <w:r>
        <w:rPr>
          <w:rFonts w:ascii="Times New Roman;Times;serif" w:hAnsi="Times New Roman;Times;serif"/>
          <w:sz w:val="20"/>
        </w:rPr>
        <w:t>During the three months ended June 30, 2024, the Company raised gross proceeds of $16.2 million pursuant to the ATM offering through the sale of 12,777,393 shares of its common stock at a weighted average price of $1.27 per share. During the six months ended June 30, 2024, the Company raised gross proceeds of $27.5 million pursuant to the ATM offering through the sale of 19,423,375 shares of its common stock at a weighted average price of $1.42 per share. The net proceeds from the ATM offering during the three and six months ended June 30, 2024 were $15.8 million and $26.8 million, respectively, after deducting sales agent commissions of $0.4 million and $0.7 million, respectively. As of June 30, 2024, up to $72.5 million of Company common stock remains available for sale pursuant to the ATM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left"/>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months ended June 30, 2024, the Company did not sell Common Stock under the Purchase Agreement. During the six months ended June 30, 2024, the Company received net proceeds of $12.8 million from the issuance and sale of 10,056,799 shares of Common Stock to B. Riley under the Purchase Agreement. As of June 30, 2024, there are no remaining shares available for sale under the Purchase Agreement; the agreement has terminated.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was not able to sell Common Stock under the Purchase Agreement for an extended period in early 2023 while its share price was trading below $1.00 per share. As a result, the Company recognized impairment charges during the three and six months ended June 30, 2023 of $0.1 million and $0.8 million, respectively, for previously deferred offering costs, primarily related to the Purchase Agreement, which were recorded as selling, general and administrative expense in the accompanying condensed consolidated statement of operations. </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176" w:name="_Hlk161993311"/>
      <w:bookmarkEnd w:id="1176"/>
      <w:r>
        <w:rPr>
          <w:rFonts w:ascii="Times New Roman;Times;serif" w:hAnsi="Times New Roman;Times;serif"/>
          <w:b/>
          <w:sz w:val="20"/>
        </w:rPr>
        <w:t>(11) Share-Based Compensation</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(“ISOs”),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connection with the Business Combination (Note 2),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June 30, 2024, there were 26,393,563 shares of common stock reserved for issuance under the 2022 Plan, of which 11,193,260 shares remain available for future issuance. 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 of the preceding year; provided, however, that the board of directors of the Company may act prior to January 1st of a given year to provide that the increase for such year will be a lesser number of shares of Common Stock. Accordingly, as of January 1, 2024, the number of shares of common stock reserved for issuance under the “2022 Plan” increased by 9,119,816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sz w:val="20"/>
        </w:rPr>
      </w:pPr>
      <w:bookmarkStart w:id="1177" w:name="Tc_LLgRRVcbpUul2Nzq4x3MZA_10_9"/>
      <w:bookmarkStart w:id="1178" w:name="Tc_W37ebghLiUC4rUe6s4Pcwg_10_4"/>
      <w:bookmarkStart w:id="1179" w:name="Tc_ctinL-slkUKaBxGfxGcz8w_10_0"/>
      <w:bookmarkStart w:id="1180" w:name="Tc_x_pewMUa3Eyc6Y4aWmXzdQ_9_0"/>
      <w:bookmarkStart w:id="1181" w:name="Tc_KDhYNkuxcEGQAbfYc6b_pQ_8_0"/>
      <w:bookmarkStart w:id="1182" w:name="Tc_E0pqVScaiUSLpejJRDhyVA_7_9"/>
      <w:bookmarkStart w:id="1183" w:name="Tc_UYd2aMmRRk6yiDxbqP2wyA_7_0"/>
      <w:bookmarkStart w:id="1184" w:name="Tc_crg4egVvLU-1RHWyzNwNjQ_6_0"/>
      <w:bookmarkStart w:id="1185" w:name="Tc_5Rd_tj7q60636cA7HxoFhw_5_9"/>
      <w:bookmarkStart w:id="1186" w:name="Tc_RZul91e6ekWJB22t3OflPQ_5_4"/>
      <w:bookmarkStart w:id="1187" w:name="Tc_Y28Rre9uEUOJd2AVI08uaA_5_0"/>
      <w:bookmarkStart w:id="1188" w:name="Tc_bWlUaWw6sk-HXx8RVtzhPg_4_9"/>
      <w:bookmarkStart w:id="1189" w:name="Tc_Kh9mTzt0WU2M_1F3tunWww_4_7"/>
      <w:bookmarkStart w:id="1190" w:name="Tc_JVzWNoJ9Skqm5P40MWsQ-A_4_4"/>
      <w:bookmarkStart w:id="1191" w:name="Tc_DwgpBjQvwE2rDZR9wndOng_4_2"/>
      <w:bookmarkStart w:id="1192" w:name="Tc_rqLvDXvs9kGCor6zI4yV_g_3_9"/>
      <w:bookmarkStart w:id="1193" w:name="Tc_XjCYfSBGv0a9WEb_wQQ0fQ_3_7"/>
      <w:bookmarkStart w:id="1194" w:name="Tc_b-xXpbPREk2F_rhkKDMcQw_3_4"/>
      <w:bookmarkStart w:id="1195" w:name="Tc_Tlh-8W7Rf0CgwikT4pd3Uw_2_9"/>
      <w:bookmarkStart w:id="1196" w:name="Tc_ISGxNG4xNEuQLW8_UG-YTw_2_7"/>
      <w:bookmarkStart w:id="1197" w:name="Tc_JvSFLNX2v0uM4HhNAWaQAA_2_4"/>
      <w:bookmarkStart w:id="1198" w:name="Tc_35yHXDuGbkmV-0Pv6mpNEQ_1_7"/>
      <w:bookmarkStart w:id="1199" w:name="Tc_Yyyvt3nkgUKqo9I3waj0nQ_1_4"/>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Pr>
          <w:rFonts w:ascii="Times New Roman;Times;serif" w:hAnsi="Times New Roman;Times;serif"/>
          <w:b/>
          <w:sz w:val="20"/>
        </w:rPr>
        <w:t>Stock Option Activity</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during the six months ended June 30,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41"/>
        <w:gridCol w:w="326"/>
        <w:gridCol w:w="1594"/>
        <w:gridCol w:w="326"/>
        <w:gridCol w:w="312"/>
        <w:gridCol w:w="914"/>
        <w:gridCol w:w="326"/>
        <w:gridCol w:w="1123"/>
        <w:gridCol w:w="326"/>
        <w:gridCol w:w="326"/>
        <w:gridCol w:w="691"/>
      </w:tblGrid>
      <w:tr>
        <w:trPr/>
        <w:tc>
          <w:tcPr>
            <w:tcW w:w="3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98120" cy="175260"/>
                      <wp:effectExtent l="0" t="0" r="0" b="0"/>
                      <wp:wrapNone/>
                      <wp:docPr id="178" name="Frame17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0390" cy="175260"/>
                      <wp:effectExtent l="0" t="0" r="0" b="0"/>
                      <wp:wrapNone/>
                      <wp:docPr id="179" name="Frame179"/>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13105" cy="175260"/>
                      <wp:effectExtent l="0" t="0" r="0" b="0"/>
                      <wp:wrapNone/>
                      <wp:docPr id="181" name="Frame181"/>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4" name="Frame1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r>
      <w:tr>
        <w:trPr/>
        <w:tc>
          <w:tcPr>
            <w:tcW w:w="3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0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0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7,049,290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$ 0.82</w:t>
            </w:r>
          </w:p>
        </w:tc>
        <w:tc>
          <w:tcPr>
            <w:tcW w:w="326" w:type="dxa"/>
            <w:tcBorders/>
            <w:shd w:fill="CCEEFF" w:val="clear"/>
            <w:vAlign w:val="center"/>
          </w:tcPr>
          <w:p>
            <w:pPr>
              <w:pStyle w:val="TableContents"/>
              <w:bidi w:val="0"/>
              <w:spacing w:before="0" w:after="0"/>
              <w:ind w:left="0" w:right="0" w:hanging="0"/>
              <w:jc w:val="left"/>
              <w:rPr/>
            </w:pPr>
            <w:r>
              <w:rPr/>
              <w:t> </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w:t>
            </w:r>
          </w:p>
        </w:tc>
      </w:tr>
      <w:tr>
        <w:trPr/>
        <w:tc>
          <w:tcPr>
            <w:tcW w:w="3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5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1,605,070</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(249,531)</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bidi w:val="0"/>
              <w:spacing w:before="0" w:after="0"/>
              <w:ind w:left="0" w:right="0" w:hanging="0"/>
              <w:jc w:val="left"/>
              <w:rPr/>
            </w:pPr>
            <w:r>
              <w:rPr/>
              <w:t> </w:t>
            </w:r>
          </w:p>
        </w:tc>
        <w:tc>
          <w:tcPr>
            <w:tcW w:w="11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3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5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(22,015)</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r>
      <w:tr>
        <w:trPr/>
        <w:tc>
          <w:tcPr>
            <w:tcW w:w="3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5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8,382,814</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w:t>
            </w:r>
          </w:p>
        </w:tc>
      </w:tr>
      <w:tr>
        <w:trPr/>
        <w:tc>
          <w:tcPr>
            <w:tcW w:w="3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2024</w:t>
            </w:r>
          </w:p>
        </w:tc>
        <w:tc>
          <w:tcPr>
            <w:tcW w:w="326" w:type="dxa"/>
            <w:tcBorders/>
            <w:vAlign w:val="center"/>
          </w:tcPr>
          <w:p>
            <w:pPr>
              <w:pStyle w:val="TableContents"/>
              <w:bidi w:val="0"/>
              <w:spacing w:before="0" w:after="0"/>
              <w:ind w:left="0" w:right="0" w:hanging="0"/>
              <w:jc w:val="left"/>
              <w:rPr/>
            </w:pPr>
            <w:r>
              <w:rPr/>
              <w:t> </w:t>
            </w:r>
          </w:p>
        </w:tc>
        <w:tc>
          <w:tcPr>
            <w:tcW w:w="15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3,377,648</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1,895</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weighted-average grant date fair value of stock options granted during the six months ended June 30, 2024 and 2023 was $1.51 and $0.55 per share, respectively. The intrinsic value of an option is the amount by which the market price of the underlying common stock exceeds the option’s exercise price. The intrinsic value of stock options exercised during the six months ended June 30, 2024 and 2023 was $0.3 million and $1.4 million,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received proceeds from stock option exercises of $0.1 million and $0.9 million during the six months ended June 30, 2024 and 2023,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$0.5 million and $0.9 million for the three and six months ended June 30, 2024, respectively. Stock-based compensation expense related to stock options granted to employees was $0.4 million and $0.8 million for the three and six months ended June 30, 2023, respectively. As of June 30, 2024, the unrecognized compensation expense related to unvested stock options was $4.8 million, which is expected to be recognized over a weighted-average period of 2.71 years.</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each stock option award is estimated on the date of grant using the Black-Scholes option-pricing model that uses the assumptions noted in the table below. Expected volatility for the Company’s Common Stock was determined based on a blended average of the historical volatility of the Company’s Common Stock, a peer group of similar public companies and the implied volatility from the Company’s traded warrants. The Company has not been public for a sufficient length of time to derive expected volatility solely from trading in its common stock. The expected term of stock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All of the Company’s outstanding stock options have a time-based vesting condition ranging from 1-5 years, except that 500,000 stock options granted in 2022 have a market-based vesting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200" w:name="Tc_n85MLNwx3UuxDG621AGYWQ_8_4"/>
      <w:bookmarkStart w:id="1201" w:name="Tc_dQLjTG5vHEuKJdTap-Yixw_8_0"/>
      <w:bookmarkStart w:id="1202" w:name="Tc_PCi5S4swcUCK0kKgZjGeOA_7_0"/>
      <w:bookmarkStart w:id="1203" w:name="Tc_GLVMOJ1sZUWeMwHjt_6xfA_6_0"/>
      <w:bookmarkStart w:id="1204" w:name="Tc__FHEF_RfuUyjjB9zCt89bQ_5_0"/>
      <w:bookmarkStart w:id="1205" w:name="Tc_apxnoi9ICUu-sYLJ0pO40w_4_4"/>
      <w:bookmarkStart w:id="1206" w:name="Tc_tCChHlZVCUmdQ-e7IXgoOA_4_0"/>
      <w:bookmarkStart w:id="1207" w:name="Tc_9ZLQH6kZcUyidFFvAX6Dmw_3_4"/>
      <w:bookmarkStart w:id="1208" w:name="Tc_O91qc2gJfUirKNdxczMCVQ_3_2"/>
      <w:bookmarkStart w:id="1209" w:name="Tc_ejLXQkcrMkOxYkB3guvAJw_2_4"/>
      <w:bookmarkStart w:id="1210" w:name="Tc_EE1oAqTbEE-Y4RBe0VLofw_1_4"/>
      <w:bookmarkStart w:id="1211" w:name="_baf2d1e3_bf2c_471c_8027_9d3c26c0e052"/>
      <w:bookmarkStart w:id="1212" w:name="Tc_KQGggzOEWU-GzBD2hl3zEg_6_2"/>
      <w:bookmarkStart w:id="1213" w:name="Tc_8L3t8goyKk2j7pDspU-ydw_6_0"/>
      <w:bookmarkStart w:id="1214" w:name="Tc_csT6_-2FDkOdEMTsJCWjHQ_5_2"/>
      <w:bookmarkStart w:id="1215" w:name="Tc_ebaD6QBd_EuyrSkBCrylww_5_0"/>
      <w:bookmarkStart w:id="1216" w:name="Tc_8T54Wpgs6kipX6mZSY9zaw_4_2"/>
      <w:bookmarkStart w:id="1217" w:name="Tc_SmQnofwOIkOO2UDOYASpyQ_4_0"/>
      <w:bookmarkStart w:id="1218" w:name="Tc_U86BHpykf0CTOc6Dm-g0nw_3_2"/>
      <w:bookmarkStart w:id="1219" w:name="Tc_JB1UDHXNekOTiqN326bCMA_3_0"/>
      <w:bookmarkStart w:id="1220" w:name="Tc_jIaEJOnqSEe8VxTfTGyC-Q_2_2"/>
      <w:bookmarkStart w:id="1221" w:name="Tc_vbKnVMii502TjdejaM43Rg_2_0"/>
      <w:bookmarkStart w:id="1222" w:name="Tc_aZzOBsPWJUONLWpsmdOVlw_1_2"/>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sz w:val="20"/>
        </w:rPr>
        <w:t>The range of valuation assumptions used as inputs to the Black-Scholes option-pricing model to value stock options granted during the six months ended June 30, 2024 were as follows:</w:t>
      </w:r>
    </w:p>
    <w:p>
      <w:pPr>
        <w:pStyle w:val="TextBody"/>
        <w:bidi w:val="0"/>
        <w:spacing w:before="0" w:after="0"/>
        <w:ind w:left="0" w:right="0" w:hanging="0"/>
        <w:jc w:val="left"/>
        <w:rPr/>
      </w:pPr>
      <w:r>
        <w:rPr/>
        <w:t>​</w:t>
      </w:r>
    </w:p>
    <w:tbl>
      <w:tblPr>
        <w:tblW w:w="3336" w:type="dxa"/>
        <w:jc w:val="left"/>
        <w:tblInd w:w="0" w:type="dxa"/>
        <w:tblLayout w:type="fixed"/>
        <w:tblCellMar>
          <w:top w:w="0" w:type="dxa"/>
          <w:left w:w="0" w:type="dxa"/>
          <w:bottom w:w="0" w:type="dxa"/>
          <w:right w:w="0" w:type="dxa"/>
        </w:tblCellMar>
      </w:tblPr>
      <w:tblGrid>
        <w:gridCol w:w="1876"/>
        <w:gridCol w:w="109"/>
        <w:gridCol w:w="135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191260" cy="175260"/>
                      <wp:effectExtent l="0" t="0" r="0" b="0"/>
                      <wp:wrapNone/>
                      <wp:docPr id="185" name="Frame18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57885" cy="175260"/>
                      <wp:effectExtent l="0" t="0" r="0" b="0"/>
                      <wp:wrapNone/>
                      <wp:docPr id="187" name="Frame18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Time-based </w:t>
              <w:br/>
              <w:t>Stock Option</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Grants</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$0.98 - $2.03</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 - 130%</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 - 4.45%</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5.50 - 6.02</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RSUs</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is a summary of RSU activity during the six months ended June 30, 2024:</w:t>
      </w:r>
    </w:p>
    <w:tbl>
      <w:tblPr>
        <w:tblW w:w="6069" w:type="dxa"/>
        <w:jc w:val="left"/>
        <w:tblInd w:w="0" w:type="dxa"/>
        <w:tblLayout w:type="fixed"/>
        <w:tblCellMar>
          <w:top w:w="0" w:type="dxa"/>
          <w:left w:w="0" w:type="dxa"/>
          <w:bottom w:w="0" w:type="dxa"/>
          <w:right w:w="0" w:type="dxa"/>
        </w:tblCellMar>
      </w:tblPr>
      <w:tblGrid>
        <w:gridCol w:w="2866"/>
        <w:gridCol w:w="326"/>
        <w:gridCol w:w="1051"/>
        <w:gridCol w:w="326"/>
        <w:gridCol w:w="335"/>
        <w:gridCol w:w="1165"/>
      </w:tblGrid>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7385" cy="175260"/>
                      <wp:effectExtent l="0" t="0" r="0" b="0"/>
                      <wp:wrapNone/>
                      <wp:docPr id="189" name="Frame18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2725" cy="175260"/>
                      <wp:effectExtent l="0" t="0" r="0" b="0"/>
                      <wp:wrapNone/>
                      <wp:docPr id="191" name="Frame19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39775" cy="175260"/>
                      <wp:effectExtent l="0" t="0" r="0" b="0"/>
                      <wp:wrapNone/>
                      <wp:docPr id="192" name="Frame192"/>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11,517,422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1,567,515</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(683,416)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11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(2,800,719)</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9,600,802</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$ 2.04</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at June 30, 2024, was $10.3 million. The total fair value of RSUs that vested during the six months ended June 30, 2024 and 2023, based on the closing price of the Company’s common stock on the vesting date, was $3.5 million and $1.4 million, respectively.</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six months ended June 30, 2024, the Company issued 1,567,515 time-based RSUs. The time-based RSUs vest over periods ranging from 1-4 years and require continuous employment.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six months ended June 30, 2023, the Company issued 1,603,371 time-based RSUs and 3,850,000 market-based RSUs. The time-based RSUs vest over periods ranging from 1-4 years and require continuous employment. The market-based RSUs vest only if certain share price thresholds are achieved and require continuous employment. Based upon the terms of such awards, </w:t>
      </w:r>
      <w:r>
        <w:rPr>
          <w:rFonts w:ascii="Times New Roman;Times;serif" w:hAnsi="Times New Roman;Times;serif"/>
          <w:sz w:val="20"/>
          <w:shd w:fill="FFFFFF" w:val="clear"/>
        </w:rPr>
        <w:t xml:space="preserve">50% </w:t>
      </w:r>
      <w:r>
        <w:rPr>
          <w:rFonts w:ascii="Times New Roman;Times;serif" w:hAnsi="Times New Roman;Times;serif"/>
          <w:sz w:val="20"/>
        </w:rPr>
        <w:t xml:space="preserve">of the shares vest if the Company’s Common Stock trades at or above </w:t>
      </w:r>
      <w:r>
        <w:rPr>
          <w:rFonts w:ascii="Times New Roman;Times;serif" w:hAnsi="Times New Roman;Times;serif"/>
          <w:sz w:val="20"/>
          <w:shd w:fill="FFFFFF" w:val="clear"/>
        </w:rPr>
        <w:t>$2.00 </w:t>
      </w:r>
      <w:r>
        <w:rPr>
          <w:rFonts w:ascii="Times New Roman;Times;serif" w:hAnsi="Times New Roman;Times;serif"/>
          <w:sz w:val="20"/>
        </w:rPr>
        <w:t xml:space="preserve">per share, and the other </w:t>
      </w:r>
      <w:r>
        <w:rPr>
          <w:rFonts w:ascii="Times New Roman;Times;serif" w:hAnsi="Times New Roman;Times;serif"/>
          <w:sz w:val="20"/>
          <w:shd w:fill="FFFFFF" w:val="clear"/>
        </w:rPr>
        <w:t>50% </w:t>
      </w:r>
      <w:r>
        <w:rPr>
          <w:rFonts w:ascii="Times New Roman;Times;serif" w:hAnsi="Times New Roman;Times;serif"/>
          <w:sz w:val="20"/>
        </w:rPr>
        <w:t>of the shares vest if the Company’s Common Stock trades at or above</w:t>
      </w:r>
      <w:r>
        <w:rPr>
          <w:rFonts w:ascii="Times New Roman;Times;serif" w:hAnsi="Times New Roman;Times;serif"/>
          <w:sz w:val="20"/>
          <w:shd w:fill="FFFFFF" w:val="clear"/>
        </w:rPr>
        <w:t> $4.00 </w:t>
      </w:r>
      <w:r>
        <w:rPr>
          <w:rFonts w:ascii="Times New Roman;Times;serif" w:hAnsi="Times New Roman;Times;serif"/>
          <w:sz w:val="20"/>
        </w:rPr>
        <w:t>per share, for</w:t>
      </w:r>
      <w:r>
        <w:rPr>
          <w:rFonts w:ascii="Times New Roman;Times;serif" w:hAnsi="Times New Roman;Times;serif"/>
          <w:sz w:val="20"/>
          <w:shd w:fill="FFFFFF" w:val="clear"/>
        </w:rPr>
        <w:t> 20 out of 30 </w:t>
      </w:r>
      <w:r>
        <w:rPr>
          <w:rFonts w:ascii="Times New Roman;Times;serif" w:hAnsi="Times New Roman;Times;serif"/>
          <w:sz w:val="20"/>
        </w:rPr>
        <w:t xml:space="preserve">trading days through the fifth anniversary of the grant date.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the Company’s time-based RSUs was calculated based on the fair market value of the Company’s common stock on the date of grant. The fair value of the Company’s market-based RSUs was calculated using a Monte Carlo simulation model at the date of grant. The weighted-average grant date fair value for RSUs granted in the six months ended June 30, 2024 and 2023 was</w:t>
      </w:r>
      <w:r>
        <w:rPr>
          <w:rFonts w:ascii="Times New Roman;Times;serif" w:hAnsi="Times New Roman;Times;serif"/>
          <w:sz w:val="20"/>
          <w:shd w:fill="FFFFFF" w:val="clear"/>
        </w:rPr>
        <w:t> $1.46 and $0.56 per RSU,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$2.8 million and $5.5 million for the three and six months ended June 30, 2024, respectively. Stock-based compensation expense related to RSUs granted to employees was $3.0 million and $4.3 million for the three and six months ended June 30, 2023, respectively. As of June 30, 2024, the unrecognized compensation expense related to unvested RSUs was $15.3 million, which is expected to be recognized over a weighted-average period of 1.60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left"/>
        <w:rPr>
          <w:rFonts w:ascii="Times New Roman;Times;serif" w:hAnsi="Times New Roman;Times;serif"/>
          <w:b/>
          <w:sz w:val="20"/>
        </w:rPr>
      </w:pPr>
      <w:bookmarkStart w:id="1223" w:name="Tc_qBDcEvm3Xker9S8MQOJHMw_5_11"/>
      <w:bookmarkStart w:id="1224" w:name="Tc_rXe7ESdIwUS8A_ryWNmB8w_5_8"/>
      <w:bookmarkStart w:id="1225" w:name="Tc_gMzAbpj9e0ytzeoJCcIvTQ_5_5"/>
      <w:bookmarkStart w:id="1226" w:name="Tc_AHj08ZPYVEqGMgbHRmk7kA_5_2"/>
      <w:bookmarkStart w:id="1227" w:name="Tc_A1lF_RdEfk6a8KYXfNdIfA_5_0"/>
      <w:bookmarkStart w:id="1228" w:name="Tc_hQt0dc-ZzkCvTP0yvBQMgw_4_0"/>
      <w:bookmarkStart w:id="1229" w:name="Tc_C-8eq8Ilh0OSczeE_rqmbA_3_11"/>
      <w:bookmarkStart w:id="1230" w:name="Tc_l7WwsZMWlUKWWjeXIksEYg_3_8"/>
      <w:bookmarkStart w:id="1231" w:name="Tc_tfgmt-wOw0Waweb-1blhWw_3_5"/>
      <w:bookmarkStart w:id="1232" w:name="Tc_XSD_j6mjPUqaJxHDaLQU2Q_3_2"/>
      <w:bookmarkStart w:id="1233" w:name="Tc_g9mE-hl_KkWZyujwSoCVvg_3_0"/>
      <w:bookmarkStart w:id="1234" w:name="Tc_ICUCgf68l0egmVSVO3JC6A_2_11"/>
      <w:bookmarkStart w:id="1235" w:name="Tc_k-4RJ8BlJkSh_h7yitynLQ_2_8"/>
      <w:bookmarkStart w:id="1236" w:name="Tc_9S8X_X41G0K2MESjTzI1LQ_2_5"/>
      <w:bookmarkStart w:id="1237" w:name="Tc_OKANltTbHEedHUXjfbXtMg_2_2"/>
      <w:bookmarkStart w:id="1238" w:name="Tc_pM99ZyXAv0iAibLnFcV-EA_1_8"/>
      <w:bookmarkStart w:id="1239" w:name="Tc_WjFctSJnmkOpJZ-kikCL1g_1_2"/>
      <w:bookmarkStart w:id="1240" w:name="_b91dd343_997d_4870_a130_2c8967533a54"/>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b/>
          <w:sz w:val="20"/>
        </w:rPr>
        <w:t>Summarized Stock-Based Compensation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table below summarizes total stock-based compensation expenses for the three and six months ended June 30, 2024 and 2023, respectively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tbl>
      <w:tblPr>
        <w:tblW w:w="8873" w:type="dxa"/>
        <w:jc w:val="left"/>
        <w:tblInd w:w="0" w:type="dxa"/>
        <w:tblLayout w:type="fixed"/>
        <w:tblCellMar>
          <w:top w:w="0" w:type="dxa"/>
          <w:left w:w="0" w:type="dxa"/>
          <w:bottom w:w="0" w:type="dxa"/>
          <w:right w:w="0" w:type="dxa"/>
        </w:tblCellMar>
      </w:tblPr>
      <w:tblGrid>
        <w:gridCol w:w="3736"/>
        <w:gridCol w:w="326"/>
        <w:gridCol w:w="252"/>
        <w:gridCol w:w="684"/>
        <w:gridCol w:w="390"/>
        <w:gridCol w:w="252"/>
        <w:gridCol w:w="684"/>
        <w:gridCol w:w="326"/>
        <w:gridCol w:w="231"/>
        <w:gridCol w:w="625"/>
        <w:gridCol w:w="357"/>
        <w:gridCol w:w="231"/>
        <w:gridCol w:w="625"/>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0020" cy="175260"/>
                      <wp:effectExtent l="0" t="0" r="0" b="0"/>
                      <wp:wrapNone/>
                      <wp:docPr id="194" name="Frame19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34340" cy="175260"/>
                      <wp:effectExtent l="0" t="0" r="0" b="0"/>
                      <wp:wrapNone/>
                      <wp:docPr id="195" name="Frame19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47650" cy="175260"/>
                      <wp:effectExtent l="0" t="0" r="0" b="0"/>
                      <wp:wrapNone/>
                      <wp:docPr id="196" name="Frame19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0020" cy="175260"/>
                      <wp:effectExtent l="0" t="0" r="0" b="0"/>
                      <wp:wrapNone/>
                      <wp:docPr id="197" name="Frame19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4340" cy="175260"/>
                      <wp:effectExtent l="0" t="0" r="0" b="0"/>
                      <wp:wrapNone/>
                      <wp:docPr id="198" name="Frame19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6685" cy="175260"/>
                      <wp:effectExtent l="0" t="0" r="0" b="0"/>
                      <wp:wrapNone/>
                      <wp:docPr id="200" name="Frame20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96875" cy="175260"/>
                      <wp:effectExtent l="0" t="0" r="0" b="0"/>
                      <wp:wrapNone/>
                      <wp:docPr id="201" name="Frame20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6695" cy="175260"/>
                      <wp:effectExtent l="0" t="0" r="0" b="0"/>
                      <wp:wrapNone/>
                      <wp:docPr id="202" name="Frame20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6685" cy="175260"/>
                      <wp:effectExtent l="0" t="0" r="0" b="0"/>
                      <wp:wrapNone/>
                      <wp:docPr id="203" name="Frame20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96875" cy="175260"/>
                      <wp:effectExtent l="0" t="0" r="0" b="0"/>
                      <wp:wrapNone/>
                      <wp:docPr id="204" name="Frame204"/>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7790" cy="175260"/>
                      <wp:effectExtent l="0" t="0" r="0" b="0"/>
                      <wp:wrapNone/>
                      <wp:docPr id="205" name="Frame20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7"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c>
          <w:tcPr>
            <w:tcW w:w="357"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w:t>
            </w:r>
          </w:p>
        </w:tc>
        <w:tc>
          <w:tcPr>
            <w:tcW w:w="357"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1" w:name="Tc_AqH1Ab1n1kKPES0ncy3Xvg_6_5"/>
      <w:bookmarkStart w:id="1242" w:name="Tc_0AFM9XXzJU-NB1hcMaJ5_g_6_2"/>
      <w:bookmarkStart w:id="1243" w:name="Tc_xtJlMLquck6F7vGNDsTg6A_6_0"/>
      <w:bookmarkStart w:id="1244" w:name="Tc_S1OqTELJyUSIC5vxgoyh4A_5_0"/>
      <w:bookmarkStart w:id="1245" w:name="Tc_2EzlhG7e90SFp5ycMzNGeQ_4_0"/>
      <w:bookmarkStart w:id="1246" w:name="Tc_SoUJycQy2kidCp_FDleANg_3_5"/>
      <w:bookmarkStart w:id="1247" w:name="Tc_JEsf1IS5bkqCjaPoyy3i_g_3_2"/>
      <w:bookmarkStart w:id="1248" w:name="Tc_pQ-uzCuhSkaOFdBmvgRyhA_3_0"/>
      <w:bookmarkStart w:id="1249" w:name="Tc_TmBvIdvdrE2pv_TeVC9jbw_2_5"/>
      <w:bookmarkStart w:id="1250" w:name="Tc_sSAB_hllZE-Saj6xmNKaUw_2_2"/>
      <w:bookmarkStart w:id="1251" w:name="Tc_r_TcCmYlME-xtBelWwo4jg_1_2"/>
      <w:bookmarkStart w:id="1252" w:name="Tc_OtbLCcwFo0OBVAsuz7gijA_4_8"/>
      <w:bookmarkStart w:id="1253" w:name="Tc_HJgFRIUP2U2ymXEgFq3eJQ_4_5"/>
      <w:bookmarkStart w:id="1254" w:name="Tc_5YTkZTv5EkqvD13OIH8f_w_4_2"/>
      <w:bookmarkStart w:id="1255" w:name="Tc_lMaF4EEP3ESPQ_lohpZIjQ_4_0"/>
      <w:bookmarkStart w:id="1256" w:name="Tc_kpASlGMPtkCS78Yx-yqZ4A_3_8"/>
      <w:bookmarkStart w:id="1257" w:name="Tc_10Uy4hd9ZE-30DM6bTiySg_3_5"/>
      <w:bookmarkStart w:id="1258" w:name="Tc_9f-OglddKkyLQvRvxMGjtA_3_2"/>
      <w:bookmarkStart w:id="1259" w:name="Tc_vedKMLj1Akaq4BOcYPBuAw_3_0"/>
      <w:bookmarkStart w:id="1260" w:name="Tc_Un2Oysu9MkKK4ZG0jDu8Kg_2_8"/>
      <w:bookmarkStart w:id="1261" w:name="Tc_Rd96C_G440yHiz-tQqVZQQ_2_5"/>
      <w:bookmarkStart w:id="1262" w:name="Tc_dmCYIdh__k-SQ9kZoVUV9Q_2_2"/>
      <w:bookmarkStart w:id="1263" w:name="Tc_4zA3SkKR2UOJnemFVJSTSA_2_0"/>
      <w:bookmarkStart w:id="1264" w:name="Tc_BRqfT6fRj0-wXWpm4oV9lg_1_8"/>
      <w:bookmarkStart w:id="1265" w:name="Tc_VTnhgNx8PEG-irP_dE2FRQ_1_5"/>
      <w:bookmarkStart w:id="1266" w:name="Tc_UoEYYfo3xUeuU1Xt3m6Z6Q_1_2"/>
      <w:bookmarkStart w:id="1267" w:name="_1141a5a0_9a0c_4fed_99f5_df96cf13625d"/>
      <w:bookmarkStart w:id="1268" w:name="Tc_W5y9mHwm-EaKA2WMxZL__A_5_11"/>
      <w:bookmarkStart w:id="1269" w:name="Tc_FPKiuZaTnUKXxITcjsEWcQ_5_8"/>
      <w:bookmarkStart w:id="1270" w:name="Tc_TWAQhx7sfkKABcF6Xd5vTQ_5_5"/>
      <w:bookmarkStart w:id="1271" w:name="Tc_3AvgATgABUScR9WMw3t1uw_5_2"/>
      <w:bookmarkStart w:id="1272" w:name="Tc_eO2tpuNST0KDh9vJ2P-fUA_4_0"/>
      <w:bookmarkStart w:id="1273" w:name="Tc_9okOTbR5okiOwBz0thzXtw_3_11"/>
      <w:bookmarkStart w:id="1274" w:name="Tc_v1gVir_ALEKfEwULavUuow_3_8"/>
      <w:bookmarkStart w:id="1275" w:name="Tc_HaNUkoMEgUeT9Kg4GExHGg_3_5"/>
      <w:bookmarkStart w:id="1276" w:name="Tc_b_uNEBSQeEWJKeiX0gndCA_3_2"/>
      <w:bookmarkStart w:id="1277" w:name="Tc_F9tA41tgXky7WDMZn3f7Fg_3_0"/>
      <w:bookmarkStart w:id="1278" w:name="Tc_AQdYA9vUkECck1ALdXCafw_2_11"/>
      <w:bookmarkStart w:id="1279" w:name="Tc_IuHp3vV1ekSuF3MLphBkzA_2_8"/>
      <w:bookmarkStart w:id="1280" w:name="Tc_vQl2sIuxqUipaPQa3-ut-w_2_5"/>
      <w:bookmarkStart w:id="1281" w:name="Tc_1RfNywtTMUitD80GI53xXA_2_2"/>
      <w:bookmarkStart w:id="1282" w:name="Tc_ySyRUK6of0yKD8lOKtafQA_1_8"/>
      <w:bookmarkStart w:id="1283" w:name="Tc_VRZf4aQ0F0GC8ELwCvFYeA_1_2"/>
      <w:bookmarkStart w:id="1284" w:name="_2444c5a9_4001_4a20_be59_721cfc9c92b3"/>
      <w:bookmarkStart w:id="1285" w:name="Tc_B4pPu_nQ6ESVN_YE9tABDg_5_11"/>
      <w:bookmarkStart w:id="1286" w:name="Tc_Vj1ad7Op40mDA2Mxut_Wkg_5_8"/>
      <w:bookmarkStart w:id="1287" w:name="Tc_JNvPSuG-H0iNb5qBGzH2VA_5_5"/>
      <w:bookmarkStart w:id="1288" w:name="Tc_gwsei-yGEUSbGOj6asG3_w_5_2"/>
      <w:bookmarkStart w:id="1289" w:name="Tc_ehRtdR7UPUyq6dlk9oC4Xg_4_0"/>
      <w:bookmarkStart w:id="1290" w:name="Tc_wc9h68gLeUCpU9foUyHQ0g_3_11"/>
      <w:bookmarkStart w:id="1291" w:name="Tc_qwXsoUl2-EOJW4TxH9w9wg_3_8"/>
      <w:bookmarkStart w:id="1292" w:name="Tc__hsxKtphV0izS6aoyoQnEA_3_5"/>
      <w:bookmarkStart w:id="1293" w:name="Tc_issca8UaQ0asdkPyPtA1CA_3_2"/>
      <w:bookmarkStart w:id="1294" w:name="Tc_u_E31XRK_0iDk6q_UGDpDQ_3_0"/>
      <w:bookmarkStart w:id="1295" w:name="Tc_VndJaIqhgkO8RIuEbFBxOg_2_11"/>
      <w:bookmarkStart w:id="1296" w:name="Tc_MFR28p49g0SgdCxqOyIFnA_2_8"/>
      <w:bookmarkStart w:id="1297" w:name="Tc_qwujYqFhXU2V4CQWCKU83Q_2_5"/>
      <w:bookmarkStart w:id="1298" w:name="Tc_D3GVPbBsB0qAT1VZkLyVNg_2_2"/>
      <w:bookmarkStart w:id="1299" w:name="Tc_IHTo8elDhUiLBpZLJzIclQ_1_8"/>
      <w:bookmarkStart w:id="1300" w:name="Tc_S2xDORRksU-ci8ZRHHMdwg_1_2"/>
      <w:bookmarkStart w:id="1301" w:name="_23d537bb_4b6a_4e7f_8dc6_32696836f7a0"/>
      <w:bookmarkStart w:id="1302" w:name="Tc_AqH1Ab1n1kKPES0ncy3Xvg_6_5"/>
      <w:bookmarkStart w:id="1303" w:name="Tc_0AFM9XXzJU-NB1hcMaJ5_g_6_2"/>
      <w:bookmarkStart w:id="1304" w:name="Tc_xtJlMLquck6F7vGNDsTg6A_6_0"/>
      <w:bookmarkStart w:id="1305" w:name="Tc_S1OqTELJyUSIC5vxgoyh4A_5_0"/>
      <w:bookmarkStart w:id="1306" w:name="Tc_2EzlhG7e90SFp5ycMzNGeQ_4_0"/>
      <w:bookmarkStart w:id="1307" w:name="Tc_SoUJycQy2kidCp_FDleANg_3_5"/>
      <w:bookmarkStart w:id="1308" w:name="Tc_JEsf1IS5bkqCjaPoyy3i_g_3_2"/>
      <w:bookmarkStart w:id="1309" w:name="Tc_pQ-uzCuhSkaOFdBmvgRyhA_3_0"/>
      <w:bookmarkStart w:id="1310" w:name="Tc_TmBvIdvdrE2pv_TeVC9jbw_2_5"/>
      <w:bookmarkStart w:id="1311" w:name="Tc_sSAB_hllZE-Saj6xmNKaUw_2_2"/>
      <w:bookmarkStart w:id="1312" w:name="Tc_r_TcCmYlME-xtBelWwo4jg_1_2"/>
      <w:bookmarkStart w:id="1313" w:name="Tc_OtbLCcwFo0OBVAsuz7gijA_4_8"/>
      <w:bookmarkStart w:id="1314" w:name="Tc_HJgFRIUP2U2ymXEgFq3eJQ_4_5"/>
      <w:bookmarkStart w:id="1315" w:name="Tc_5YTkZTv5EkqvD13OIH8f_w_4_2"/>
      <w:bookmarkStart w:id="1316" w:name="Tc_lMaF4EEP3ESPQ_lohpZIjQ_4_0"/>
      <w:bookmarkStart w:id="1317" w:name="Tc_kpASlGMPtkCS78Yx-yqZ4A_3_8"/>
      <w:bookmarkStart w:id="1318" w:name="Tc_10Uy4hd9ZE-30DM6bTiySg_3_5"/>
      <w:bookmarkStart w:id="1319" w:name="Tc_9f-OglddKkyLQvRvxMGjtA_3_2"/>
      <w:bookmarkStart w:id="1320" w:name="Tc_vedKMLj1Akaq4BOcYPBuAw_3_0"/>
      <w:bookmarkStart w:id="1321" w:name="Tc_Un2Oysu9MkKK4ZG0jDu8Kg_2_8"/>
      <w:bookmarkStart w:id="1322" w:name="Tc_Rd96C_G440yHiz-tQqVZQQ_2_5"/>
      <w:bookmarkStart w:id="1323" w:name="Tc_dmCYIdh__k-SQ9kZoVUV9Q_2_2"/>
      <w:bookmarkStart w:id="1324" w:name="Tc_4zA3SkKR2UOJnemFVJSTSA_2_0"/>
      <w:bookmarkStart w:id="1325" w:name="Tc_BRqfT6fRj0-wXWpm4oV9lg_1_8"/>
      <w:bookmarkStart w:id="1326" w:name="Tc_VTnhgNx8PEG-irP_dE2FRQ_1_5"/>
      <w:bookmarkStart w:id="1327" w:name="Tc_UoEYYfo3xUeuU1Xt3m6Z6Q_1_2"/>
      <w:bookmarkStart w:id="1328" w:name="_1141a5a0_9a0c_4fed_99f5_df96cf13625d"/>
      <w:bookmarkStart w:id="1329" w:name="Tc_W5y9mHwm-EaKA2WMxZL__A_5_11"/>
      <w:bookmarkStart w:id="1330" w:name="Tc_FPKiuZaTnUKXxITcjsEWcQ_5_8"/>
      <w:bookmarkStart w:id="1331" w:name="Tc_TWAQhx7sfkKABcF6Xd5vTQ_5_5"/>
      <w:bookmarkStart w:id="1332" w:name="Tc_3AvgATgABUScR9WMw3t1uw_5_2"/>
      <w:bookmarkStart w:id="1333" w:name="Tc_eO2tpuNST0KDh9vJ2P-fUA_4_0"/>
      <w:bookmarkStart w:id="1334" w:name="Tc_9okOTbR5okiOwBz0thzXtw_3_11"/>
      <w:bookmarkStart w:id="1335" w:name="Tc_v1gVir_ALEKfEwULavUuow_3_8"/>
      <w:bookmarkStart w:id="1336" w:name="Tc_HaNUkoMEgUeT9Kg4GExHGg_3_5"/>
      <w:bookmarkStart w:id="1337" w:name="Tc_b_uNEBSQeEWJKeiX0gndCA_3_2"/>
      <w:bookmarkStart w:id="1338" w:name="Tc_F9tA41tgXky7WDMZn3f7Fg_3_0"/>
      <w:bookmarkStart w:id="1339" w:name="Tc_AQdYA9vUkECck1ALdXCafw_2_11"/>
      <w:bookmarkStart w:id="1340" w:name="Tc_IuHp3vV1ekSuF3MLphBkzA_2_8"/>
      <w:bookmarkStart w:id="1341" w:name="Tc_vQl2sIuxqUipaPQa3-ut-w_2_5"/>
      <w:bookmarkStart w:id="1342" w:name="Tc_1RfNywtTMUitD80GI53xXA_2_2"/>
      <w:bookmarkStart w:id="1343" w:name="Tc_ySyRUK6of0yKD8lOKtafQA_1_8"/>
      <w:bookmarkStart w:id="1344" w:name="Tc_VRZf4aQ0F0GC8ELwCvFYeA_1_2"/>
      <w:bookmarkStart w:id="1345" w:name="_2444c5a9_4001_4a20_be59_721cfc9c92b3"/>
      <w:bookmarkStart w:id="1346" w:name="Tc_B4pPu_nQ6ESVN_YE9tABDg_5_11"/>
      <w:bookmarkStart w:id="1347" w:name="Tc_Vj1ad7Op40mDA2Mxut_Wkg_5_8"/>
      <w:bookmarkStart w:id="1348" w:name="Tc_JNvPSuG-H0iNb5qBGzH2VA_5_5"/>
      <w:bookmarkStart w:id="1349" w:name="Tc_gwsei-yGEUSbGOj6asG3_w_5_2"/>
      <w:bookmarkStart w:id="1350" w:name="Tc_ehRtdR7UPUyq6dlk9oC4Xg_4_0"/>
      <w:bookmarkStart w:id="1351" w:name="Tc_wc9h68gLeUCpU9foUyHQ0g_3_11"/>
      <w:bookmarkStart w:id="1352" w:name="Tc_qwXsoUl2-EOJW4TxH9w9wg_3_8"/>
      <w:bookmarkStart w:id="1353" w:name="Tc__hsxKtphV0izS6aoyoQnEA_3_5"/>
      <w:bookmarkStart w:id="1354" w:name="Tc_issca8UaQ0asdkPyPtA1CA_3_2"/>
      <w:bookmarkStart w:id="1355" w:name="Tc_u_E31XRK_0iDk6q_UGDpDQ_3_0"/>
      <w:bookmarkStart w:id="1356" w:name="Tc_VndJaIqhgkO8RIuEbFBxOg_2_11"/>
      <w:bookmarkStart w:id="1357" w:name="Tc_MFR28p49g0SgdCxqOyIFnA_2_8"/>
      <w:bookmarkStart w:id="1358" w:name="Tc_qwujYqFhXU2V4CQWCKU83Q_2_5"/>
      <w:bookmarkStart w:id="1359" w:name="Tc_D3GVPbBsB0qAT1VZkLyVNg_2_2"/>
      <w:bookmarkStart w:id="1360" w:name="Tc_IHTo8elDhUiLBpZLJzIclQ_1_8"/>
      <w:bookmarkStart w:id="1361" w:name="Tc_S2xDORRksU-ci8ZRHHMdwg_1_2"/>
      <w:bookmarkStart w:id="1362" w:name="_23d537bb_4b6a_4e7f_8dc6_32696836f7a0"/>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(12)</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six months ended June 30, 2024 and 2023, respectively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66"/>
        <w:gridCol w:w="326"/>
        <w:gridCol w:w="237"/>
        <w:gridCol w:w="643"/>
        <w:gridCol w:w="366"/>
        <w:gridCol w:w="237"/>
        <w:gridCol w:w="643"/>
        <w:gridCol w:w="326"/>
        <w:gridCol w:w="223"/>
        <w:gridCol w:w="605"/>
        <w:gridCol w:w="345"/>
        <w:gridCol w:w="223"/>
        <w:gridCol w:w="605"/>
        <w:gridCol w:w="160"/>
      </w:tblGrid>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0495" cy="175260"/>
                      <wp:effectExtent l="0" t="0" r="0" b="0"/>
                      <wp:wrapNone/>
                      <wp:docPr id="207" name="Frame20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08305" cy="175260"/>
                      <wp:effectExtent l="0" t="0" r="0" b="0"/>
                      <wp:wrapNone/>
                      <wp:docPr id="208" name="Frame208"/>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32410" cy="175260"/>
                      <wp:effectExtent l="0" t="0" r="0" b="0"/>
                      <wp:wrapNone/>
                      <wp:docPr id="209" name="Frame20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0495" cy="175260"/>
                      <wp:effectExtent l="0" t="0" r="0" b="0"/>
                      <wp:wrapNone/>
                      <wp:docPr id="210" name="Frame21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08305" cy="175260"/>
                      <wp:effectExtent l="0" t="0" r="0" b="0"/>
                      <wp:wrapNone/>
                      <wp:docPr id="211" name="Frame211"/>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1605" cy="175260"/>
                      <wp:effectExtent l="0" t="0" r="0" b="0"/>
                      <wp:wrapNone/>
                      <wp:docPr id="213" name="Frame21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84175" cy="175260"/>
                      <wp:effectExtent l="0" t="0" r="0" b="0"/>
                      <wp:wrapNone/>
                      <wp:docPr id="214" name="Frame214"/>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075" cy="175260"/>
                      <wp:effectExtent l="0" t="0" r="0" b="0"/>
                      <wp:wrapNone/>
                      <wp:docPr id="215" name="Frame215"/>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1605" cy="175260"/>
                      <wp:effectExtent l="0" t="0" r="0" b="0"/>
                      <wp:wrapNone/>
                      <wp:docPr id="216" name="Frame21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84175" cy="175260"/>
                      <wp:effectExtent l="0" t="0" r="0" b="0"/>
                      <wp:wrapNone/>
                      <wp:docPr id="217" name="Frame21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01600" cy="175260"/>
                      <wp:effectExtent l="0" t="0" r="0" b="0"/>
                      <wp:wrapNone/>
                      <wp:docPr id="218" name="Frame218"/>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1"/>
              <w:ind w:left="0" w:right="0" w:hanging="0"/>
              <w:jc w:val="left"/>
              <w:rPr/>
            </w:pPr>
            <w:r>
              <w:rPr/>
              <w:t>​</w:t>
            </w:r>
          </w:p>
        </w:tc>
        <w:tc>
          <w:tcPr>
            <w:tcW w:w="20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60" w:type="dxa"/>
            <w:tcBorders/>
            <w:vAlign w:val="center"/>
          </w:tcPr>
          <w:p>
            <w:pPr>
              <w:pStyle w:val="TableContents"/>
              <w:bidi w:val="0"/>
              <w:spacing w:before="0" w:after="1"/>
              <w:ind w:left="0" w:right="0" w:hanging="0"/>
              <w:jc w:val="center"/>
              <w:rPr/>
            </w:pPr>
            <w:r>
              <w:rPr/>
              <w:t>​</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6" w:type="dxa"/>
            <w:tcBorders/>
            <w:vAlign w:val="center"/>
          </w:tcPr>
          <w:p>
            <w:pPr>
              <w:pStyle w:val="TableContents"/>
              <w:bidi w:val="0"/>
              <w:spacing w:before="0" w:after="1"/>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5" w:type="dxa"/>
            <w:tcBorders/>
            <w:vAlign w:val="center"/>
          </w:tcPr>
          <w:p>
            <w:pPr>
              <w:pStyle w:val="TableContents"/>
              <w:bidi w:val="0"/>
              <w:spacing w:before="0" w:after="1"/>
              <w:ind w:left="0" w:right="0" w:hanging="0"/>
              <w:jc w:val="left"/>
              <w:rPr/>
            </w:pPr>
            <w:r>
              <w:rPr/>
              <w:t>    </w:t>
            </w:r>
          </w:p>
        </w:tc>
        <w:tc>
          <w:tcPr>
            <w:tcW w:w="8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0" w:type="dxa"/>
            <w:tcBorders/>
            <w:vAlign w:val="center"/>
          </w:tcPr>
          <w:p>
            <w:pPr>
              <w:pStyle w:val="TableContents"/>
              <w:bidi w:val="0"/>
              <w:spacing w:before="0" w:after="1"/>
              <w:ind w:left="0" w:right="0" w:hanging="0"/>
              <w:jc w:val="center"/>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professional services and materials, and sales of quantum computers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6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5,918</w:t>
            </w:r>
          </w:p>
        </w:tc>
        <w:tc>
          <w:tcPr>
            <w:tcW w:w="34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w:t>
            </w:r>
          </w:p>
        </w:tc>
        <w:tc>
          <w:tcPr>
            <w:tcW w:w="160"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5"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c>
          <w:tcPr>
            <w:tcW w:w="160"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3,086</w:t>
            </w:r>
          </w:p>
        </w:tc>
        <w:tc>
          <w:tcPr>
            <w:tcW w:w="36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3,327</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6,138</w:t>
            </w:r>
          </w:p>
        </w:tc>
        <w:tc>
          <w:tcPr>
            <w:tcW w:w="345"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5,527</w:t>
            </w:r>
          </w:p>
        </w:tc>
        <w:tc>
          <w:tcPr>
            <w:tcW w:w="160"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8239" w:type="dxa"/>
        <w:jc w:val="left"/>
        <w:tblInd w:w="0" w:type="dxa"/>
        <w:tblLayout w:type="fixed"/>
        <w:tblCellMar>
          <w:top w:w="0" w:type="dxa"/>
          <w:left w:w="0" w:type="dxa"/>
          <w:bottom w:w="0" w:type="dxa"/>
          <w:right w:w="0" w:type="dxa"/>
        </w:tblCellMar>
      </w:tblPr>
      <w:tblGrid>
        <w:gridCol w:w="3211"/>
        <w:gridCol w:w="326"/>
        <w:gridCol w:w="252"/>
        <w:gridCol w:w="684"/>
        <w:gridCol w:w="390"/>
        <w:gridCol w:w="252"/>
        <w:gridCol w:w="684"/>
        <w:gridCol w:w="326"/>
        <w:gridCol w:w="222"/>
        <w:gridCol w:w="602"/>
        <w:gridCol w:w="343"/>
        <w:gridCol w:w="222"/>
        <w:gridCol w:w="725"/>
      </w:tblGrid>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0020" cy="175260"/>
                      <wp:effectExtent l="0" t="0" r="0" b="0"/>
                      <wp:wrapNone/>
                      <wp:docPr id="220" name="Frame22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34340" cy="175260"/>
                      <wp:effectExtent l="0" t="0" r="0" b="0"/>
                      <wp:wrapNone/>
                      <wp:docPr id="221" name="Frame22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7650" cy="175260"/>
                      <wp:effectExtent l="0" t="0" r="0" b="0"/>
                      <wp:wrapNone/>
                      <wp:docPr id="222" name="Frame222"/>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60020" cy="175260"/>
                      <wp:effectExtent l="0" t="0" r="0" b="0"/>
                      <wp:wrapNone/>
                      <wp:docPr id="223" name="Frame22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34340" cy="175260"/>
                      <wp:effectExtent l="0" t="0" r="0" b="0"/>
                      <wp:wrapNone/>
                      <wp:docPr id="224" name="Frame22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0970" cy="175260"/>
                      <wp:effectExtent l="0" t="0" r="0" b="0"/>
                      <wp:wrapNone/>
                      <wp:docPr id="226" name="Frame22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82270" cy="175260"/>
                      <wp:effectExtent l="0" t="0" r="0" b="0"/>
                      <wp:wrapNone/>
                      <wp:docPr id="227" name="Frame227"/>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7805" cy="175260"/>
                      <wp:effectExtent l="0" t="0" r="0" b="0"/>
                      <wp:wrapNone/>
                      <wp:docPr id="228" name="Frame22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0970" cy="175260"/>
                      <wp:effectExtent l="0" t="0" r="0" b="0"/>
                      <wp:wrapNone/>
                      <wp:docPr id="229" name="Frame22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60375" cy="175260"/>
                      <wp:effectExtent l="0" t="0" r="0" b="0"/>
                      <wp:wrapNone/>
                      <wp:docPr id="230" name="Frame230"/>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3"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5,615</w:t>
            </w:r>
          </w:p>
        </w:tc>
        <w:tc>
          <w:tcPr>
            <w:tcW w:w="343" w:type="dxa"/>
            <w:tcBorders/>
            <w:vAlign w:val="center"/>
          </w:tcPr>
          <w:p>
            <w:pPr>
              <w:pStyle w:val="TableContents"/>
              <w:bidi w:val="0"/>
              <w:spacing w:before="0" w:after="0"/>
              <w:ind w:left="0" w:right="0" w:hanging="0"/>
              <w:jc w:val="left"/>
              <w:rPr/>
            </w:pPr>
            <w:r>
              <w:rPr/>
              <w:t> </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5,191</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c>
          <w:tcPr>
            <w:tcW w:w="343"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5,527</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June 30, 2024 and December 31, 2023 were as follows (in thousands):</w:t>
      </w:r>
    </w:p>
    <w:tbl>
      <w:tblPr>
        <w:tblW w:w="6905" w:type="dxa"/>
        <w:jc w:val="left"/>
        <w:tblInd w:w="0" w:type="dxa"/>
        <w:tblLayout w:type="fixed"/>
        <w:tblCellMar>
          <w:top w:w="0" w:type="dxa"/>
          <w:left w:w="0" w:type="dxa"/>
          <w:bottom w:w="0" w:type="dxa"/>
          <w:right w:w="0" w:type="dxa"/>
        </w:tblCellMar>
      </w:tblPr>
      <w:tblGrid>
        <w:gridCol w:w="1801"/>
        <w:gridCol w:w="326"/>
        <w:gridCol w:w="291"/>
        <w:gridCol w:w="789"/>
        <w:gridCol w:w="326"/>
        <w:gridCol w:w="405"/>
        <w:gridCol w:w="1096"/>
        <w:gridCol w:w="326"/>
        <w:gridCol w:w="394"/>
        <w:gridCol w:w="115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143635" cy="175260"/>
                      <wp:effectExtent l="0" t="0" r="0" b="0"/>
                      <wp:wrapNone/>
                      <wp:docPr id="231" name="Frame231"/>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4785" cy="175260"/>
                      <wp:effectExtent l="0" t="0" r="0" b="0"/>
                      <wp:wrapNone/>
                      <wp:docPr id="233" name="Frame23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57175" cy="175260"/>
                      <wp:effectExtent l="0" t="0" r="0" b="0"/>
                      <wp:wrapNone/>
                      <wp:docPr id="235" name="Frame23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5960" cy="175260"/>
                      <wp:effectExtent l="0" t="0" r="0" b="0"/>
                      <wp:wrapNone/>
                      <wp:docPr id="236" name="Frame23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50190" cy="175260"/>
                      <wp:effectExtent l="0" t="0" r="0" b="0"/>
                      <wp:wrapNone/>
                      <wp:docPr id="238" name="Frame23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30885" cy="175260"/>
                      <wp:effectExtent l="0" t="0" r="0" b="0"/>
                      <wp:wrapNone/>
                      <wp:docPr id="239" name="Frame23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30,2024</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5818" w:type="dxa"/>
        <w:jc w:val="left"/>
        <w:tblInd w:w="0" w:type="dxa"/>
        <w:tblLayout w:type="fixed"/>
        <w:tblCellMar>
          <w:top w:w="0" w:type="dxa"/>
          <w:left w:w="0" w:type="dxa"/>
          <w:bottom w:w="0" w:type="dxa"/>
          <w:right w:w="0" w:type="dxa"/>
        </w:tblCellMar>
      </w:tblPr>
      <w:tblGrid>
        <w:gridCol w:w="3271"/>
        <w:gridCol w:w="326"/>
        <w:gridCol w:w="220"/>
        <w:gridCol w:w="565"/>
        <w:gridCol w:w="340"/>
        <w:gridCol w:w="220"/>
        <w:gridCol w:w="722"/>
        <w:gridCol w:w="154"/>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9700" cy="175260"/>
                      <wp:effectExtent l="0" t="0" r="0" b="0"/>
                      <wp:wrapNone/>
                      <wp:docPr id="241" name="Frame24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58775" cy="175260"/>
                      <wp:effectExtent l="0" t="0" r="0" b="0"/>
                      <wp:wrapNone/>
                      <wp:docPr id="242" name="Frame242"/>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5900" cy="175260"/>
                      <wp:effectExtent l="0" t="0" r="0" b="0"/>
                      <wp:wrapNone/>
                      <wp:docPr id="243" name="Frame24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9700" cy="175260"/>
                      <wp:effectExtent l="0" t="0" r="0" b="0"/>
                      <wp:wrapNone/>
                      <wp:docPr id="244" name="Frame24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8470" cy="175260"/>
                      <wp:effectExtent l="0" t="0" r="0" b="0"/>
                      <wp:wrapNone/>
                      <wp:docPr id="245" name="Frame24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7790" cy="175260"/>
                      <wp:effectExtent l="0" t="0" r="0" b="0"/>
                      <wp:wrapNone/>
                      <wp:docPr id="246" name="Frame24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0" w:type="dxa"/>
            <w:tcBorders/>
            <w:vAlign w:val="center"/>
          </w:tcPr>
          <w:p>
            <w:pPr>
              <w:pStyle w:val="TableContents"/>
              <w:bidi w:val="0"/>
              <w:spacing w:before="0" w:after="0"/>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40"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0"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Amounts recognized as revenue from beginning contract liabilities during the three and six months ended June 30, 2024 was an immaterial amount and $0.2 million, respectively. Amounts recognized as revenue from beginning contract liabilities during the three and six months ended June 30, 2023 totaled $0.1 million and $0.5 million, respectively. Remaining performance obligations represent the portion of the transaction price that has not yet been satisfied or achieved. As of June 30, 2024, the aggregate amount of the transaction price allocated to remaining performance obligations was approximately $5.4 million. The Company expects to recognize estimated revenues related to performance obligations that are unsatisfied (or partially satisfied) </w:t>
      </w:r>
      <w:r>
        <w:rPr>
          <w:rFonts w:ascii="Times-Roman" w:hAnsi="Times-Roman"/>
          <w:sz w:val="20"/>
        </w:rPr>
        <w:t>during the next twelve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in accordance with ASC 340-40. Accordingly, the Company does not have any capitalized contract fulfillment costs as of June 30, 2024 or December 31, 2023, respectively.</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363" w:name="Tc_mAk0ssWEwkyVaNPNtxGdug_7_8"/>
      <w:bookmarkStart w:id="1364" w:name="Tc_SXCl_yCdNUicxRe4goC61g_7_2"/>
      <w:bookmarkStart w:id="1365" w:name="Tc_XcsvBB6oZEGhsEyEifQtmQ_7_0"/>
      <w:bookmarkStart w:id="1366" w:name="Tc_ioIcPpQLjUahi_CNKnS4Kg_6_12"/>
      <w:bookmarkStart w:id="1367" w:name="Tc_t55r20nM7kO-lunBhwn8xg_6_6"/>
      <w:bookmarkStart w:id="1368" w:name="Tc_68e7_h4ZGUikOliazaHysw_6_0"/>
      <w:bookmarkStart w:id="1369" w:name="Tc_ioxhsavWzECscw8HMsuG2A_5_0"/>
      <w:bookmarkStart w:id="1370" w:name="Tc_kXxEvGP2qEO8Rf90Fg7SSQ_4_8"/>
      <w:bookmarkStart w:id="1371" w:name="Tc_v9moyYltKUqhA5uo2Gc1BQ_4_2"/>
      <w:bookmarkStart w:id="1372" w:name="Tc_cW52JNnDcEam2pU5f7ywpA_4_0"/>
      <w:bookmarkStart w:id="1373" w:name="Tc_XG8KdaP370KAjwXh418BsA_3_11"/>
      <w:bookmarkStart w:id="1374" w:name="Tc_WR7FUJO6rUSNQpBSuGZWug_3_8"/>
      <w:bookmarkStart w:id="1375" w:name="Tc_YRCKc3nznkSu16RMuSbnCg_3_5"/>
      <w:bookmarkStart w:id="1376" w:name="Tc_kM8XPFQUM0epJNhj87sQhQ_3_2"/>
      <w:bookmarkStart w:id="1377" w:name="Tc_ENubw6clyE2l3H_WR12iFQ_2_8"/>
      <w:bookmarkStart w:id="1378" w:name="Tc_jow8F26YY0CIVX_8Wb1Lpg_2_2"/>
      <w:bookmarkStart w:id="1379" w:name="_7f93d549_f16b_4fb1_83e6_69ec0d51f4e9"/>
      <w:bookmarkStart w:id="1380" w:name="Tc_JrLqRvsgwUqtQ8eFMFHp6w_6_4"/>
      <w:bookmarkStart w:id="1381" w:name="Tc_mfAafnWHykCDdwRE_aCuVQ_6_0"/>
      <w:bookmarkStart w:id="1382" w:name="Tc_izDAownXsEyPZ-nBMhAn3A_5_0"/>
      <w:bookmarkStart w:id="1383" w:name="Tc_51ZTFn5TI0KRlwKfuw3rTg_4_4"/>
      <w:bookmarkStart w:id="1384" w:name="Tc_BWZZwt0T5kmpiS_PxXBSuA_4_2"/>
      <w:bookmarkStart w:id="1385" w:name="Tc_4HzAuddFaEWrAj8zj4lR4g_4_0"/>
      <w:bookmarkStart w:id="1386" w:name="Tc_l_MGHF7aNEu0WMu3JVpXuQ_3_4"/>
      <w:bookmarkStart w:id="1387" w:name="Tc_DzQkSZMOskeNrB1eOnp41w_3_2"/>
      <w:bookmarkStart w:id="1388" w:name="Tc_BdlyNgcA1kGkW0v-1pcEXQ_3_0"/>
      <w:bookmarkStart w:id="1389" w:name="Tc_4khLYztwRUav92vbVHOiQA_2_0"/>
      <w:bookmarkStart w:id="1390" w:name="Tc_qn253i4--0qsux5EjAV8fw_1_4"/>
      <w:bookmarkStart w:id="1391" w:name="Tc_SsRJZQ1hrUuIHGwscgB-XQ_1_2"/>
      <w:bookmarkStart w:id="1392" w:name="_94758b03_5b66_4859_8ca2_dca704d85ab6"/>
      <w:bookmarkStart w:id="1393" w:name="Tc_rZ7kKRwLRE2Vl1E1Q5RkmA_9_8"/>
      <w:bookmarkStart w:id="1394" w:name="Tc_2epnPiScrUm9N-LT-nA2fQ_9_6"/>
      <w:bookmarkStart w:id="1395" w:name="Tc_YicG1da7KkSseq4PprRGXg_9_4"/>
      <w:bookmarkStart w:id="1396" w:name="Tc__7wvH0S5yUycn7FXRdavVQ_9_0"/>
      <w:bookmarkStart w:id="1397" w:name="Tc_dl58PIVKrU-tzs9jcV9d3Q_8_8"/>
      <w:bookmarkStart w:id="1398" w:name="Tc_yM7SF2fXiEqzmaLfZIyqLQ_8_6"/>
      <w:bookmarkStart w:id="1399" w:name="Tc_zGFntYw7L0qO4aRHJfiGrg_8_2"/>
      <w:bookmarkStart w:id="1400" w:name="Tc_QQQlzDFgc0er3z5D286GOQ_8_0"/>
      <w:bookmarkStart w:id="1401" w:name="Tc_rBXJGfAuCEKb-YpC5kO7zQ_7_0"/>
      <w:bookmarkStart w:id="1402" w:name="Tc_EavXdKSrVU6NbR2EMiUREw_6_8"/>
      <w:bookmarkStart w:id="1403" w:name="Tc_caLIllmxS0yGNKfmbL7Vvw_6_4"/>
      <w:bookmarkStart w:id="1404" w:name="Tc_up8I9S_ZOE2bjGTVjolwkw_6_0"/>
      <w:bookmarkStart w:id="1405" w:name="Tc_RM45fneUQUKibTEYuKnqTQ_5_6"/>
      <w:bookmarkStart w:id="1406" w:name="Tc_5tuJz32NIEuSRBnJQGf7Pg_5_2"/>
      <w:bookmarkStart w:id="1407" w:name="Tc_ovtZn3eACkeF3WBTGyQ_Dg_5_0"/>
      <w:bookmarkStart w:id="1408" w:name="Tc_OvbejEZakUSD_yXS1WhZGw_4_4"/>
      <w:bookmarkStart w:id="1409" w:name="Tc_u4_qhre1W0iJbo_JMLpGSQ_4_2"/>
      <w:bookmarkStart w:id="1410" w:name="Tc_sS725yP_FE-C6HaqJ5p29w_4_0"/>
      <w:bookmarkStart w:id="1411" w:name="Tc_AFi9hmDr70u7FwsJ-YZKew_3_0"/>
      <w:bookmarkStart w:id="1412" w:name="Tc_r65JHx3_3UWKkfkjzPw9cg_2_8"/>
      <w:bookmarkStart w:id="1413" w:name="Tc_d0Qhy4XP4UmQX2i-v4AdVA_2_6"/>
      <w:bookmarkStart w:id="1414" w:name="Tc_BKdhoTIJtUqpZMt1B79Kqg_2_4"/>
      <w:bookmarkStart w:id="1415" w:name="Tc_o0YVb76jjk2s_t8SjySgTg_2_2"/>
      <w:bookmarkStart w:id="1416" w:name="Tc_BmcPLr5X40CPyuFb6XubcA_1_6"/>
      <w:bookmarkStart w:id="1417" w:name="Tc_tOdKR2MrmkC6o4sofhuN9w_1_2"/>
      <w:bookmarkStart w:id="1418" w:name="_2b69ca8b_a0bd_4af6_a871_383c17ac7b0a"/>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Fonts w:ascii="Times New Roman;Times;serif" w:hAnsi="Times New Roman;Times;serif"/>
          <w:b/>
          <w:sz w:val="20"/>
        </w:rPr>
        <w:t>(13) Concentrations, Significant Customers and Geographic Areas</w:t>
      </w:r>
    </w:p>
    <w:p>
      <w:pPr>
        <w:pStyle w:val="TextBody"/>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short-term investments in the form of corporate bonds and trade accounts receivable. The Company’s cash and cash equivalents and short-term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hanging="0"/>
        <w:jc w:val="left"/>
        <w:rPr/>
      </w:pPr>
      <w:r>
        <w:rPr/>
        <w:t>​</w:t>
      </w:r>
    </w:p>
    <w:tbl>
      <w:tblPr>
        <w:tblW w:w="6111" w:type="dxa"/>
        <w:jc w:val="left"/>
        <w:tblInd w:w="0" w:type="dxa"/>
        <w:tblLayout w:type="fixed"/>
        <w:tblCellMar>
          <w:top w:w="0" w:type="dxa"/>
          <w:left w:w="0" w:type="dxa"/>
          <w:bottom w:w="0" w:type="dxa"/>
          <w:right w:w="0" w:type="dxa"/>
        </w:tblCellMar>
      </w:tblPr>
      <w:tblGrid>
        <w:gridCol w:w="1081"/>
        <w:gridCol w:w="326"/>
        <w:gridCol w:w="1017"/>
        <w:gridCol w:w="230"/>
        <w:gridCol w:w="1017"/>
        <w:gridCol w:w="326"/>
        <w:gridCol w:w="763"/>
        <w:gridCol w:w="517"/>
        <w:gridCol w:w="834"/>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5795" cy="175260"/>
                      <wp:effectExtent l="0" t="0" r="0" b="0"/>
                      <wp:wrapNone/>
                      <wp:docPr id="248" name="Frame248"/>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6050" cy="175260"/>
                      <wp:effectExtent l="0" t="0" r="0" b="0"/>
                      <wp:wrapNone/>
                      <wp:docPr id="249" name="Frame24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5795" cy="175260"/>
                      <wp:effectExtent l="0" t="0" r="0" b="0"/>
                      <wp:wrapNone/>
                      <wp:docPr id="250" name="Frame250"/>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84505" cy="175260"/>
                      <wp:effectExtent l="0" t="0" r="0" b="0"/>
                      <wp:wrapNone/>
                      <wp:docPr id="252" name="Frame252"/>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28295" cy="175260"/>
                      <wp:effectExtent l="0" t="0" r="0" b="0"/>
                      <wp:wrapNone/>
                      <wp:docPr id="253" name="Frame253"/>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29590" cy="175260"/>
                      <wp:effectExtent l="0" t="0" r="0" b="0"/>
                      <wp:wrapNone/>
                      <wp:docPr id="254" name="Frame254"/>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30" w:type="dxa"/>
            <w:tcBorders/>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17" w:type="dxa"/>
            <w:tcBorders/>
            <w:vAlign w:val="center"/>
          </w:tcPr>
          <w:p>
            <w:pPr>
              <w:pStyle w:val="TableContents"/>
              <w:bidi w:val="0"/>
              <w:spacing w:before="0" w:after="0"/>
              <w:ind w:left="0" w:right="0" w:hanging="0"/>
              <w:jc w:val="center"/>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G</w:t>
            </w:r>
          </w:p>
        </w:tc>
        <w:tc>
          <w:tcPr>
            <w:tcW w:w="326"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30" w:type="dxa"/>
            <w:tcBorders/>
            <w:shd w:fill="CCEEFF" w:val="clear"/>
            <w:vAlign w:val="center"/>
          </w:tcPr>
          <w:p>
            <w:pPr>
              <w:pStyle w:val="TableContents"/>
              <w:bidi w:val="0"/>
              <w:spacing w:before="0" w:after="0"/>
              <w:ind w:left="0" w:right="0" w:hanging="0"/>
              <w:jc w:val="left"/>
              <w:rPr/>
            </w:pPr>
            <w:r>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and six months ended June 30, 2024, sales to government entities comprised 79.5% and 88.4% of the Company’s total revenue, respectively. During the three and six months ended June 30, 2023 sales to government entities comprised 75.4% and 78.1% of the Company’s total revenue, respectively.</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405" w:type="dxa"/>
        <w:jc w:val="left"/>
        <w:tblInd w:w="0" w:type="dxa"/>
        <w:tblLayout w:type="fixed"/>
        <w:tblCellMar>
          <w:top w:w="0" w:type="dxa"/>
          <w:left w:w="0" w:type="dxa"/>
          <w:bottom w:w="0" w:type="dxa"/>
          <w:right w:w="0" w:type="dxa"/>
        </w:tblCellMar>
      </w:tblPr>
      <w:tblGrid>
        <w:gridCol w:w="1081"/>
        <w:gridCol w:w="326"/>
        <w:gridCol w:w="1126"/>
        <w:gridCol w:w="326"/>
        <w:gridCol w:w="154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15010" cy="175260"/>
                      <wp:effectExtent l="0" t="0" r="0" b="0"/>
                      <wp:wrapNone/>
                      <wp:docPr id="256" name="Frame25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81710" cy="175260"/>
                      <wp:effectExtent l="0" t="0" r="0" b="0"/>
                      <wp:wrapNone/>
                      <wp:docPr id="258" name="Frame25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in the respective periods.</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tbl>
      <w:tblPr>
        <w:tblW w:w="6060" w:type="dxa"/>
        <w:jc w:val="left"/>
        <w:tblInd w:w="0" w:type="dxa"/>
        <w:tblLayout w:type="fixed"/>
        <w:tblCellMar>
          <w:top w:w="0" w:type="dxa"/>
          <w:left w:w="0" w:type="dxa"/>
          <w:bottom w:w="0" w:type="dxa"/>
          <w:right w:w="0" w:type="dxa"/>
        </w:tblCellMar>
      </w:tblPr>
      <w:tblGrid>
        <w:gridCol w:w="1246"/>
        <w:gridCol w:w="326"/>
        <w:gridCol w:w="267"/>
        <w:gridCol w:w="723"/>
        <w:gridCol w:w="413"/>
        <w:gridCol w:w="138"/>
        <w:gridCol w:w="723"/>
        <w:gridCol w:w="109"/>
        <w:gridCol w:w="234"/>
        <w:gridCol w:w="634"/>
        <w:gridCol w:w="362"/>
        <w:gridCol w:w="121"/>
        <w:gridCol w:w="764"/>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91210" cy="175260"/>
                      <wp:effectExtent l="0" t="0" r="0" b="0"/>
                      <wp:wrapNone/>
                      <wp:docPr id="259" name="Frame25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9545" cy="175260"/>
                      <wp:effectExtent l="0" t="0" r="0" b="0"/>
                      <wp:wrapNone/>
                      <wp:docPr id="261" name="Frame26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59105" cy="175260"/>
                      <wp:effectExtent l="0" t="0" r="0" b="0"/>
                      <wp:wrapNone/>
                      <wp:docPr id="262" name="Frame26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62255" cy="175260"/>
                      <wp:effectExtent l="0" t="0" r="0" b="0"/>
                      <wp:wrapNone/>
                      <wp:docPr id="263" name="Frame263"/>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7630" cy="175260"/>
                      <wp:effectExtent l="0" t="0" r="0" b="0"/>
                      <wp:wrapNone/>
                      <wp:docPr id="264" name="Frame264"/>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59105" cy="175260"/>
                      <wp:effectExtent l="0" t="0" r="0" b="0"/>
                      <wp:wrapNone/>
                      <wp:docPr id="265" name="Frame265"/>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48590" cy="175260"/>
                      <wp:effectExtent l="0" t="0" r="0" b="0"/>
                      <wp:wrapNone/>
                      <wp:docPr id="267" name="Frame26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02590" cy="175260"/>
                      <wp:effectExtent l="0" t="0" r="0" b="0"/>
                      <wp:wrapNone/>
                      <wp:docPr id="268" name="Frame268"/>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9870" cy="175260"/>
                      <wp:effectExtent l="0" t="0" r="0" b="0"/>
                      <wp:wrapNone/>
                      <wp:docPr id="269" name="Frame26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6835" cy="175260"/>
                      <wp:effectExtent l="0" t="0" r="0" b="0"/>
                      <wp:wrapNone/>
                      <wp:docPr id="270" name="Frame270"/>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85140" cy="175260"/>
                      <wp:effectExtent l="0" t="0" r="0" b="0"/>
                      <wp:wrapNone/>
                      <wp:docPr id="271" name="Frame271"/>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38"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lef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13" w:type="dxa"/>
            <w:tcBorders/>
            <w:vAlign w:val="center"/>
          </w:tcPr>
          <w:p>
            <w:pPr>
              <w:pStyle w:val="TableContents"/>
              <w:bidi w:val="0"/>
              <w:spacing w:before="0" w:after="0"/>
              <w:ind w:left="0" w:right="0" w:hanging="0"/>
              <w:jc w:val="left"/>
              <w:rPr/>
            </w:pPr>
            <w:r>
              <w:rPr/>
              <w:t>    </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2" w:type="dxa"/>
            <w:tcBorders/>
            <w:vAlign w:val="center"/>
          </w:tcPr>
          <w:p>
            <w:pPr>
              <w:pStyle w:val="TableContents"/>
              <w:bidi w:val="0"/>
              <w:spacing w:before="0" w:after="0"/>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c>
          <w:tcPr>
            <w:tcW w:w="413" w:type="dxa"/>
            <w:tcBorders/>
            <w:shd w:fill="CCEEFF" w:val="clear"/>
            <w:vAlign w:val="center"/>
          </w:tcPr>
          <w:p>
            <w:pPr>
              <w:pStyle w:val="TableContents"/>
              <w:bidi w:val="0"/>
              <w:spacing w:before="0" w:after="0"/>
              <w:ind w:left="0" w:right="0" w:hanging="0"/>
              <w:jc w:val="left"/>
              <w:rPr/>
            </w:pPr>
            <w:r>
              <w:rPr/>
              <w:t>​</w:t>
            </w:r>
          </w:p>
        </w:tc>
        <w:tc>
          <w:tcPr>
            <w:tcW w:w="138"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w:t>
            </w:r>
          </w:p>
        </w:tc>
        <w:tc>
          <w:tcPr>
            <w:tcW w:w="362" w:type="dxa"/>
            <w:tcBorders/>
            <w:shd w:fill="CCEEFF" w:val="clear"/>
            <w:vAlign w:val="center"/>
          </w:tcPr>
          <w:p>
            <w:pPr>
              <w:pStyle w:val="TableContents"/>
              <w:bidi w:val="0"/>
              <w:spacing w:before="0" w:after="0"/>
              <w:ind w:left="0" w:right="0" w:hanging="0"/>
              <w:jc w:val="lef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413" w:type="dxa"/>
            <w:tcBorders/>
            <w:vAlign w:val="center"/>
          </w:tcPr>
          <w:p>
            <w:pPr>
              <w:pStyle w:val="TableContents"/>
              <w:bidi w:val="0"/>
              <w:spacing w:before="0" w:after="0"/>
              <w:ind w:left="0" w:right="0" w:hanging="0"/>
              <w:jc w:val="left"/>
              <w:rPr/>
            </w:pPr>
            <w:r>
              <w:rPr/>
              <w:t>​</w:t>
            </w:r>
          </w:p>
        </w:tc>
        <w:tc>
          <w:tcPr>
            <w:tcW w:w="138"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62"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413" w:type="dxa"/>
            <w:tcBorders/>
            <w:shd w:fill="CCEEFF" w:val="clear"/>
            <w:vAlign w:val="center"/>
          </w:tcPr>
          <w:p>
            <w:pPr>
              <w:pStyle w:val="TableContents"/>
              <w:bidi w:val="0"/>
              <w:spacing w:before="0" w:after="0"/>
              <w:ind w:left="0" w:right="0" w:hanging="0"/>
              <w:jc w:val="left"/>
              <w:rPr/>
            </w:pPr>
            <w:r>
              <w:rPr/>
              <w:t>​</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62" w:type="dxa"/>
            <w:tcBorders/>
            <w:shd w:fill="CCEEFF" w:val="clear"/>
            <w:vAlign w:val="center"/>
          </w:tcPr>
          <w:p>
            <w:pPr>
              <w:pStyle w:val="TableContents"/>
              <w:bidi w:val="0"/>
              <w:spacing w:before="0" w:after="0"/>
              <w:ind w:left="0" w:right="0" w:hanging="0"/>
              <w:jc w:val="left"/>
              <w:rPr/>
            </w:pPr>
            <w:r>
              <w:rPr/>
              <w:t>​</w:t>
            </w:r>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413" w:type="dxa"/>
            <w:tcBorders/>
            <w:vAlign w:val="center"/>
          </w:tcPr>
          <w:p>
            <w:pPr>
              <w:pStyle w:val="TableContents"/>
              <w:bidi w:val="0"/>
              <w:spacing w:before="0" w:after="0"/>
              <w:ind w:left="0" w:right="0" w:hanging="0"/>
              <w:jc w:val="left"/>
              <w:rPr/>
            </w:pPr>
            <w:r>
              <w:rPr/>
              <w:t>​</w:t>
            </w:r>
          </w:p>
        </w:tc>
        <w:tc>
          <w:tcPr>
            <w:tcW w:w="13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109" w:type="dxa"/>
            <w:tcBorders/>
            <w:vAlign w:val="center"/>
          </w:tcPr>
          <w:p>
            <w:pPr>
              <w:pStyle w:val="TableContents"/>
              <w:bidi w:val="0"/>
              <w:spacing w:before="0" w:after="0"/>
              <w:ind w:left="0" w:right="0" w:hanging="0"/>
              <w:jc w:val="righ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6,138</w:t>
            </w:r>
          </w:p>
        </w:tc>
        <w:tc>
          <w:tcPr>
            <w:tcW w:w="362" w:type="dxa"/>
            <w:tcBorders/>
            <w:vAlign w:val="center"/>
          </w:tcPr>
          <w:p>
            <w:pPr>
              <w:pStyle w:val="TableContents"/>
              <w:bidi w:val="0"/>
              <w:spacing w:before="0" w:after="0"/>
              <w:ind w:left="0" w:right="0" w:hanging="0"/>
              <w:jc w:val="left"/>
              <w:rPr/>
            </w:pPr>
            <w:r>
              <w:rPr/>
              <w:t>​</w:t>
            </w:r>
          </w:p>
        </w:tc>
        <w:tc>
          <w:tcPr>
            <w:tcW w:w="12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5,527</w:t>
            </w:r>
          </w:p>
        </w:tc>
      </w:tr>
    </w:tbl>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1419" w:name="Tc_Sw9vV7K-WUiVWkr6ygYENA_5_0"/>
      <w:bookmarkStart w:id="1420" w:name="Tc_PvzxeqpenEi_cFOTubJkOA_4_0"/>
      <w:bookmarkStart w:id="1421" w:name="Tc_CFupOFK_N0K-EsJ2tbUuZg_3_0"/>
      <w:bookmarkStart w:id="1422" w:name="Tc_-WnM4avRiEeEwvsETxs1Kw_2_4"/>
      <w:bookmarkStart w:id="1423" w:name="Tc_9tH0ECa3nU2tL39VeZEQxA_2_2"/>
      <w:bookmarkStart w:id="1424" w:name="Tc_ux2mJyr9G02g1a6NdhOa1Q_1_2"/>
      <w:bookmarkStart w:id="1425" w:name="_edf62792_24de_4102_b490_6dad2301f3fb"/>
      <w:bookmarkStart w:id="1426" w:name="Tc_Oa3xJXfPO0mFqdYUk1frTQ_7_0"/>
      <w:bookmarkStart w:id="1427" w:name="Tc_UeZcvVZlZU6ZYE0CyYRj-A_6_0"/>
      <w:bookmarkStart w:id="1428" w:name="Tc_yHpSEo-puUKr3kRYwfXhmA_5_0"/>
      <w:bookmarkStart w:id="1429" w:name="Tc_329lCSggxkyKsyOjCZsZLw_4_11"/>
      <w:bookmarkStart w:id="1430" w:name="Tc_sP-DctVrnUqb_F7v1eloAQ_4_8"/>
      <w:bookmarkStart w:id="1431" w:name="Tc_OdFcGfQi90qbI2AJ6-f3LQ_4_5"/>
      <w:bookmarkStart w:id="1432" w:name="Tc_GwFf4fQxVEOAsS0VBLLhqQ_4_2"/>
      <w:bookmarkStart w:id="1433" w:name="Tc_pQYJLvUMCki1iN2WNCQOyg_4_0"/>
      <w:bookmarkStart w:id="1434" w:name="Tc_uY0YPtoT_kqMpnIv2631EA_3_0"/>
      <w:bookmarkStart w:id="1435" w:name="Tc_MEoKWPYTM0ylFAhY4Sg0SQ_2_11"/>
      <w:bookmarkStart w:id="1436" w:name="Tc_xMd4L0CzXU-7uYTAzqsihw_2_8"/>
      <w:bookmarkStart w:id="1437" w:name="Tc_mLmMrococ0ikFdWlmVlVng_2_5"/>
      <w:bookmarkStart w:id="1438" w:name="Tc_VQF2Pg7yWEufB9HwNOFDZg_2_2"/>
      <w:bookmarkStart w:id="1439" w:name="Tc_7pHZgT_JoECn81QFAxyMbw_1_8"/>
      <w:bookmarkStart w:id="1440" w:name="Tc_nfnK1KGMFkuasR2GOlusBA_1_2"/>
      <w:bookmarkStart w:id="1441" w:name="_4d13cebf_4c14_422b_aacc_cdcb143d900c"/>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r>
        <w:rPr>
          <w:rFonts w:ascii="Times New Roman;Times;serif" w:hAnsi="Times New Roman;Times;serif"/>
          <w:b/>
          <w:sz w:val="20"/>
        </w:rPr>
        <w:t>(14) Net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presents the calculation of basic and diluted net loss per share attributable to common stockholders (in thousands, except for per share amounts):</w:t>
      </w:r>
    </w:p>
    <w:p>
      <w:pPr>
        <w:pStyle w:val="TextBody"/>
        <w:bidi w:val="0"/>
        <w:spacing w:before="0" w:after="240"/>
        <w:ind w:left="0" w:right="0" w:hanging="0"/>
        <w:jc w:val="left"/>
        <w:rPr/>
      </w:pPr>
      <w:r>
        <w:rPr/>
        <w:t>​</w:t>
      </w:r>
    </w:p>
    <w:tbl>
      <w:tblPr>
        <w:tblW w:w="10088" w:type="dxa"/>
        <w:jc w:val="left"/>
        <w:tblInd w:w="0" w:type="dxa"/>
        <w:tblLayout w:type="fixed"/>
        <w:tblCellMar>
          <w:top w:w="0" w:type="dxa"/>
          <w:left w:w="0" w:type="dxa"/>
          <w:bottom w:w="0" w:type="dxa"/>
          <w:right w:w="0" w:type="dxa"/>
        </w:tblCellMar>
      </w:tblPr>
      <w:tblGrid>
        <w:gridCol w:w="4711"/>
        <w:gridCol w:w="326"/>
        <w:gridCol w:w="211"/>
        <w:gridCol w:w="796"/>
        <w:gridCol w:w="326"/>
        <w:gridCol w:w="211"/>
        <w:gridCol w:w="796"/>
        <w:gridCol w:w="326"/>
        <w:gridCol w:w="211"/>
        <w:gridCol w:w="796"/>
        <w:gridCol w:w="326"/>
        <w:gridCol w:w="211"/>
        <w:gridCol w:w="84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91485" cy="175260"/>
                      <wp:effectExtent l="0" t="0" r="0" b="0"/>
                      <wp:wrapNone/>
                      <wp:docPr id="272" name="Frame272"/>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05460" cy="175260"/>
                      <wp:effectExtent l="0" t="0" r="0" b="0"/>
                      <wp:wrapNone/>
                      <wp:docPr id="275" name="Frame2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05460" cy="175260"/>
                      <wp:effectExtent l="0" t="0" r="0" b="0"/>
                      <wp:wrapNone/>
                      <wp:docPr id="278" name="Frame2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5460" cy="175260"/>
                      <wp:effectExtent l="0" t="0" r="0" b="0"/>
                      <wp:wrapNone/>
                      <wp:docPr id="281" name="Frame28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34035" cy="175260"/>
                      <wp:effectExtent l="0" t="0" r="0" b="0"/>
                      <wp:wrapNone/>
                      <wp:docPr id="284" name="Frame28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171,903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126,657</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are 3,059,273 Sponsor Vesting Shares that were not included in the computations of basic and diluted net loss per share for the three and six months ended June 30, 2024 and 2023 because the contingencies for the issuance of these shares have not been met. The weighted-average common shares outstanding for the three and six months ended June 30, 2024 include 972,578 weighted-average shares for warrants having an exercise price of $0.01 per share each. The weighted-average common shares outstanding for the three and six months ended June 30, 2023 include 1,313,989 and 1,356,820 weighted-average shares for warrants having an exercise price of $0.01 per share each, respectively.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potential dilutive securities, which include stock options, restricted stock units and warrants have been excluded from the computation of diluted net loss per share as the effect would be anti-dilutive. Therefore, the weighted average number of common shares outstanding used to calculate both basic and diluted net loss per share is the same.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excluded the following potential common shares from the computation of diluted net loss per share for the three and six months ended June 30, 2024, and 2023:</w:t>
      </w:r>
    </w:p>
    <w:p>
      <w:pPr>
        <w:pStyle w:val="TextBody"/>
        <w:bidi w:val="0"/>
        <w:spacing w:before="0" w:after="240"/>
        <w:ind w:left="0" w:right="0" w:hanging="0"/>
        <w:jc w:val="left"/>
        <w:rPr/>
      </w:pPr>
      <w:r>
        <w:rPr/>
        <w:t>​</w:t>
      </w:r>
    </w:p>
    <w:tbl>
      <w:tblPr>
        <w:tblW w:w="5249" w:type="dxa"/>
        <w:jc w:val="left"/>
        <w:tblInd w:w="0" w:type="dxa"/>
        <w:tblLayout w:type="fixed"/>
        <w:tblCellMar>
          <w:top w:w="0" w:type="dxa"/>
          <w:left w:w="0" w:type="dxa"/>
          <w:bottom w:w="0" w:type="dxa"/>
          <w:right w:w="0" w:type="dxa"/>
        </w:tblCellMar>
      </w:tblPr>
      <w:tblGrid>
        <w:gridCol w:w="2371"/>
        <w:gridCol w:w="326"/>
        <w:gridCol w:w="1036"/>
        <w:gridCol w:w="326"/>
        <w:gridCol w:w="1036"/>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505585" cy="175260"/>
                      <wp:effectExtent l="0" t="0" r="0" b="0"/>
                      <wp:wrapNone/>
                      <wp:docPr id="285" name="Frame285"/>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57860" cy="175260"/>
                      <wp:effectExtent l="0" t="0" r="0" b="0"/>
                      <wp:wrapNone/>
                      <wp:docPr id="287" name="Frame2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57860" cy="175260"/>
                      <wp:effectExtent l="0" t="0" r="0" b="0"/>
                      <wp:wrapNone/>
                      <wp:docPr id="289" name="Frame2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7790" cy="175260"/>
                      <wp:effectExtent l="0" t="0" r="0" b="0"/>
                      <wp:wrapNone/>
                      <wp:docPr id="290" name="Frame2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14,415,297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9,600,802</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5,466,550</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8,382,814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11,189,011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32,434,033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31,070,858</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does not include unvested Customer warrants for 1,340,310</w:t>
            </w:r>
            <w:r>
              <w:rPr>
                <w:caps w:val="false"/>
                <w:smallCaps w:val="false"/>
              </w:rPr>
              <w:t xml:space="preserve"> </w:t>
            </w:r>
            <w:r>
              <w:rPr>
                <w:rFonts w:ascii="Times New Roman;Times;serif" w:hAnsi="Times New Roman;Times;serif"/>
                <w:b w:val="false"/>
                <w:i w:val="false"/>
                <w:caps w:val="false"/>
                <w:smallCaps w:val="false"/>
                <w:sz w:val="20"/>
              </w:rPr>
              <w:t>shares as of June 30, 2024 and 2023.</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15)</w:t>
            </w:r>
          </w:p>
        </w:tc>
        <w:tc>
          <w:tcPr>
            <w:tcW w:w="1396" w:type="dxa"/>
            <w:tcBorders/>
            <w:vAlign w:val="center"/>
          </w:tcPr>
          <w:p>
            <w:pPr>
              <w:pStyle w:val="TableContents"/>
              <w:bidi w:val="0"/>
              <w:spacing w:before="0" w:after="240"/>
              <w:jc w:val="both"/>
              <w:rPr/>
            </w:pPr>
            <w:r>
              <w:rPr/>
              <w:t> </w:t>
            </w:r>
            <w:r>
              <w:rPr>
                <w:rFonts w:ascii="Times New Roman;Times;serif" w:hAnsi="Times New Roman;Times;serif"/>
                <w:b/>
                <w:sz w:val="20"/>
              </w:rPr>
              <w:t>Income Taxes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did not record income tax expense for the three and six months ended June 30, 2024 and 2023 due to the Company’s loss position and full valuation allowance.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and other permanent differences. Realization of deferred tax assets is dependent upon future earnings, if any, the timing and amount of which are uncertain.</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amount of which are uncertain. Accordingly, the net U.S. federal and state deferred tax assets have been fully offset by a valuation allowance.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liability, if any. Such annual limitations could result in the expiration of the net operating loss carryforwards and research and development tax credit carryforwards before their utilization. During the year ended December 31, 2023, the Company assessed whether an ownership change, as defined by Section 382, occurred from its formation through December 31, 2022. Based upon this assessment, the Company reduced the gross deferred tax assets related to its federal and state net operating loss carryforwards and federal research and development tax credit carryforwards. For financial statement purposes, the Company previously included the federal and state net operating loss carryforwards and research and development tax credit carryforwards in the deferred tax assets with a full valuation allowance. Due to the valuation allowance, the reduction in the net operating loss carryforwards and research and development tax credit carryforwards did not have an impact on the Company’s net loss for the year ended December 31, 2023.</w:t>
      </w:r>
    </w:p>
    <w:tbl>
      <w:tblPr>
        <w:tblW w:w="3017" w:type="dxa"/>
        <w:jc w:val="left"/>
        <w:tblInd w:w="0" w:type="dxa"/>
        <w:tblLayout w:type="fixed"/>
        <w:tblCellMar>
          <w:top w:w="0" w:type="dxa"/>
          <w:left w:w="0" w:type="dxa"/>
          <w:bottom w:w="0" w:type="dxa"/>
          <w:right w:w="0" w:type="dxa"/>
        </w:tblCellMar>
      </w:tblPr>
      <w:tblGrid>
        <w:gridCol w:w="451"/>
        <w:gridCol w:w="256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Restructuring and severance</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the Company announced an updated business strategy, including revisions to the Company’s technology roadmap. In connection with this updated strategy, the Company implemented a workforce reduction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and incurred a restructuring charge of $1.0 million which was paid in full during 2023. Work activities regarding the revised business plan and updated technology roadmap are ongoing.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 addition to the charge for restructuring, the Company also incurred $1.0 million for contractual severance benefits related to executive officers of the Company that were terminated in the year ended December 31, 2023. The remaining balance in the Company’s accrual for contractual severance benefits related to executive officers as of December 31, 2023 of $0.2 million was paid out monthly through February 2024. </w:t>
      </w:r>
    </w:p>
    <w:tbl>
      <w:tblPr>
        <w:tblW w:w="1787" w:type="dxa"/>
        <w:jc w:val="left"/>
        <w:tblInd w:w="0" w:type="dxa"/>
        <w:tblLayout w:type="fixed"/>
        <w:tblCellMar>
          <w:top w:w="0" w:type="dxa"/>
          <w:left w:w="0" w:type="dxa"/>
          <w:bottom w:w="0" w:type="dxa"/>
          <w:right w:w="0" w:type="dxa"/>
        </w:tblCellMar>
      </w:tblPr>
      <w:tblGrid>
        <w:gridCol w:w="451"/>
        <w:gridCol w:w="1336"/>
      </w:tblGrid>
      <w:tr>
        <w:trPr/>
        <w:tc>
          <w:tcPr>
            <w:tcW w:w="4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17)</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42" w:name="ITEM2MANAGEMENTSDISCUSSIONANDANALYSISOFF"/>
      <w:bookmarkStart w:id="1443" w:name="_90246eec_2173_4eaf_8fc2_3614b16478ba"/>
      <w:bookmarkEnd w:id="1442"/>
      <w:bookmarkEnd w:id="144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2023,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been generating revenue since 2018, primarily through partnerships with government agencies and commercial organizations; however, we have not yet generated profits. We have incurred significant operating losses since inception. Our net losses were $75.1 million and $71.5 million for the years ended December 31, 2023 and 2022, respectively, and our net loss was </w:t>
      </w:r>
      <w:r>
        <w:rPr>
          <w:rFonts w:ascii="Times New Roman;Times;serif" w:hAnsi="Times New Roman;Times;serif"/>
          <w:sz w:val="20"/>
          <w:shd w:fill="FFFFFF" w:val="clear"/>
        </w:rPr>
        <w:t xml:space="preserve">$33.2 million for the six months ended June 30, 2024. </w:t>
      </w:r>
      <w:r>
        <w:rPr>
          <w:rFonts w:ascii="Times New Roman;Times;serif" w:hAnsi="Times New Roman;Times;serif"/>
          <w:sz w:val="20"/>
        </w:rPr>
        <w:t>We expect to continue to incur additional losses for the foreseeable future as we invest in research, development, and infrastructure consistent with our long-term business strategy. As of June 30, 2024, we had an accumulated deficit of $387.0 million.</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We believe that our existing cash, cash equivalents and marketable securities should be sufficient to meet our anticipated operating cash needs until midway through the first quarter of 2026, based on our current business plan, and expectations and assumptions considering current macroeconomic conditions. Accordingly, based on our estimates and current business plan, we expect that we will need to obtain additional capital to fund our research and development efforts and business objectives as currently planned. Our estimate does not assume any additional financing, and there is no assurance that additional financing will be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we are unable to raise additional funding when needed and on attractive terms, we may be required to delay, limit, or substantially reduce our quantum computing development efforts.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In February 2023, we announced an updated business strategy, including revisions to our technology roadmap. In connection with this updated strategy, we implemented a workforce reduction beginning in February 2023 to focus the organization and our resources on nearer-term strategic priorities and our efforts to achieve narrow quantum advantage. </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Key achievements in 2023 included the launch of the Ankaa 84-qubit Ankaa™-2 system to customers via Rigetti Quantum Cloud Services (QCS). The Ankaa-2 system achieved 98% median 2-qubit fidelity, which represents a 2.5x performance improvement compared to our previous QPUs.</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We continue to plan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working to improve the performance of our QPUs with the goal of reaching at least 99% 2-qubit gate fidelity on an anticipated Ankaa-3 84-qubit system by the end of 2024.</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target is achieved, we plan to shift focus to scaling to develop Lyra, an anticipated 336-qubit system.</w:t>
            </w:r>
          </w:p>
        </w:tc>
      </w:tr>
    </w:tbl>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We also plan to continue to pursue sales of </w:t>
      </w:r>
      <w:r>
        <w:rPr>
          <w:rFonts w:ascii="Times New Roman;Times;serif" w:hAnsi="Times New Roman;Times;serif"/>
          <w:sz w:val="20"/>
          <w:shd w:fill="FFFFFF" w:val="clear"/>
        </w:rPr>
        <w:t>Novera™</w:t>
      </w:r>
      <w:r>
        <w:rPr>
          <w:rFonts w:ascii="Times New Roman;Times;serif" w:hAnsi="Times New Roman;Times;serif"/>
          <w:sz w:val="20"/>
        </w:rPr>
        <w:t>, our first commercially available QPU launched in 2023, which features a 9-qubit chip, tunable couplers for fast 2-qubit operations and a 5-qubit chip for testing single-qubit operations.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We believe that this business plan should enable us to concentrate our software application development strategy on what we believe to be the highest likelihood applications for demonstrating nearer term narrow quantum advantage.</w:t>
      </w:r>
    </w:p>
    <w:p>
      <w:pPr>
        <w:pStyle w:val="TextBody"/>
        <w:bidi w:val="0"/>
        <w:spacing w:before="240" w:after="120"/>
        <w:ind w:left="0" w:right="0" w:firstLine="547"/>
        <w:jc w:val="both"/>
        <w:rPr>
          <w:rFonts w:ascii="Times New Roman;Times;serif" w:hAnsi="Times New Roman;Times;serif"/>
          <w:sz w:val="20"/>
        </w:rPr>
      </w:pPr>
      <w:r>
        <w:rPr>
          <w:rFonts w:ascii="Times New Roman;Times;serif" w:hAnsi="Times New Roman;Times;serif"/>
          <w:sz w:val="20"/>
        </w:rPr>
        <w:t>In February 2023, the reduction in the workforce impacted approximately 50 employees or 28% of our then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affected employees. In addition to the restructuring charge, we also incurred $1.0 million of expenses for contractual severance benefits related to executive officers of the Company that were terminated in the three months ended March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Unfavorable conditions in the economy in the United States and abroad may negatively affect the growth of our business and have affected our results of operations. For example, macroeconomic events, including rising inflation, the U.S. Federal Reserve raising interest rates, recent and potential bank failures, the ongoing military conflict involving Russia and Ukraine and sanctions related thereto, the state of war between Israel and Hamas and the related risk of a larger conflict have led to economic uncertainty globally. The effect of macroeconomic conditions may not be fully reflected in the results of operations until future periods. If, however, economic uncertainty increases or the global economy worsens, our business, financial condition and results of operations may be harmed. </w:t>
      </w:r>
      <w:r>
        <w:rPr>
          <w:rFonts w:ascii="Times-Roman" w:hAnsi="Times-Roman"/>
          <w:sz w:val="20"/>
        </w:rPr>
        <w:t>For further discussion of the potential impacts of macroeconomic events on our business, financial condition, and operating results, see the section titled Part I “Item 1A. Risk Factors” in our Annual Report on Form 10-K for the year ended December 31, 2023, including the risk factor titled  </w:t>
      </w:r>
      <w:r>
        <w:rPr>
          <w:rFonts w:ascii="Times New Roman;Times;serif" w:hAnsi="Times New Roman;Times;serif"/>
          <w:sz w:val="20"/>
        </w:rPr>
        <w:t>“</w:t>
      </w:r>
      <w:r>
        <w:rPr>
          <w:rFonts w:ascii="Times-Italic" w:hAnsi="Times-Italic"/>
          <w:sz w:val="20"/>
        </w:rPr>
        <w:t>Unstable market and economic conditions have had and may continue to have serious adverse consequences on our business, financial condition and share price.”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have experienced and may experience further increases in the cost of raw materials, component parts, and labor, which we largely attribute to inflation, the U.S. Federal Reserve raising interest rates, high demand, and supply chain restraints. Rising costs and supply chain constraints have been further exacerbated by the ongoing military conflict involving Russia and Ukraine and sanctions related thereto, the state of war between Israel and Hamas and the related risk of a larger conflict.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expect these increased costs will persist for the foreseeable future and may increase. Additionally,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Economic conditions in some parts of the world have been worsening, with disruptions to, and volatility and uncertainty in, the credit and financial markets in the U.S. and worldwide resulting from the effects of inflation and increases in interest rates. 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continuing to take actions to monitor our operations to account for the increases in the cost of capital. Specifically, this includes efforts to enhance our operational efficiency, including with respect to capital expenditures, maximize our R&amp;D productivity spend through strategic collaborations, and being highly selective in hiring top-tier talent.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Our operating expenses primarily consist of research and development, and selling, general and administrative expenses. </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540" w:right="0" w:hanging="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include compensation, employee benefits, stock-based compensation, insurance, facility costs, professional service fees, and other general overhead costs other than those associated with sales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QPUs and providing development contracts, QCaaS offerings and other services. We expect selling, general and administrative expenses to increase as we grow our business, particularly </w:t>
      </w:r>
      <w:r>
        <w:rPr>
          <w:rFonts w:ascii="Times-Roman" w:hAnsi="Times-Roman"/>
          <w:sz w:val="20"/>
        </w:rPr>
        <w:t>to the extent we achieve narrow and broad quantum advantage, and anticipate subsequently enhancing our product and service offerings, expanding our customer base, and implementing new marketing strategies.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its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Six Months Ended June 30, 2024 and 2023</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tbl>
      <w:tblPr>
        <w:tblW w:w="11102" w:type="dxa"/>
        <w:jc w:val="left"/>
        <w:tblInd w:w="0" w:type="dxa"/>
        <w:tblLayout w:type="fixed"/>
        <w:tblCellMar>
          <w:top w:w="0" w:type="dxa"/>
          <w:left w:w="0" w:type="dxa"/>
          <w:bottom w:w="0" w:type="dxa"/>
          <w:right w:w="0" w:type="dxa"/>
        </w:tblCellMar>
      </w:tblPr>
      <w:tblGrid>
        <w:gridCol w:w="1096"/>
        <w:gridCol w:w="326"/>
        <w:gridCol w:w="196"/>
        <w:gridCol w:w="661"/>
        <w:gridCol w:w="326"/>
        <w:gridCol w:w="196"/>
        <w:gridCol w:w="661"/>
        <w:gridCol w:w="326"/>
        <w:gridCol w:w="196"/>
        <w:gridCol w:w="600"/>
        <w:gridCol w:w="326"/>
        <w:gridCol w:w="871"/>
        <w:gridCol w:w="241"/>
        <w:gridCol w:w="326"/>
        <w:gridCol w:w="196"/>
        <w:gridCol w:w="661"/>
        <w:gridCol w:w="326"/>
        <w:gridCol w:w="196"/>
        <w:gridCol w:w="661"/>
        <w:gridCol w:w="326"/>
        <w:gridCol w:w="196"/>
        <w:gridCol w:w="600"/>
        <w:gridCol w:w="326"/>
        <w:gridCol w:w="871"/>
        <w:gridCol w:w="241"/>
        <w:gridCol w:w="154"/>
      </w:tblGrid>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19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versus 2023</w:t>
            </w:r>
          </w:p>
        </w:tc>
        <w:tc>
          <w:tcPr>
            <w:tcW w:w="2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19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vs. 2023</w:t>
            </w:r>
          </w:p>
        </w:tc>
        <w:tc>
          <w:tcPr>
            <w:tcW w:w="241"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0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3,086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6,138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(1,349)</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23,341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Restructuring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18,075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18,966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(891)</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36,160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42,677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(6,517)</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derivative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earn-out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1,665</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before provision for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(16,966)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4,545</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(40,320)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7,126</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(12,421)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(16,966)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4,545</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(40,320)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7,126</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Revenue decreased by $0.2 million and increased by $0.6 million for the three and six months ended June 30, 2024, when compared to the three and six months ended June 30, 2023, respectively. Increases in revenue from development contracts and sales of QPUs for the three and six months ended June 30, 2024 were mostly offset by a decrease in QCaaS revenue. </w:t>
      </w:r>
      <w:r>
        <w:rPr>
          <w:rFonts w:ascii="Times New Roman;Times;serif" w:hAnsi="Times New Roman;Times;serif"/>
          <w:sz w:val="20"/>
          <w:shd w:fill="FFFFFF" w:val="clear"/>
        </w:rPr>
        <w:t>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sales of QPUs and QCaaS will also vary and impact revenue in any given quarterly or annual period. Revenue is expected to vary in terms of timing and size, resulting in significant fluctuations in revenue levels in future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Cost of revenue increased by $0.5 million and $1.5 million for the three and six months ended June 30, 2024, when compared to the three and six months ended June 30, 2023, respectively.</w:t>
      </w:r>
      <w:r>
        <w:rPr>
          <w:rFonts w:ascii="Times New Roman;Times;serif" w:hAnsi="Times New Roman;Times;serif"/>
          <w:sz w:val="20"/>
          <w:shd w:fill="FFFFFF" w:val="clear"/>
        </w:rPr>
        <w:t xml:space="preserve"> The </w:t>
      </w:r>
      <w:r>
        <w:rPr>
          <w:rFonts w:ascii="Times New Roman;Times;serif" w:hAnsi="Times New Roman;Times;serif"/>
          <w:sz w:val="20"/>
        </w:rPr>
        <w:t xml:space="preserve">increase </w:t>
      </w:r>
      <w:r>
        <w:rPr>
          <w:rFonts w:ascii="Times New Roman;Times;serif" w:hAnsi="Times New Roman;Times;serif"/>
          <w:sz w:val="20"/>
          <w:shd w:fill="FFFFFF" w:val="clear"/>
        </w:rPr>
        <w:t>in </w:t>
      </w:r>
      <w:r>
        <w:rPr>
          <w:rFonts w:ascii="Times New Roman;Times;serif" w:hAnsi="Times New Roman;Times;serif"/>
          <w:sz w:val="20"/>
        </w:rPr>
        <w:t>cost of revenue during the three and six months ended June 30, 2024 is primarily due to changes in the composition of our revenue and variability in the pricing and terms of our development contracts. During the three and six months ended June 30, 2024, we entered into a new contract to deliver a 24-qubit quantum computing system with higher costs and a lower gross margin profile than most of our other contracts, contributing to the increase in cost of revenue and lower gross margin percentage for the three and six months ended June 30, 2024, compared to the three and six months ended June 30,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development contracts.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decreased by $1.3 million and $3.6 million for the three and six months ended June 30, 2024, when compared to the three and six months ended June 30, 2023, respectively.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Salaries, employee related costs and stock-based compensation expenses decreased by $0.9 million and $2.5 million for the three and six months ended June 30, 2024, respectively, primarily because more engineering time was used to deliver revenue in the three and six months ended June 30, 2024, when compared to the three and six months ended June 30, 2023. Our February 2023 restructuring also contributed to the reduction in salaries and employee related costs for the six months ended June 30, 2024, compared to the six months ended June 30, 2023. IT costs decreased by $0.9 million and $1.9 million for the three and six months ended June 30, 2024, respectively, primarily due to savings from R&amp;D related IT systems rationalization. Facilities costs increased by $0.8 million and $1.2 million for the three and six months ended June 30, 2024, respectively, primarily due to higher personal property taxes.  All other costs decreased by $0.3 million and $0.4 million for the three and six months ended June 30, 2024, when compared to the three and six months ended June 30, 2023, respectively. </w:t>
      </w:r>
    </w:p>
    <w:p>
      <w:pPr>
        <w:pStyle w:val="TextBody"/>
        <w:bidi w:val="0"/>
        <w:spacing w:before="0" w:after="0"/>
        <w:ind w:left="1267"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anticipate that R&amp;D expenditure will grow in the future as we continue to focus on our technology roadmap and long-term goal of achieving broad quantum advantage.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Selling, general and administrative expenses increased by $0.5 million and decreased by $1.9 million for the three and six months ended June 30, 2024, when compared to the three and six months ended June 30, 2023, respectively. </w:t>
      </w:r>
    </w:p>
    <w:p>
      <w:pPr>
        <w:pStyle w:val="TextBody"/>
        <w:bidi w:val="0"/>
        <w:spacing w:before="0" w:after="24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increase in the three months ended June 30, 2024 was primarily due to additional employee, IT and recruiting costs, offset in part by lower public company compliance and insurance costs.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decrease in the six months ended June 30, 2024 was due to a $1.4 million reduction in salaries and employee related costs, primarily related to our February 2023 restructuring. Costs mostly related to public company compliance  decreased by $0.6 million, because many of these activities were either performed more efficiently or have been brought in house. The Ampere Forward Agreement which expired in October 2023 and an impairment charge for deferred offering costs added $2.0 million to selling, general and administrative expenses for the six months ended June 30, 2023. These decreases were partially offset by an increase in stock compensation expenses of $0.9 million for the six months ended June 30, 2024. Stock compensation expenses were favorably impacted during the six months ended June 30, 2023 due to forfeitures resulting from the February 2023 restructuring. Spending for cybersecurity and other IT related initiatives increased by $0.6 million. All other expenses increased by $0.6 million for the six months ended June 30, 2024, when  compared to six months ended June 30, 2023.</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our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began implementing activities with respect to our revised business plan, updated technology roadmap and reduction in workforce in February 2023, resulting in a $1.0 million restructuring charge for the three months ended March 31, 2023. No further restructuring charges related to this action are expected.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outstanding debt carries a variable rate of interest. Interest expenses decreased by $0.6 million and $1.0 million during the three and six months ended June 30, 2024, when compared to the three and six months ended June 30, 2023, respectively. The reduction in interest expense was due to the lower outstanding balance of principal at June 30, 2024, when compared to June 30, 2023, due to principal repayments, offset in part by the impact of increases in the prime interest rate that occurred throughout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$1.2 million and $2.3 million for the three and six months ended June 30, 2024, down from $1.2 million and $2.5 million for the three and six months ended June 30, 2023, respectively. The decrease in interest income is due to lower balances of invested cash and available-for-sale investments during the three and six months ended June 30, 2024, when compared to the three and six months ended June 30, 2023, offset in part by higher rates of interest earned on our investments.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8 to our condensed consolidated financial statements for the three and six months ended June 30, 2024, included elsewhere in this Quarterly Report on Form 10-Q.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and six months ended June 30, 2024 was a gain of $2.1 million and a loss $0.5 million, respectively. The change in fair value of our warrant liabilities for the three and six months ended June 30, 2023 was </w:t>
      </w:r>
      <w:r>
        <w:rPr>
          <w:rFonts w:ascii="Times New Roman;Times;serif" w:hAnsi="Times New Roman;Times;serif"/>
          <w:sz w:val="20"/>
          <w:shd w:fill="FFFFFF" w:val="clear"/>
        </w:rPr>
        <w:t>minimal and a loss of $0.9 million</w:t>
      </w:r>
      <w:r>
        <w:rPr>
          <w:rFonts w:ascii="Times New Roman;Times;serif" w:hAnsi="Times New Roman;Times;serif"/>
          <w:sz w:val="20"/>
        </w:rPr>
        <w:t xml:space="preserve">, respectively The change in fair value for the three and six months ended June 30, 2024 was primarily due to the change in our stock price and related share price volatility.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earn-out liabilities is included in Note 9 to our condensed consolidated financial statements for the three and six months ended June 30, 2024, included elsewhere in this Quarterly Report on Form 10-Q.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three and six months ended June 30, 2024 was a gain of $1.3 million and a loss of $0.3 million, respectively. The change in fair value of our earn-out liabilities for three and six months ended June 30, 2023 was a loss of $0.4 million and $0.6 million, respectively. The change in fair value for the three and six months ended June 30, 2024 was primarily due to the change in our stock price and related share price volatility.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did not record income tax expense during the three and six months ended June 30, 2024 or 2023 due to the Company’s loss position and full valuation allowance.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incurred net losses and negative cash flows since inception. Historically, we have financed our operations primarily through proceeds from the Business Combination (see Note 2 to our condensed consolidated financial statements for the three and six months ended June 30, 2024), issuance of common stock, preferred stock, warrants, convertible notes, venture backed debt and revenues. Our net losses were $75.1 million and $71.5 million for the years ended December 31, 2023 and 2022, respectively, and our net loss was </w:t>
      </w:r>
      <w:r>
        <w:rPr>
          <w:rFonts w:ascii="Times New Roman;Times;serif" w:hAnsi="Times New Roman;Times;serif"/>
          <w:sz w:val="20"/>
          <w:shd w:fill="FFFFFF" w:val="clear"/>
        </w:rPr>
        <w:t xml:space="preserve">$33.2 million for the six months ended June 30, 2024. </w:t>
      </w:r>
      <w:r>
        <w:rPr>
          <w:rFonts w:ascii="Times New Roman;Times;serif" w:hAnsi="Times New Roman;Times;serif"/>
          <w:sz w:val="20"/>
        </w:rPr>
        <w:t xml:space="preserve">We expect to continue to incur additional losses for the foreseeable future as we invest in research, development, and infrastructure consistent with our long-term business strategy. As of June 30, 2024, we had an accumulated deficit of $387.0 million.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received net proceeds of $225.6 million from the closing of the Business Combination on March 2, 2022. During the three months ended March 31, 2024, we received proceeds of $12.8 million, from the sale of 10,056,799 shares of our common stock to B. Riley under a Purchase Agreement which has since terminated, because there are no remaining shares available for sale under the agreement.  On March 15, 2024, we entered into an ATM Sales Agreement </w:t>
      </w:r>
      <w:r>
        <w:rPr>
          <w:rFonts w:ascii="Times New Roman;Times;serif" w:hAnsi="Times New Roman;Times;serif"/>
          <w:sz w:val="20"/>
          <w:shd w:fill="FFFFFF" w:val="clear"/>
        </w:rPr>
        <w:t xml:space="preserve">pursuant to which we may offer and sell, from time to time at our sole discretion, shares of our common stock, having an aggregate offering price of up to $100,000,000, subject to certain limitations as set forth in the ATM Sales Agreement. </w:t>
      </w:r>
      <w:r>
        <w:rPr>
          <w:rFonts w:ascii="Times New Roman;Times;serif" w:hAnsi="Times New Roman;Times;serif"/>
          <w:sz w:val="20"/>
        </w:rPr>
        <w:t>During the six months ended June 30, 2024, we received net proceeds of $26.8 million from the sale of 19,423,375 shares of our common stock under the ATM sales agreement. During the month of July 2024, we received an additional $12.0 million of net proceeds from the sale of 11,294,746 shares of common stock under the ATM sales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believe that our existing balances of cash, cash equivalents and available-for-sale investments should be sufficient to meet our anticipated operating cash needs for at least the next 12 months, and to midway through the first quarter of 2026, based on our current business plan, and expectations and assumptions considering current macroeconomic conditions. Based on our estimates and current business plan, we expect that we will need to obtain additional capital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under Part I “Item 1A. Risk Factors” in our Annual Report on Form 10-K for the year ended December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conditions have been further exacerbated by recent and potential future disruptions in access to bank deposits or lending commitments due to bank failures, the ongoing military conflict involving Russia and Ukraine and sanctions related thereto, the state of war between Israel and Hamas and the related risk of a larger conflict.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or disruptions in the banking system could materially affect our business and the value of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require a significant amount of cash for expenditure as we invest in ongoing research and development and business operations. Until such time as we can generate significant revenue from sales of QPUs, our development contracts and other services, including our QCaaS offerings, we expect to finance our cash needs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2023. Furthermore, we currently have on file with the SEC an effective shelf registration statement on Form S-3, which allows us to offer and sell up to an aggregate amount of $250.0 million of any combination of common stock, common stock or preferred stock upon conversion of debt securities, common stock upon conversion of preferred stock, or common stock, preferred stock or debt securities upon exercise of warrants from time to time, pursuant to which we have entered into an ATM offering for the sale of up to an aggregate amount of $100 million of common stock from time to time, of which $60.2 million of common stock remains available for sale as of the date hereof.</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Amended Loan Agreement – Trinity Capital</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June 30, 2024, the total principal amount outstanding under the Amended Loan Agreement was $16.2 million. The Amended Loan Agreement bears interest at a rate equal to the greater of 11% or the US Prime Rate plus 7.50% per annum, payable monthly, and is secured by a first-priority security interest in substantially all of our assets.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cash commitments as of June 30, 2024 were primarily as follows (in thousands):</w:t>
      </w:r>
    </w:p>
    <w:tbl>
      <w:tblPr>
        <w:tblW w:w="7821" w:type="dxa"/>
        <w:jc w:val="left"/>
        <w:tblInd w:w="0" w:type="dxa"/>
        <w:tblLayout w:type="fixed"/>
        <w:tblCellMar>
          <w:top w:w="0" w:type="dxa"/>
          <w:left w:w="0" w:type="dxa"/>
          <w:bottom w:w="0" w:type="dxa"/>
          <w:right w:w="0" w:type="dxa"/>
        </w:tblCellMar>
      </w:tblPr>
      <w:tblGrid>
        <w:gridCol w:w="4036"/>
        <w:gridCol w:w="326"/>
        <w:gridCol w:w="211"/>
        <w:gridCol w:w="676"/>
        <w:gridCol w:w="326"/>
        <w:gridCol w:w="217"/>
        <w:gridCol w:w="699"/>
        <w:gridCol w:w="326"/>
        <w:gridCol w:w="211"/>
        <w:gridCol w:w="79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562860" cy="175260"/>
                      <wp:effectExtent l="0" t="0" r="0" b="0"/>
                      <wp:wrapNone/>
                      <wp:docPr id="291" name="Frame291"/>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9260" cy="175260"/>
                      <wp:effectExtent l="0" t="0" r="0" b="0"/>
                      <wp:wrapNone/>
                      <wp:docPr id="294" name="Frame2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7795" cy="175260"/>
                      <wp:effectExtent l="0" t="0" r="0" b="0"/>
                      <wp:wrapNone/>
                      <wp:docPr id="296" name="Frame29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43865" cy="175260"/>
                      <wp:effectExtent l="0" t="0" r="0" b="0"/>
                      <wp:wrapNone/>
                      <wp:docPr id="297" name="Frame297"/>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3555" cy="175260"/>
                      <wp:effectExtent l="0" t="0" r="0" b="0"/>
                      <wp:wrapNone/>
                      <wp:docPr id="300" name="Frame30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cash interest on financing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28,105</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10,630</w:t>
            </w:r>
          </w:p>
        </w:tc>
      </w:tr>
    </w:tbl>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Financing obligations consist of payments related to the Amended Loan Agreement with Trinity Capital. Operating lease obligations consist of obligations under non-cancelable operating leases for our offices, facilities and equipment. The table above does not include amounts owed for purchases of capital equipment; supplies; materials; or fixed or minimum services under non-cancelable contracts.</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2024 was $26.7 million, primarily resulting from our net loss of $33.2 million, partially offset by non-cash expenses totaling $10.0 million. Changes in operating assets and liabilities had a $3.4 million negative impact on net cash used in operating activities during the six months ended June 30, 2024.</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Net cash used in operating activities during the six</w:t>
      </w:r>
      <w:r>
        <w:rPr>
          <w:rFonts w:ascii="Times New Roman;Times;serif" w:hAnsi="Times New Roman;Times;serif"/>
          <w:sz w:val="20"/>
        </w:rPr>
        <w:t xml:space="preserve"> months ended June 30, 2023 </w:t>
      </w:r>
      <w:r>
        <w:rPr>
          <w:rFonts w:ascii="Times New Roman;Times;serif" w:hAnsi="Times New Roman;Times;serif"/>
          <w:sz w:val="20"/>
          <w:shd w:fill="FFFFFF" w:val="clear"/>
        </w:rPr>
        <w:t>was $33.6 million, primarily resulting from our net loss of $40.3 million, partially offset by non-cash expenses totaling $12.7 million. Changes in operating assets and liabilities had a $6.0 million negative impact on net cash used in operating activities during the six months ended June 30,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was reduced by $6.9 million to $26.7 million during </w:t>
      </w:r>
      <w:r>
        <w:rPr>
          <w:rFonts w:ascii="Times New Roman;Times;serif" w:hAnsi="Times New Roman;Times;serif"/>
          <w:sz w:val="20"/>
        </w:rPr>
        <w:t>the six months ended June 30, 2024</w:t>
      </w:r>
      <w:r>
        <w:rPr>
          <w:rFonts w:ascii="Times New Roman;Times;serif" w:hAnsi="Times New Roman;Times;serif"/>
          <w:sz w:val="20"/>
          <w:shd w:fill="FFFFFF" w:val="clear"/>
        </w:rPr>
        <w:t>, from $33.6 million for the six months ended June 30, 2023. Our net loss from operations decreased by $7.1 million to $33.2 million for the six months ended June 30, 2024. Non-cash charges impacting our net loss from operations decreased by $2.7 million to $10.0 million during the six months ended June 30, 2024, from $12.7 million during the six months ended June 30, 2023. Operating assets and liabilities had a $2.6 million favorable impact on the change in cash used in operating activities during the six months ended June 30, 2024, compared to the three months ended June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Cash used in investing activities during the six months ended </w:t>
      </w:r>
      <w:r>
        <w:rPr>
          <w:rFonts w:ascii="Times New Roman;Times;serif" w:hAnsi="Times New Roman;Times;serif"/>
          <w:sz w:val="20"/>
          <w:shd w:fill="FFFFFF" w:val="clear"/>
        </w:rPr>
        <w:t>June 30</w:t>
      </w:r>
      <w:r>
        <w:rPr>
          <w:rFonts w:ascii="Times New Roman;Times;serif" w:hAnsi="Times New Roman;Times;serif"/>
          <w:sz w:val="20"/>
        </w:rPr>
        <w:t xml:space="preserve">, 2024 totaled $7.0 million, resulting from $76.0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$7.5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 offset in part by $76.5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used in investing activities during the six months ended June 30, 2023 totaled $2.8 million, resulting from $57.6 million of purchases of available-for-sale securities and $5.7 million of purchases of property and equipment, offset in part by $60.6 million of maturities of available-for-sale securities.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Net cash used in investing activities during the six months ended June 30, 2024 increased by $4.2 million when compared to the six months ended June 30, 2023, primarily due to an increase in purchases of property and equipment  and fluctuations in the level of investment in</w:t>
      </w:r>
      <w:r>
        <w:rPr>
          <w:rFonts w:ascii="Times New Roman;Times;serif" w:hAnsi="Times New Roman;Times;serif"/>
          <w:sz w:val="20"/>
        </w:rPr>
        <w:t xml:space="preserve"> available-for-sale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the six months ended </w:t>
      </w:r>
      <w:r>
        <w:rPr>
          <w:rFonts w:ascii="Times New Roman;Times;serif" w:hAnsi="Times New Roman;Times;serif"/>
          <w:sz w:val="20"/>
          <w:shd w:fill="FFFFFF" w:val="clear"/>
        </w:rPr>
        <w:t>June 30</w:t>
      </w:r>
      <w:r>
        <w:rPr>
          <w:rFonts w:ascii="Times New Roman;Times;serif" w:hAnsi="Times New Roman;Times;serif"/>
          <w:sz w:val="20"/>
        </w:rPr>
        <w:t>, 2024 totaled $33.1 million. We received net proceeds of $12.8 million from the sale of 10,056,799 shares of common stock to B. Riley through our prior Purchase Agreement and net proceeds of $26.8 million from the sale of 19,423,375 shares of common stock pursuant to our ATM program. Proceeds from the sale of common stock were offset in part by principal payments of $6.2 million under the Amended Loan Agreement with Trinity Capital and payments of $0.4 million for deferred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0"/>
          <w:shd w:fill="FFFFFF" w:val="clear"/>
        </w:rPr>
        <w:t>ash provided by financing activities during the six months ended June 30, 2023 totaled $0.3 million, reflecting $2.3 million of proceeds from the sale of 1,869,419 shares of common stock to B. Riley through the Purchase Agreement and $0.9 million of proceeds from the exercise of stock options and warrants, offset in part by principal payments of $2.9 million under the Amended Loan Agreement with Trinity Capital and payments of $0.1 million for deferred financing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Net cash provided by financing activities during the six months ended </w:t>
      </w:r>
      <w:r>
        <w:rPr>
          <w:rFonts w:ascii="Times New Roman;Times;serif" w:hAnsi="Times New Roman;Times;serif"/>
          <w:sz w:val="20"/>
          <w:shd w:fill="FFFFFF" w:val="clear"/>
        </w:rPr>
        <w:t>June 30</w:t>
      </w:r>
      <w:r>
        <w:rPr>
          <w:rFonts w:ascii="Times New Roman;Times;serif" w:hAnsi="Times New Roman;Times;serif"/>
          <w:sz w:val="20"/>
        </w:rPr>
        <w:t xml:space="preserve">, 2024 increased by $32.8 million when compared to the </w:t>
      </w:r>
      <w:r>
        <w:rPr>
          <w:rFonts w:ascii="Times New Roman;Times;serif" w:hAnsi="Times New Roman;Times;serif"/>
          <w:sz w:val="20"/>
          <w:shd w:fill="FFFFFF" w:val="clear"/>
        </w:rPr>
        <w:t>six months ended June 30, 2023</w:t>
      </w:r>
      <w:r>
        <w:rPr>
          <w:rFonts w:ascii="Times New Roman;Times;serif" w:hAnsi="Times New Roman;Times;serif"/>
          <w:sz w:val="20"/>
        </w:rPr>
        <w:t>, primarily due to the sale of common stock through our prior Purchase Agreement with B. Riley and our ATM program in the six months ended June 30, 2024. We expect to satisfy our cash needs primarily through on-hand cash, cash equivalents and available-for-sale investments, the sale of common stock through the ATM Agreement, subject to market and other conditions, and other potential securities financings or capital sources.</w:t>
      </w:r>
    </w:p>
    <w:p>
      <w:pPr>
        <w:pStyle w:val="TextBody"/>
        <w:bidi w:val="0"/>
        <w:spacing w:before="0" w:after="0"/>
        <w:ind w:left="0" w:right="0" w:firstLine="54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pBdr/>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w:t>
      </w:r>
    </w:p>
    <w:p>
      <w:pPr>
        <w:pStyle w:val="TextBody"/>
        <w:pBdr/>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There have been no material changes to our critical accounting estimates from those described under “Management’s Discussion and Analysis of Financial Condition and Results of Operations” in our Annual Report on Form 10-K for the year ended December 31, 2023. </w:t>
      </w:r>
    </w:p>
    <w:p>
      <w:pPr>
        <w:pStyle w:val="TextBody"/>
        <w:shd w:fill="FFFFFF" w:val="clear"/>
        <w:bidi w:val="0"/>
        <w:spacing w:before="0" w:after="240"/>
        <w:ind w:left="0" w:right="0" w:firstLine="518"/>
        <w:jc w:val="both"/>
        <w:rPr>
          <w:rFonts w:ascii="Times New Roman;Times;serif" w:hAnsi="Times New Roman;Times;serif"/>
          <w:sz w:val="20"/>
        </w:rPr>
      </w:pPr>
      <w:r>
        <w:rPr>
          <w:rFonts w:ascii="Times New Roman;Times;serif" w:hAnsi="Times New Roman;Times;serif"/>
          <w:sz w:val="20"/>
        </w:rPr>
        <w:t xml:space="preserve">Critical accounting estimates are defined as those reflective of significant judgments, estimates and uncertainties, which may result in materially different results under different assumptions and conditions. Within our Annual Report on Form 10-K for the year ended December 31, 2023,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period ended June 30, 2024 included elsewhere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emerging growth company under the JOBS Act until the earliest of (a) December 31, 2026,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240"/>
        <w:ind w:left="0" w:right="0" w:hanging="0"/>
        <w:jc w:val="left"/>
        <w:rPr>
          <w:rFonts w:ascii="Times New Roman;Times;serif" w:hAnsi="Times New Roman;Times;serif"/>
          <w:b/>
          <w:sz w:val="20"/>
        </w:rPr>
      </w:pPr>
      <w:bookmarkStart w:id="1444" w:name="ITEM3QUANTITATIVEANDQUALITATIVEDISCLOSUR"/>
      <w:bookmarkStart w:id="1445" w:name="_4c6713e6_8351_40d1_b71b_484d83b907c2"/>
      <w:bookmarkEnd w:id="1444"/>
      <w:bookmarkEnd w:id="1445"/>
      <w:r>
        <w:rPr>
          <w:rFonts w:ascii="Times New Roman;Times;serif" w:hAnsi="Times New Roman;Times;serif"/>
          <w:b/>
          <w:sz w:val="20"/>
        </w:rPr>
        <w:t>ITEM 3. QUANTITATIVE AND QUALITATIVE DISCLOSURES ABOUT MARKET RISK</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46" w:name="ITEM4CONTROLSANDPROCEDURES_496417"/>
      <w:bookmarkStart w:id="1447" w:name="_59346336_9b1e_4548_97d1_b0277d4f370c"/>
      <w:bookmarkEnd w:id="1446"/>
      <w:bookmarkEnd w:id="1447"/>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defined in Rules 13a-15(e) and 15d-15(e) under the Exchange Act) as of June 30, 2024. Based on the evaluation of our disclosure controls and procedures, our management concluded that, as of June 30, 2024, our disclosure controls and procedures were not effective due to the material weakness described below.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added, and continue to add, additional controls over our year-end and quarter-end closing processes, which are still being implemented and tested. We have hired additional accounting resources. The material weakness related to our year-end and quarter-end close processes will not be considered remediated until such time as management designs and implements effective controls that operate for a sufficient period of time and has concluded, through testing, that these controls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condensed consolidated financial statements will not be prevented or detected on a timely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After giving full consideration to the material weakness and the additional procedures that we performed, management has concluded that the condensed consolidated financial statements contained in this Quarterly Report on Form 10-Q fairly present, in all material respects, our financial condition, results of operations and cash flows for the periods presented in conformity with GAAP; however, the material weakness could have resulted in a misstatement of account balances or disclosures that would be considered material to the annual or interim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previously disclosed, in connection with the preparation of the financial statements for the year ended December 31, 2023, we identified a material weakness in our internal control over financial reporting related to the design and operation of our overall closing and financial reporting processes, including the timely preparation of account reconciliations, effective segregation of duties, particularly with respect to change management and logical access over IT systems, and a lack of timely review over the financial statement close process.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June 30, 2024 due to the reasons described above, including the period of time required to hire and train new employees with the appropriate level of experience and technical expertise, and because the necessary controls to remediate the material weakness have not been fully implemented and sufficiently tested.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Remediation Plan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remediation plan related to the material weakness over our overall closing and financial reporting processes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hiring sufficient personnel with technical accounting and financial reporting experience to augment our current staff, to achieve appropriate segregation of duties and to improve the effectiveness of our closing and financial reporting processes; </w:t>
            </w:r>
          </w:p>
        </w:tc>
      </w:tr>
    </w:tbl>
    <w:p>
      <w:pPr>
        <w:pStyle w:val="TextBody"/>
        <w:bidi w:val="0"/>
        <w:spacing w:before="0" w:after="0"/>
        <w:ind w:left="907" w:right="0" w:hanging="0"/>
        <w:jc w:val="both"/>
        <w:rPr/>
      </w:pPr>
      <w:r>
        <w:rPr/>
        <w:t>​</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lack of segregation of duties for change management and logical access over IT systems; and</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implementing improved accounting and financial reporting procedures and systems to improve the completeness, timeliness and accuracy of our financial reporting and disclosures, including the assessment of more judgmental areas of accounting. </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elements of our remediation plan can only be accomplished over time, and we can offer no assurance that these initiatives will ultimately have the intended effects. As management continues to evaluate and works to improve our internal control over financial reporting, management may determine it is necessary to take additional measures to address the material weakness. This material weakness will not be considered remediated unless and until such time as management designs and implements effective controls that operate for a sufficient length of time and concludes, through testing, that the controls are effective. Until the controls have been operating for a sufficient length of time and management has concluded, through testing, that the controls are operating effectively, the material weakness described above will continue to exist.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Management is monitoring the progress of the remediation plan and reports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even if we are successful in strengthening our controls and procedures, in the future these controls and procedures may not be adequate to prevent or identify irregularities or errors or to facilitate the fair presentation of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Other than the remediation efforts described above, there have been no other changes in our internal control over financial reporting, as such term is defined in Rules 13a-15(f) and 15d-15(f) promulgated under the Exchange Act, during the quarter ended June 30, 2024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448" w:name="PARTIIOTHERINFORMATION_588959"/>
      <w:bookmarkStart w:id="1449" w:name="_1b861cd3_1277_4e5b_b4a0_ab5057715b7e"/>
      <w:bookmarkEnd w:id="1448"/>
      <w:bookmarkEnd w:id="1449"/>
      <w:r>
        <w:rPr>
          <w:rFonts w:ascii="Times New Roman;Times;serif" w:hAnsi="Times New Roman;Times;serif"/>
          <w:b/>
          <w:sz w:val="20"/>
        </w:rPr>
        <w:t>PART II. OTHER INFORMATION</w:t>
      </w:r>
    </w:p>
    <w:p>
      <w:pPr>
        <w:pStyle w:val="TextBody"/>
        <w:bidi w:val="0"/>
        <w:spacing w:before="0" w:after="240"/>
        <w:ind w:left="0" w:right="0" w:hanging="0"/>
        <w:jc w:val="both"/>
        <w:rPr>
          <w:rFonts w:ascii="Times New Roman;Times;serif" w:hAnsi="Times New Roman;Times;serif"/>
          <w:b/>
          <w:sz w:val="20"/>
        </w:rPr>
      </w:pPr>
      <w:bookmarkStart w:id="1450" w:name="ITEM1LEGALPROCEEDINGS_241174"/>
      <w:bookmarkEnd w:id="1450"/>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b/>
          <w:sz w:val="20"/>
        </w:rPr>
      </w:pPr>
      <w:bookmarkStart w:id="1451" w:name="ITEM1ARISKFACTORS_905958"/>
      <w:bookmarkStart w:id="1452" w:name="_d28aa6ac_258a_42ab_b2e9_131bb1619d1e"/>
      <w:bookmarkEnd w:id="1451"/>
      <w:bookmarkEnd w:id="1452"/>
      <w:r>
        <w:rPr>
          <w:rFonts w:ascii="Times New Roman;Times;serif" w:hAnsi="Times New Roman;Times;serif"/>
          <w:b/>
          <w:sz w:val="20"/>
        </w:rPr>
        <w:t>ITEM 1A.  RISK FACTORS</w:t>
      </w:r>
    </w:p>
    <w:p>
      <w:pPr>
        <w:pStyle w:val="TextBody"/>
        <w:shd w:fill="FFFFFF" w:val="clear"/>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risk factors discussed in Part I “Item 1A. Risk Factors” in our Annual Report on Form 10-K for the year ended December 31, 2023 for a discussion of material factors that make an investment in our ordinary shares speculative or risky.</w:t>
      </w:r>
    </w:p>
    <w:p>
      <w:pPr>
        <w:pStyle w:val="TextBody"/>
        <w:bidi w:val="0"/>
        <w:spacing w:before="0" w:after="240"/>
        <w:ind w:left="0" w:right="0" w:firstLine="540"/>
        <w:jc w:val="both"/>
        <w:rPr/>
      </w:pPr>
      <w:r>
        <w:rPr/>
        <w:t>​</w:t>
      </w:r>
    </w:p>
    <w:p>
      <w:pPr>
        <w:pStyle w:val="TextBody"/>
        <w:bidi w:val="0"/>
        <w:spacing w:before="0" w:after="240"/>
        <w:ind w:left="0" w:right="0" w:hanging="0"/>
        <w:jc w:val="both"/>
        <w:rPr>
          <w:rFonts w:ascii="Times New Roman;Times;serif" w:hAnsi="Times New Roman;Times;serif"/>
          <w:b/>
          <w:sz w:val="20"/>
        </w:rPr>
      </w:pPr>
      <w:bookmarkStart w:id="1453" w:name="ITEM2UNREGISTEREDSALESOFEQUITYSECURITIES"/>
      <w:bookmarkStart w:id="1454" w:name="_d3f6fc15_27b5_4b18_8776_639407bb93ec"/>
      <w:bookmarkEnd w:id="1453"/>
      <w:bookmarkEnd w:id="1454"/>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55" w:name="ITEM3DEFAULTSUPONSENIORSECURITIES_579171"/>
      <w:bookmarkStart w:id="1456" w:name="_e376adc8_cb76_42c9_812b_5bdbf9650633"/>
      <w:bookmarkEnd w:id="1455"/>
      <w:bookmarkEnd w:id="1456"/>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57" w:name="ITEM4MINESAFETYDISCLOSURES_518433"/>
      <w:bookmarkStart w:id="1458" w:name="_3de8a698_7f0d_425c_8e03_93ae6998a174"/>
      <w:bookmarkEnd w:id="1457"/>
      <w:bookmarkEnd w:id="1458"/>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59" w:name="ITEM5OTHERINFORMATION_693016"/>
      <w:bookmarkStart w:id="1460" w:name="_da4920dd_c9c6_4f70_9797_0fbd650b8a0d"/>
      <w:bookmarkEnd w:id="1459"/>
      <w:bookmarkEnd w:id="1460"/>
      <w:r>
        <w:rPr>
          <w:rFonts w:ascii="Times New Roman;Times;serif" w:hAnsi="Times New Roman;Times;serif"/>
          <w:b/>
          <w:sz w:val="20"/>
        </w:rPr>
        <w:t>ITEM 5. OTHER INFORMATION</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the quarter ended June 30, 2024, Gail Sandford, a member of our Board of directors, adopted a trading plan intended to satisfy the affirmative defense conditions of Rule 10b5-1 (c) on June 10, 2024. The plan, which expires on September 8, 2025, provides for the sale of 30% of the value of RSUs vesting during the period from June 10, 2024 to September 8, 2025.</w:t>
      </w:r>
    </w:p>
    <w:p>
      <w:pPr>
        <w:pStyle w:val="TextBody"/>
        <w:bidi w:val="0"/>
        <w:spacing w:before="0" w:after="240"/>
        <w:ind w:left="0" w:right="0" w:firstLine="54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61" w:name="ITEM6EXHIBITS_411089"/>
      <w:bookmarkStart w:id="1462" w:name="_4bd958c6_bf53_4f39_8748_fa9e2410dd8f"/>
      <w:bookmarkEnd w:id="1461"/>
      <w:bookmarkEnd w:id="1462"/>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691"/>
        <w:gridCol w:w="326"/>
        <w:gridCol w:w="4735"/>
        <w:gridCol w:w="326"/>
        <w:gridCol w:w="481"/>
        <w:gridCol w:w="326"/>
        <w:gridCol w:w="699"/>
        <w:gridCol w:w="326"/>
        <w:gridCol w:w="616"/>
        <w:gridCol w:w="326"/>
        <w:gridCol w:w="1353"/>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8785" cy="175260"/>
                      <wp:effectExtent l="0" t="0" r="0" b="0"/>
                      <wp:wrapNone/>
                      <wp:docPr id="301"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006725" cy="175260"/>
                      <wp:effectExtent l="0" t="0" r="0" b="0"/>
                      <wp:wrapNone/>
                      <wp:docPr id="302" name="Frame302"/>
                      <a:graphic xmlns:a="http://schemas.openxmlformats.org/drawingml/2006/main">
                        <a:graphicData uri="http://schemas.microsoft.com/office/word/2010/wordprocessingShape">
                          <wps:wsp>
                            <wps:cNvSpPr txBox="1"/>
                            <wps:spPr>
                              <a:xfrm>
                                <a:off x="0" y="0"/>
                                <a:ext cx="300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05435" cy="175260"/>
                      <wp:effectExtent l="0" t="0" r="0" b="0"/>
                      <wp:wrapNone/>
                      <wp:docPr id="303" name="Frame30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43865" cy="175260"/>
                      <wp:effectExtent l="0" t="0" r="0" b="0"/>
                      <wp:wrapNone/>
                      <wp:docPr id="304" name="Frame30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91160" cy="175260"/>
                      <wp:effectExtent l="0" t="0" r="0" b="0"/>
                      <wp:wrapNone/>
                      <wp:docPr id="305" name="Frame30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859155" cy="175260"/>
                      <wp:effectExtent l="0" t="0" r="0" b="0"/>
                      <wp:wrapNone/>
                      <wp:docPr id="306" name="Frame306"/>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left"/>
              <w:rPr/>
            </w:pPr>
            <w:r>
              <w:rPr/>
              <w:t>​</w:t>
            </w:r>
          </w:p>
        </w:tc>
      </w:tr>
      <w:tr>
        <w:trPr/>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6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shd w:fill="FFFFFF" w:val="clear"/>
                </w:rPr>
                <w:t>Amended and Restated Loan and Security Agreement by and between Trinity Capital Inc., as lender, and Rigetti &amp; Co, LLC, Rigetti Intermediate LLC and Rigetti Computing Inc., as borrowers.</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24, 2024</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40630xex10d2.htm">
              <w:r>
                <w:rPr>
                  <w:rStyle w:val="InternetLink"/>
                  <w:rFonts w:ascii="Times New Roman;Times;serif" w:hAnsi="Times New Roman;Times;serif"/>
                  <w:b w:val="false"/>
                  <w:i w:val="false"/>
                  <w:caps w:val="false"/>
                  <w:smallCaps w:val="false"/>
                  <w:sz w:val="20"/>
                </w:rPr>
                <w:t>Seventh Amendment to Lease Agreement dated August 9, 2016 by and between Rigetti and Prologis Limited Partnership I</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4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hyperlink w:anchor="rgti-2024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8"/>
        <w:gridCol w:w="109"/>
        <w:gridCol w:w="8410"/>
        <w:gridCol w:w="109"/>
        <w:gridCol w:w="109"/>
        <w:gridCol w:w="109"/>
        <w:gridCol w:w="109"/>
        <w:gridCol w:w="109"/>
        <w:gridCol w:w="109"/>
        <w:gridCol w:w="109"/>
        <w:gridCol w:w="155"/>
      </w:tblGrid>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hyperlink w:anchor="rgti-2024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6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63" w:name="SIGNATURES_680104"/>
      <w:bookmarkStart w:id="1464" w:name="_95f38243_d8c4_4c33_bf84_e80473fa2fb6"/>
      <w:bookmarkEnd w:id="1463"/>
      <w:bookmarkEnd w:id="1464"/>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167" w:type="dxa"/>
        <w:jc w:val="left"/>
        <w:tblInd w:w="0" w:type="dxa"/>
        <w:tblLayout w:type="fixed"/>
        <w:tblCellMar>
          <w:top w:w="0" w:type="dxa"/>
          <w:left w:w="0" w:type="dxa"/>
          <w:bottom w:w="0" w:type="dxa"/>
          <w:right w:w="0" w:type="dxa"/>
        </w:tblCellMar>
      </w:tblPr>
      <w:tblGrid>
        <w:gridCol w:w="1966"/>
        <w:gridCol w:w="720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8410" cy="175260"/>
                      <wp:effectExtent l="0" t="0" r="0" b="0"/>
                      <wp:wrapNone/>
                      <wp:docPr id="307" name="Frame30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572635" cy="175260"/>
                      <wp:effectExtent l="0" t="0" r="0" b="0"/>
                      <wp:wrapNone/>
                      <wp:docPr id="308" name="Frame308"/>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1966"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Dated: August 8, 2024</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0"/>
        <w:ind w:left="0" w:right="0" w:hanging="0"/>
        <w:jc w:val="left"/>
        <w:rPr/>
      </w:pPr>
      <w:bookmarkStart w:id="1465" w:name="rgti-20240630xex10d2.htm"/>
      <w:bookmarkStart w:id="1466" w:name="ksrgti20240630xex10d2"/>
      <w:bookmarkEnd w:id="1465"/>
      <w:bookmarkEnd w:id="1466"/>
      <w:r>
        <w:rPr/>
        <w:t>​</w:t>
      </w:r>
      <w:r>
        <w:br w:type="page"/>
      </w:r>
    </w:p>
    <w:p>
      <w:pPr>
        <w:pStyle w:val="TextBody"/>
        <w:bidi w:val="0"/>
        <w:spacing w:lineRule="auto" w:line="304" w:before="0" w:after="0"/>
        <w:ind w:left="0" w:right="0" w:hanging="0"/>
        <w:jc w:val="right"/>
        <w:rPr>
          <w:rFonts w:ascii="Times New Roman;Times;serif" w:hAnsi="Times New Roman;Times;serif"/>
          <w:b/>
          <w:sz w:val="22"/>
        </w:rPr>
      </w:pPr>
      <w:r>
        <w:rPr>
          <w:rFonts w:ascii="Times New Roman;Times;serif" w:hAnsi="Times New Roman;Times;serif"/>
          <w:b/>
          <w:sz w:val="22"/>
        </w:rPr>
        <w:t>Exhibit 10.2</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4"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SEVENTH AMENDMENT TO LEASE AGREEMENT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firstLine="720"/>
        <w:jc w:val="both"/>
        <w:rPr>
          <w:rFonts w:ascii="Aptos" w:hAnsi="Aptos"/>
          <w:sz w:val="22"/>
        </w:rPr>
      </w:pPr>
      <w:r>
        <w:rPr>
          <w:rFonts w:ascii="Times New Roman;Times;serif" w:hAnsi="Times New Roman;Times;serif"/>
          <w:b/>
          <w:sz w:val="22"/>
        </w:rPr>
        <w:t>THIS SEVENTH AMENDMENT TO LEASE</w:t>
      </w:r>
      <w:r>
        <w:rPr>
          <w:rFonts w:ascii="Aptos" w:hAnsi="Aptos"/>
          <w:sz w:val="22"/>
        </w:rPr>
        <w:t xml:space="preserve"> </w:t>
      </w:r>
      <w:r>
        <w:rPr>
          <w:rFonts w:ascii="Times New Roman;Times;serif" w:hAnsi="Times New Roman;Times;serif"/>
          <w:b/>
          <w:sz w:val="22"/>
        </w:rPr>
        <w:t>AGREEMENT</w:t>
      </w:r>
      <w:r>
        <w:rPr>
          <w:rFonts w:ascii="Aptos" w:hAnsi="Aptos"/>
          <w:sz w:val="22"/>
        </w:rPr>
        <w:t xml:space="preserve"> </w:t>
      </w:r>
      <w:r>
        <w:rPr>
          <w:rFonts w:ascii="Times New Roman;Times;serif" w:hAnsi="Times New Roman;Times;serif"/>
          <w:sz w:val="22"/>
        </w:rPr>
        <w:t>(this "Amendment") is entered into as of June 14, 2024, by and between PROLOGIS LIMITED PARTNERSHIP I ("Landlord"), and RIGETTI &amp; CO, LLC ("Tenant").  </w:t>
      </w:r>
    </w:p>
    <w:p>
      <w:pPr>
        <w:pStyle w:val="TextBody"/>
        <w:bidi w:val="0"/>
        <w:spacing w:lineRule="auto" w:line="307" w:before="0" w:after="160"/>
        <w:ind w:left="0" w:right="0" w:hanging="0"/>
        <w:jc w:val="both"/>
        <w:rPr>
          <w:rFonts w:ascii="Times New Roman;Times;serif" w:hAnsi="Times New Roman;Times;serif"/>
          <w:sz w:val="22"/>
        </w:rPr>
      </w:pPr>
      <w:r>
        <w:rPr>
          <w:rFonts w:ascii="Times New Roman;Times;serif" w:hAnsi="Times New Roman;Times;serif"/>
          <w:sz w:val="22"/>
        </w:rPr>
        <w:t xml:space="preserve">WITNESSTH: </w:t>
      </w:r>
    </w:p>
    <w:p>
      <w:pPr>
        <w:pStyle w:val="TextBody"/>
        <w:bidi w:val="0"/>
        <w:spacing w:lineRule="auto" w:line="304" w:before="0" w:after="0"/>
        <w:ind w:left="0" w:right="0" w:firstLine="810"/>
        <w:jc w:val="both"/>
        <w:rPr>
          <w:rFonts w:ascii="Times New Roman;Times;serif" w:hAnsi="Times New Roman;Times;serif"/>
          <w:sz w:val="22"/>
        </w:rPr>
      </w:pPr>
      <w:r>
        <w:rPr>
          <w:rFonts w:ascii="Times New Roman;Times;serif" w:hAnsi="Times New Roman;Times;serif"/>
          <w:sz w:val="22"/>
        </w:rPr>
        <w:t xml:space="preserve">WHEREAS, Landlord and Tenant are parties to a certain Lease Agreement dated August 9, 2016 (as heretofore amended, the “Lease”), pursuant to which Landlord leases to Tenant approximately 38,000 rentable square feet (the "Premises") located at 47400-47470 Seabridge Drive, Fremont, CA 94538 (the "Building"). </w:t>
      </w:r>
    </w:p>
    <w:p>
      <w:pPr>
        <w:pStyle w:val="TextBody"/>
        <w:bidi w:val="0"/>
        <w:spacing w:lineRule="auto" w:line="307" w:before="0" w:after="160"/>
        <w:ind w:left="0" w:right="0" w:firstLine="810"/>
        <w:jc w:val="both"/>
        <w:rPr/>
      </w:pPr>
      <w:r>
        <w:rPr/>
        <w:t>​</w:t>
      </w:r>
    </w:p>
    <w:p>
      <w:pPr>
        <w:pStyle w:val="TextBody"/>
        <w:bidi w:val="0"/>
        <w:spacing w:lineRule="auto" w:line="304" w:before="0" w:after="0"/>
        <w:ind w:left="0" w:right="0" w:firstLine="810"/>
        <w:jc w:val="both"/>
        <w:rPr>
          <w:rFonts w:ascii="Times New Roman;Times;serif" w:hAnsi="Times New Roman;Times;serif"/>
          <w:sz w:val="22"/>
        </w:rPr>
      </w:pPr>
      <w:r>
        <w:rPr>
          <w:rFonts w:ascii="Times New Roman;Times;serif" w:hAnsi="Times New Roman;Times;serif"/>
          <w:sz w:val="22"/>
        </w:rPr>
        <w:t>WHEREAS, Tenant desires Landlord's cooperation and signature of approval on a certain Authorization of Agent to Act on Property Owner’s Behalf (the “Application”) to be submitted to the City of Fremont, Community Development Department (the “City”) in connection with an electrical upgrade to the Premises being sought by Tenant (the “Upgrade”).  </w:t>
      </w:r>
    </w:p>
    <w:p>
      <w:pPr>
        <w:pStyle w:val="TextBody"/>
        <w:bidi w:val="0"/>
        <w:spacing w:lineRule="auto" w:line="307" w:before="0" w:after="160"/>
        <w:ind w:left="0" w:right="0" w:firstLine="810"/>
        <w:jc w:val="both"/>
        <w:rPr/>
      </w:pPr>
      <w:r>
        <w:rPr/>
        <w:t>​</w:t>
      </w:r>
    </w:p>
    <w:p>
      <w:pPr>
        <w:pStyle w:val="TextBody"/>
        <w:bidi w:val="0"/>
        <w:spacing w:lineRule="auto" w:line="304" w:before="0" w:after="0"/>
        <w:ind w:left="0" w:right="0" w:firstLine="810"/>
        <w:jc w:val="both"/>
        <w:rPr>
          <w:rFonts w:ascii="Times New Roman;Times;serif" w:hAnsi="Times New Roman;Times;serif"/>
          <w:sz w:val="22"/>
        </w:rPr>
      </w:pPr>
      <w:r>
        <w:rPr>
          <w:rFonts w:ascii="Times New Roman;Times;serif" w:hAnsi="Times New Roman;Times;serif"/>
          <w:sz w:val="22"/>
        </w:rPr>
        <w:t xml:space="preserve">WHEREAS, Tenant has retained Applied Dynamics Inc. (along with any successor or replacement engineer, inspector or inspection firm that Tenant retains in connection with the Inspection, the "Engineer") to facilitate the Upgrade. </w:t>
      </w:r>
    </w:p>
    <w:p>
      <w:pPr>
        <w:pStyle w:val="TextBody"/>
        <w:bidi w:val="0"/>
        <w:spacing w:lineRule="auto" w:line="307" w:before="0" w:after="160"/>
        <w:ind w:left="0" w:right="0" w:firstLine="810"/>
        <w:jc w:val="both"/>
        <w:rPr/>
      </w:pPr>
      <w:r>
        <w:rPr/>
        <w:t>​</w:t>
      </w:r>
    </w:p>
    <w:p>
      <w:pPr>
        <w:pStyle w:val="TextBody"/>
        <w:bidi w:val="0"/>
        <w:spacing w:lineRule="auto" w:line="304" w:before="0" w:after="0"/>
        <w:ind w:left="0" w:right="0" w:firstLine="810"/>
        <w:jc w:val="both"/>
        <w:rPr>
          <w:rFonts w:ascii="Times New Roman;Times;serif" w:hAnsi="Times New Roman;Times;serif"/>
          <w:sz w:val="22"/>
        </w:rPr>
      </w:pPr>
      <w:r>
        <w:rPr>
          <w:rFonts w:ascii="Times New Roman;Times;serif" w:hAnsi="Times New Roman;Times;serif"/>
          <w:sz w:val="22"/>
        </w:rPr>
        <w:t xml:space="preserve">WHEREAS, the Application, the Upgrade, and Tenant's retention of the Engineer shall be collectively referred to herein as the "Tenant's Project." </w:t>
      </w:r>
    </w:p>
    <w:p>
      <w:pPr>
        <w:pStyle w:val="TextBody"/>
        <w:bidi w:val="0"/>
        <w:spacing w:lineRule="auto" w:line="307" w:before="0" w:after="160"/>
        <w:ind w:left="0" w:right="0" w:firstLine="810"/>
        <w:jc w:val="both"/>
        <w:rPr/>
      </w:pPr>
      <w:r>
        <w:rPr/>
        <w:t>​</w:t>
      </w:r>
    </w:p>
    <w:p>
      <w:pPr>
        <w:pStyle w:val="TextBody"/>
        <w:bidi w:val="0"/>
        <w:spacing w:lineRule="auto" w:line="304" w:before="0" w:after="0"/>
        <w:ind w:left="0" w:right="0" w:firstLine="810"/>
        <w:jc w:val="both"/>
        <w:rPr>
          <w:rFonts w:ascii="Times New Roman;Times;serif" w:hAnsi="Times New Roman;Times;serif"/>
          <w:sz w:val="22"/>
        </w:rPr>
      </w:pPr>
      <w:r>
        <w:rPr>
          <w:rFonts w:ascii="Times New Roman;Times;serif" w:hAnsi="Times New Roman;Times;serif"/>
          <w:sz w:val="22"/>
        </w:rPr>
        <w:t xml:space="preserve">WHEREAS, Landlord is willing to cooperate and provide its approval signature on the Application, subject to Tenant's indemnification obligations set forth below. </w:t>
      </w:r>
    </w:p>
    <w:p>
      <w:pPr>
        <w:pStyle w:val="TextBody"/>
        <w:bidi w:val="0"/>
        <w:spacing w:lineRule="auto" w:line="307" w:before="0" w:after="160"/>
        <w:ind w:left="0" w:right="0" w:firstLine="810"/>
        <w:jc w:val="both"/>
        <w:rPr/>
      </w:pPr>
      <w:r>
        <w:rPr/>
        <w:t>​</w:t>
      </w:r>
    </w:p>
    <w:p>
      <w:pPr>
        <w:pStyle w:val="TextBody"/>
        <w:bidi w:val="0"/>
        <w:spacing w:lineRule="auto" w:line="304" w:before="0" w:after="0"/>
        <w:ind w:left="0" w:right="0" w:firstLine="810"/>
        <w:jc w:val="both"/>
        <w:rPr>
          <w:rFonts w:ascii="Times New Roman;Times;serif" w:hAnsi="Times New Roman;Times;serif"/>
          <w:sz w:val="22"/>
        </w:rPr>
      </w:pPr>
      <w:r>
        <w:rPr>
          <w:rFonts w:ascii="Times New Roman;Times;serif" w:hAnsi="Times New Roman;Times;serif"/>
          <w:sz w:val="22"/>
        </w:rPr>
        <w:t xml:space="preserve">WHEREAS, Landlord and Tenant desire to modify the Lease on the terms and conditions set forth below. </w:t>
      </w:r>
    </w:p>
    <w:p>
      <w:pPr>
        <w:pStyle w:val="TextBody"/>
        <w:bidi w:val="0"/>
        <w:spacing w:lineRule="auto" w:line="307" w:before="0" w:after="160"/>
        <w:ind w:left="0" w:right="0" w:hanging="0"/>
        <w:jc w:val="both"/>
        <w:rPr/>
      </w:pPr>
      <w:r>
        <w:rPr/>
        <w:t>​</w:t>
      </w:r>
    </w:p>
    <w:p>
      <w:pPr>
        <w:pStyle w:val="TextBody"/>
        <w:bidi w:val="0"/>
        <w:spacing w:lineRule="auto" w:line="304" w:before="0" w:after="0"/>
        <w:ind w:left="0" w:right="8" w:hanging="0"/>
        <w:jc w:val="center"/>
        <w:rPr>
          <w:rFonts w:ascii="Times New Roman;Times;serif" w:hAnsi="Times New Roman;Times;serif"/>
          <w:sz w:val="22"/>
        </w:rPr>
      </w:pPr>
      <w:r>
        <w:rPr>
          <w:rFonts w:ascii="Times New Roman;Times;serif" w:hAnsi="Times New Roman;Times;serif"/>
          <w:sz w:val="22"/>
        </w:rPr>
        <w:t>AGREEMENT:</w:t>
      </w:r>
    </w:p>
    <w:p>
      <w:pPr>
        <w:pStyle w:val="TextBody"/>
        <w:bidi w:val="0"/>
        <w:spacing w:lineRule="auto" w:line="307" w:before="0" w:after="160"/>
        <w:ind w:left="0" w:right="8" w:hanging="0"/>
        <w:jc w:val="center"/>
        <w:rPr/>
      </w:pPr>
      <w:r>
        <w:rPr/>
        <w:t>​</w:t>
      </w:r>
    </w:p>
    <w:p>
      <w:pPr>
        <w:pStyle w:val="TextBody"/>
        <w:bidi w:val="0"/>
        <w:spacing w:lineRule="auto" w:line="304" w:before="0" w:after="0"/>
        <w:ind w:left="0" w:right="0" w:firstLine="720"/>
        <w:jc w:val="both"/>
        <w:rPr>
          <w:rFonts w:ascii="Times New Roman;Times;serif" w:hAnsi="Times New Roman;Times;serif"/>
          <w:sz w:val="22"/>
        </w:rPr>
      </w:pPr>
      <w:r>
        <w:rPr>
          <w:rFonts w:ascii="Times New Roman;Times;serif" w:hAnsi="Times New Roman;Times;serif"/>
          <w:sz w:val="22"/>
        </w:rPr>
        <w:t xml:space="preserve">NOW THEREFORE, in consideration of the Premises and the mutual covenants hereinafter contained, the parties hereto agree as follows: </w:t>
      </w:r>
    </w:p>
    <w:p>
      <w:pPr>
        <w:pStyle w:val="TextBody"/>
        <w:bidi w:val="0"/>
        <w:spacing w:lineRule="auto" w:line="307" w:before="0" w:after="16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Notwithstanding any language in the Application to the contrary, Tenant acknowledges and agrees that Tenant has retained the Engineer, and that Tenant – not Landlord – has the contractual relationship with the Engineer and is solely obligated to compensate the Engineer. Tenant's indemnification obligations set forth below shall include any claims asserted by the Engineer, its employees, agents, or contractors. </w:t>
            </w:r>
          </w:p>
        </w:tc>
      </w:tr>
    </w:tbl>
    <w:p>
      <w:pPr>
        <w:pStyle w:val="TextBody"/>
        <w:pBdr/>
        <w:bidi w:val="0"/>
        <w:spacing w:lineRule="auto" w:line="307" w:before="0" w:after="16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Tenant, at its sole cost and without any cost to Landlord, shall comply with all terms, conditions, and requirements in connection with the Tenant's Project, whether imposed by a governmental authority, a private entity, or otherwise. Tenant agrees to indemnify, defend and hold harmless Landlord, and Landlord's agents, employees, owners, affiliates, management companies, partners, contractors and all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others acting on its behalf (collectively "Landlord Parties") from and against any and all demands, claims, costs, expenses, losses, liabilities and damages (including without limitation attorneys' fees and expert costs) (collectively "Claims") resulting from or arising in connection with the Tenant's Project. The foregoing shall include, but not be limited to, any Claims, whether or not actually litigated and/or reduced to judgment, and whether meritorious or not. In case any Claims are brought against any of the Landlord Parties, Tenant upon notice, shall immediately defend the same at Tenant's sole expense by counsel reasonably satisfactory to Landlord Parties and shall cooperate with Landlord in such defense. Landlord need not have first paid any Claims in order to be so indemnified. The furnishing of insurance required under the Lease shall not be deemed to limit Tenant's obligations under this Section 2. </w:t>
            </w:r>
          </w:p>
        </w:tc>
      </w:tr>
    </w:tbl>
    <w:p>
      <w:pPr>
        <w:pStyle w:val="TextBody"/>
        <w:pBdr/>
        <w:bidi w:val="0"/>
        <w:spacing w:lineRule="auto" w:line="307" w:before="0" w:after="160"/>
        <w:ind w:left="0" w:right="0" w:hanging="360"/>
        <w:jc w:val="both"/>
        <w:rPr/>
      </w:pPr>
      <w:r>
        <w:rPr/>
        <w:t>​</w:t>
      </w:r>
    </w:p>
    <w:tbl>
      <w:tblPr>
        <w:tblW w:w="6400" w:type="dxa"/>
        <w:jc w:val="left"/>
        <w:tblInd w:w="0" w:type="dxa"/>
        <w:tblLayout w:type="fixed"/>
        <w:tblCellMar>
          <w:top w:w="0" w:type="dxa"/>
          <w:left w:w="0" w:type="dxa"/>
          <w:bottom w:w="0" w:type="dxa"/>
          <w:right w:w="0" w:type="dxa"/>
        </w:tblCellMar>
      </w:tblPr>
      <w:tblGrid>
        <w:gridCol w:w="170"/>
        <w:gridCol w:w="623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notice addresses for Landlord and Tenant shall be as follows: </w:t>
            </w:r>
          </w:p>
        </w:tc>
      </w:tr>
    </w:tbl>
    <w:p>
      <w:pPr>
        <w:pStyle w:val="TextBody"/>
        <w:bidi w:val="0"/>
        <w:spacing w:lineRule="auto" w:line="307" w:before="0" w:after="160"/>
        <w:ind w:left="720" w:right="0" w:hanging="0"/>
        <w:jc w:val="left"/>
        <w:rPr/>
      </w:pPr>
      <w:r>
        <w:rPr/>
        <w:t>​</w:t>
      </w:r>
    </w:p>
    <w:tbl>
      <w:tblPr>
        <w:tblW w:w="5011" w:type="dxa"/>
        <w:jc w:val="left"/>
        <w:tblInd w:w="0" w:type="dxa"/>
        <w:tblLayout w:type="fixed"/>
        <w:tblCellMar>
          <w:top w:w="0" w:type="dxa"/>
          <w:left w:w="0" w:type="dxa"/>
          <w:bottom w:w="0" w:type="dxa"/>
          <w:right w:w="0" w:type="dxa"/>
        </w:tblCellMar>
      </w:tblPr>
      <w:tblGrid>
        <w:gridCol w:w="1576"/>
        <w:gridCol w:w="442"/>
        <w:gridCol w:w="2993"/>
      </w:tblGrid>
      <w:tr>
        <w:trPr/>
        <w:tc>
          <w:tcPr>
            <w:tcW w:w="2018" w:type="dxa"/>
            <w:gridSpan w:val="2"/>
            <w:tcBorders/>
            <w:vAlign w:val="center"/>
          </w:tcPr>
          <w:p>
            <w:pPr>
              <w:pStyle w:val="TableContents"/>
              <w:bidi w:val="0"/>
              <w:spacing w:lineRule="auto" w:line="285" w:before="0" w:after="0"/>
              <w:ind w:left="0" w:right="0" w:hanging="0"/>
              <w:jc w:val="left"/>
              <w:rPr/>
            </w:pPr>
            <w:r>
              <w:rPr/>
              <w:t>​</w:t>
            </w:r>
          </w:p>
        </w:tc>
        <w:tc>
          <w:tcPr>
            <w:tcW w:w="2993"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92" w:before="0" w:after="4"/>
              <w:ind w:left="0" w:right="0" w:hanging="0"/>
              <w:jc w:val="both"/>
              <w:rPr>
                <w:rFonts w:ascii="Times New Roman;Times;serif" w:hAnsi="Times New Roman;Times;serif"/>
                <w:sz w:val="24"/>
              </w:rPr>
            </w:pPr>
            <w:r>
              <w:rPr>
                <w:rFonts w:ascii="Times New Roman;Times;serif" w:hAnsi="Times New Roman;Times;serif"/>
                <w:sz w:val="24"/>
              </w:rPr>
              <w:t>Landlord:</w:t>
            </w:r>
          </w:p>
        </w:tc>
        <w:tc>
          <w:tcPr>
            <w:tcW w:w="3435" w:type="dxa"/>
            <w:gridSpan w:val="2"/>
            <w:tcBorders/>
            <w:vAlign w:val="center"/>
          </w:tcPr>
          <w:p>
            <w:pPr>
              <w:pStyle w:val="TableContents"/>
              <w:bidi w:val="0"/>
              <w:spacing w:lineRule="auto" w:line="292" w:before="0" w:after="4"/>
              <w:ind w:left="0" w:right="0" w:hanging="0"/>
              <w:jc w:val="both"/>
              <w:rPr>
                <w:rFonts w:ascii="Times New Roman;Times;serif" w:hAnsi="Times New Roman;Times;serif"/>
                <w:sz w:val="24"/>
              </w:rPr>
            </w:pPr>
            <w:r>
              <w:rPr>
                <w:rFonts w:ascii="Times New Roman;Times;serif" w:hAnsi="Times New Roman;Times;serif"/>
                <w:sz w:val="24"/>
              </w:rPr>
              <w:t>Prologis</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304" w:before="0" w:after="0"/>
              <w:ind w:left="0" w:right="0" w:hanging="0"/>
              <w:jc w:val="both"/>
              <w:rPr>
                <w:rFonts w:ascii="Times New Roman;Times;serif" w:hAnsi="Times New Roman;Times;serif"/>
                <w:sz w:val="24"/>
              </w:rPr>
            </w:pPr>
            <w:r>
              <w:rPr>
                <w:rFonts w:ascii="Times New Roman;Times;serif" w:hAnsi="Times New Roman;Times;serif"/>
                <w:sz w:val="24"/>
              </w:rPr>
              <w:t xml:space="preserve">680 N. McCarthy Blvd, Suite 100 </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Milpitas, CA 95035 </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Attention: Market Officer </w:t>
            </w:r>
          </w:p>
          <w:p>
            <w:pPr>
              <w:pStyle w:val="TableContents"/>
              <w:bidi w:val="0"/>
              <w:spacing w:lineRule="auto" w:line="285" w:before="0" w:after="0"/>
              <w:ind w:left="0" w:right="0" w:hanging="0"/>
              <w:jc w:val="both"/>
              <w:rPr/>
            </w:pPr>
            <w:r>
              <w:rPr/>
              <w:t>​</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pPr>
            <w:r>
              <w:rPr/>
              <w:t>​</w:t>
            </w:r>
          </w:p>
        </w:tc>
      </w:tr>
      <w:tr>
        <w:trPr/>
        <w:tc>
          <w:tcPr>
            <w:tcW w:w="1576" w:type="dxa"/>
            <w:tcBorders/>
            <w:vAlign w:val="center"/>
          </w:tcPr>
          <w:p>
            <w:pPr>
              <w:pStyle w:val="TableContents"/>
              <w:bidi w:val="0"/>
              <w:spacing w:lineRule="auto" w:line="292" w:before="0" w:after="4"/>
              <w:ind w:left="0" w:right="0" w:hanging="0"/>
              <w:jc w:val="both"/>
              <w:rPr>
                <w:rFonts w:ascii="Times New Roman;Times;serif" w:hAnsi="Times New Roman;Times;serif"/>
                <w:sz w:val="24"/>
              </w:rPr>
            </w:pPr>
            <w:r>
              <w:rPr>
                <w:rFonts w:ascii="Times New Roman;Times;serif" w:hAnsi="Times New Roman;Times;serif"/>
                <w:sz w:val="24"/>
              </w:rPr>
              <w:t>With a copy to:</w:t>
            </w:r>
          </w:p>
        </w:tc>
        <w:tc>
          <w:tcPr>
            <w:tcW w:w="3435" w:type="dxa"/>
            <w:gridSpan w:val="2"/>
            <w:tcBorders/>
            <w:vAlign w:val="center"/>
          </w:tcPr>
          <w:p>
            <w:pPr>
              <w:pStyle w:val="TableContents"/>
              <w:bidi w:val="0"/>
              <w:spacing w:lineRule="auto" w:line="292" w:before="0" w:after="4"/>
              <w:ind w:left="0" w:right="0" w:hanging="0"/>
              <w:jc w:val="both"/>
              <w:rPr>
                <w:rFonts w:ascii="Times New Roman;Times;serif" w:hAnsi="Times New Roman;Times;serif"/>
                <w:sz w:val="24"/>
              </w:rPr>
            </w:pPr>
            <w:r>
              <w:rPr>
                <w:rFonts w:ascii="Times New Roman;Times;serif" w:hAnsi="Times New Roman;Times;serif"/>
                <w:sz w:val="24"/>
              </w:rPr>
              <w:t>Prologis</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1800 Wazee Street, Suite 500 </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Denver, Colorado 80202</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Attention: General Counsel </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pPr>
            <w:r>
              <w:rPr/>
              <w:t>​</w:t>
            </w:r>
          </w:p>
        </w:tc>
      </w:tr>
      <w:tr>
        <w:trPr/>
        <w:tc>
          <w:tcPr>
            <w:tcW w:w="1576" w:type="dxa"/>
            <w:tcBorders/>
            <w:vAlign w:val="center"/>
          </w:tcPr>
          <w:p>
            <w:pPr>
              <w:pStyle w:val="TableContents"/>
              <w:bidi w:val="0"/>
              <w:spacing w:lineRule="auto" w:line="292" w:before="0" w:after="4"/>
              <w:ind w:left="0" w:right="0" w:hanging="0"/>
              <w:jc w:val="both"/>
              <w:rPr>
                <w:rFonts w:ascii="Times New Roman;Times;serif" w:hAnsi="Times New Roman;Times;serif"/>
                <w:sz w:val="24"/>
              </w:rPr>
            </w:pPr>
            <w:r>
              <w:rPr>
                <w:rFonts w:ascii="Times New Roman;Times;serif" w:hAnsi="Times New Roman;Times;serif"/>
                <w:sz w:val="24"/>
              </w:rPr>
              <w:t>Tenant: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Rigetti &amp; Co, LLC</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775 Heinz Avenue</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Berkeley, CA 94710</w:t>
            </w:r>
          </w:p>
        </w:tc>
      </w:tr>
      <w:tr>
        <w:trPr/>
        <w:tc>
          <w:tcPr>
            <w:tcW w:w="1576" w:type="dxa"/>
            <w:tcBorders/>
            <w:vAlign w:val="center"/>
          </w:tcPr>
          <w:p>
            <w:pPr>
              <w:pStyle w:val="TableContents"/>
              <w:bidi w:val="0"/>
              <w:spacing w:lineRule="auto" w:line="285" w:before="0" w:after="0"/>
              <w:ind w:left="0" w:right="0" w:hanging="0"/>
              <w:jc w:val="both"/>
              <w:rPr/>
            </w:pPr>
            <w:r>
              <w:rPr/>
              <w:t>​</w:t>
            </w:r>
          </w:p>
        </w:tc>
        <w:tc>
          <w:tcPr>
            <w:tcW w:w="3435" w:type="dxa"/>
            <w:gridSpan w:val="2"/>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Attention: General Counsel</w:t>
            </w:r>
          </w:p>
        </w:tc>
      </w:tr>
    </w:tbl>
    <w:p>
      <w:pPr>
        <w:pStyle w:val="TextBody"/>
        <w:bidi w:val="0"/>
        <w:spacing w:lineRule="auto" w:line="307" w:before="0" w:after="160"/>
        <w:ind w:left="45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Except as otherwise expressly provided herein, all defined terms used in this Amendment shall have the same respective meanings as are provided for such defined terms in the Lease. </w:t>
            </w:r>
          </w:p>
        </w:tc>
      </w:tr>
    </w:tbl>
    <w:p>
      <w:pPr>
        <w:pStyle w:val="TextBody"/>
        <w:bidi w:val="0"/>
        <w:spacing w:lineRule="auto" w:line="307" w:before="0" w:after="160"/>
        <w:ind w:left="45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  </w:t>
            </w:r>
          </w:p>
        </w:tc>
      </w:tr>
    </w:tbl>
    <w:p>
      <w:pPr>
        <w:pStyle w:val="TextBody"/>
        <w:bidi w:val="0"/>
        <w:spacing w:lineRule="auto" w:line="307" w:before="0" w:after="160"/>
        <w:ind w:left="45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6"/>
        <w:gridCol w:w="10046"/>
      </w:tblGrid>
      <w:tr>
        <w:trPr/>
        <w:tc>
          <w:tcPr>
            <w:tcW w:w="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 </w:t>
            </w:r>
          </w:p>
        </w:tc>
      </w:tr>
    </w:tbl>
    <w:p>
      <w:pPr>
        <w:pStyle w:val="TextBody"/>
        <w:bidi w:val="0"/>
        <w:spacing w:lineRule="auto" w:line="307" w:before="0" w:after="160"/>
        <w:ind w:left="0" w:right="8230" w:hanging="0"/>
        <w:jc w:val="both"/>
        <w:rPr/>
      </w:pPr>
      <w:r>
        <w:rPr/>
        <w:t> ​</w:t>
      </w:r>
    </w:p>
    <w:p>
      <w:pPr>
        <w:pStyle w:val="TextBody"/>
        <w:bidi w:val="0"/>
        <w:spacing w:lineRule="auto" w:line="307" w:before="0" w:after="160"/>
        <w:ind w:left="0" w:right="0" w:hanging="0"/>
        <w:jc w:val="both"/>
        <w:rPr/>
      </w:pPr>
      <w:r>
        <w:rPr/>
        <w:t>​</w:t>
      </w:r>
    </w:p>
    <w:p>
      <w:pPr>
        <w:pStyle w:val="TextBody"/>
        <w:bidi w:val="0"/>
        <w:spacing w:lineRule="auto" w:line="304" w:before="0" w:after="0"/>
        <w:ind w:left="0" w:right="0" w:hanging="0"/>
        <w:jc w:val="both"/>
        <w:rPr>
          <w:rFonts w:ascii="Times New Roman;Times;serif" w:hAnsi="Times New Roman;Times;serif"/>
          <w:b/>
          <w:i/>
          <w:sz w:val="22"/>
        </w:rPr>
      </w:pPr>
      <w:r>
        <w:rPr>
          <w:rFonts w:ascii="Times New Roman;Times;serif" w:hAnsi="Times New Roman;Times;serif"/>
          <w:b/>
          <w:i/>
          <w:sz w:val="22"/>
        </w:rPr>
        <w:t xml:space="preserve">SIGNATURE PAGE FOLLOWS </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both"/>
        <w:rPr/>
      </w:pPr>
      <w:r>
        <w:rPr/>
        <w:t>​</w:t>
      </w:r>
    </w:p>
    <w:p>
      <w:pPr>
        <w:pStyle w:val="TextBody"/>
        <w:bidi w:val="0"/>
        <w:spacing w:lineRule="auto" w:line="307" w:before="0" w:after="160"/>
        <w:ind w:left="370" w:right="0" w:hanging="0"/>
        <w:jc w:val="both"/>
        <w:rPr>
          <w:rFonts w:ascii="Times New Roman;Times;serif" w:hAnsi="Times New Roman;Times;serif"/>
          <w:sz w:val="22"/>
        </w:rPr>
      </w:pPr>
      <w:r>
        <w:rPr>
          <w:rFonts w:ascii="Times New Roman;Times;serif" w:hAnsi="Times New Roman;Times;serif"/>
          <w:sz w:val="22"/>
        </w:rPr>
        <w:t xml:space="preserve">IN WITNESS WHEREOF, Landlord and Tenant have executed this Amendment as of the day and year first above written. </w:t>
      </w:r>
    </w:p>
    <w:p>
      <w:pPr>
        <w:pStyle w:val="TextBody"/>
        <w:bidi w:val="0"/>
        <w:spacing w:lineRule="auto" w:line="307" w:before="0" w:after="160"/>
        <w:ind w:left="0" w:right="0" w:hanging="0"/>
        <w:jc w:val="both"/>
        <w:rPr/>
      </w:pPr>
      <w:r>
        <w:rPr/>
        <w:t>​</w:t>
      </w:r>
    </w:p>
    <w:tbl>
      <w:tblPr>
        <w:tblW w:w="6587" w:type="dxa"/>
        <w:jc w:val="left"/>
        <w:tblInd w:w="0" w:type="dxa"/>
        <w:tblLayout w:type="fixed"/>
        <w:tblCellMar>
          <w:top w:w="0" w:type="dxa"/>
          <w:left w:w="0" w:type="dxa"/>
          <w:bottom w:w="0" w:type="dxa"/>
          <w:right w:w="0" w:type="dxa"/>
        </w:tblCellMar>
      </w:tblPr>
      <w:tblGrid>
        <w:gridCol w:w="3181"/>
        <w:gridCol w:w="3406"/>
      </w:tblGrid>
      <w:tr>
        <w:trPr/>
        <w:tc>
          <w:tcPr>
            <w:tcW w:w="3181" w:type="dxa"/>
            <w:tcBorders/>
            <w:vAlign w:val="center"/>
          </w:tcPr>
          <w:p>
            <w:pPr>
              <w:pStyle w:val="TableContents"/>
              <w:bidi w:val="0"/>
              <w:spacing w:lineRule="auto" w:line="304" w:before="0" w:after="114"/>
              <w:ind w:left="0" w:right="0" w:hanging="0"/>
              <w:jc w:val="left"/>
              <w:rPr>
                <w:rFonts w:ascii="Times New Roman;Times;serif" w:hAnsi="Times New Roman;Times;serif"/>
                <w:b/>
                <w:sz w:val="20"/>
              </w:rPr>
            </w:pPr>
            <w:r>
              <w:rPr>
                <w:rFonts w:ascii="Times New Roman;Times;serif" w:hAnsi="Times New Roman;Times;serif"/>
                <w:b/>
                <w:sz w:val="20"/>
              </w:rPr>
              <w:t>TENANT:</w:t>
            </w:r>
          </w:p>
        </w:tc>
        <w:tc>
          <w:tcPr>
            <w:tcW w:w="3406" w:type="dxa"/>
            <w:tcBorders/>
            <w:vAlign w:val="center"/>
          </w:tcPr>
          <w:p>
            <w:pPr>
              <w:pStyle w:val="TableContents"/>
              <w:bidi w:val="0"/>
              <w:spacing w:lineRule="auto" w:line="304" w:before="0" w:after="114"/>
              <w:ind w:left="0" w:right="0" w:hanging="0"/>
              <w:jc w:val="left"/>
              <w:rPr>
                <w:rFonts w:ascii="Aptos" w:hAnsi="Aptos"/>
                <w:sz w:val="20"/>
              </w:rPr>
            </w:pPr>
            <w:r>
              <w:rPr>
                <w:rFonts w:ascii="Times New Roman;Times;serif" w:hAnsi="Times New Roman;Times;serif"/>
                <w:b/>
                <w:sz w:val="20"/>
              </w:rPr>
              <w:t>LANDLORD</w:t>
            </w:r>
            <w:r>
              <w:rPr>
                <w:rFonts w:ascii="Times New Roman;Times;serif" w:hAnsi="Times New Roman;Times;serif"/>
                <w:sz w:val="20"/>
              </w:rPr>
              <w:t>:</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RIGETTI &amp; CO, LLC</w:t>
            </w:r>
          </w:p>
        </w:tc>
        <w:tc>
          <w:tcPr>
            <w:tcW w:w="3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PROLOGIS LIMITED PARTNERSHIP I </w:t>
            </w:r>
          </w:p>
          <w:p>
            <w:pPr>
              <w:pStyle w:val="TableContents"/>
              <w:bidi w:val="0"/>
              <w:spacing w:lineRule="auto" w:line="285" w:before="0" w:after="0"/>
              <w:ind w:left="0" w:right="0" w:hanging="0"/>
              <w:jc w:val="left"/>
              <w:rPr/>
            </w:pPr>
            <w:r>
              <w:rPr/>
              <w:t>​</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 Delaware limited liability company </w:t>
            </w:r>
          </w:p>
        </w:tc>
        <w:tc>
          <w:tcPr>
            <w:tcW w:w="3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 Delaware limited partnership </w:t>
            </w:r>
          </w:p>
          <w:p>
            <w:pPr>
              <w:pStyle w:val="TableContents"/>
              <w:bidi w:val="0"/>
              <w:spacing w:lineRule="auto" w:line="285" w:before="0" w:after="0"/>
              <w:ind w:left="772" w:right="0" w:hanging="0"/>
              <w:jc w:val="left"/>
              <w:rPr/>
            </w:pPr>
            <w:r>
              <w:rPr/>
              <w:t>​</w:t>
            </w:r>
          </w:p>
          <w:p>
            <w:pPr>
              <w:pStyle w:val="TableContents"/>
              <w:bidi w:val="0"/>
              <w:spacing w:lineRule="auto" w:line="285" w:before="0" w:after="0"/>
              <w:ind w:left="0" w:right="0" w:hanging="0"/>
              <w:jc w:val="left"/>
              <w:rPr/>
            </w:pPr>
            <w:r>
              <w:rPr/>
              <w:t>​</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3406" w:type="dxa"/>
            <w:tcBorders/>
            <w:vAlign w:val="center"/>
          </w:tcPr>
          <w:p>
            <w:pPr>
              <w:pStyle w:val="TableContents"/>
              <w:bidi w:val="0"/>
              <w:spacing w:lineRule="auto" w:line="285" w:before="0" w:after="0"/>
              <w:ind w:left="0" w:right="0" w:hanging="0"/>
              <w:jc w:val="left"/>
              <w:rPr/>
            </w:pPr>
            <w:r>
              <w:rPr/>
              <w:t>​</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3406" w:type="dxa"/>
            <w:tcBorders/>
            <w:vAlign w:val="center"/>
          </w:tcPr>
          <w:p>
            <w:pPr>
              <w:pStyle w:val="TableContents"/>
              <w:bidi w:val="0"/>
              <w:spacing w:lineRule="auto" w:line="285" w:before="0" w:after="0"/>
              <w:ind w:left="0" w:right="0" w:hanging="0"/>
              <w:jc w:val="left"/>
              <w:rPr/>
            </w:pPr>
            <w:r>
              <w:rPr/>
              <w:t>​</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6" w:type="dxa"/>
            <w:tcBorders/>
            <w:vAlign w:val="center"/>
          </w:tcPr>
          <w:p>
            <w:pPr>
              <w:pStyle w:val="TableContents"/>
              <w:bidi w:val="0"/>
              <w:spacing w:lineRule="auto" w:line="285" w:before="0" w:after="0"/>
              <w:ind w:left="772"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Jeff Bertelsen</w:t>
            </w:r>
          </w:p>
        </w:tc>
        <w:tc>
          <w:tcPr>
            <w:tcW w:w="3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Matt Ebner</w:t>
            </w:r>
          </w:p>
          <w:p>
            <w:pPr>
              <w:pStyle w:val="TableContents"/>
              <w:bidi w:val="0"/>
              <w:spacing w:lineRule="auto" w:line="285" w:before="0" w:after="0"/>
              <w:ind w:left="0" w:right="0" w:hanging="0"/>
              <w:jc w:val="left"/>
              <w:rPr/>
            </w:pPr>
            <w:r>
              <w:rPr/>
              <w:t>​</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CFO</w:t>
            </w:r>
          </w:p>
        </w:tc>
        <w:tc>
          <w:tcPr>
            <w:tcW w:w="3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VP, Market Officer</w:t>
            </w:r>
          </w:p>
          <w:p>
            <w:pPr>
              <w:pStyle w:val="TableContents"/>
              <w:bidi w:val="0"/>
              <w:spacing w:lineRule="auto" w:line="285" w:before="0" w:after="0"/>
              <w:ind w:left="0" w:right="0" w:hanging="0"/>
              <w:jc w:val="lef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67" w:name="rgti-20240630xex31d1.htm"/>
      <w:bookmarkStart w:id="1468" w:name="ksrgti20240630xex31d1"/>
      <w:bookmarkEnd w:id="1467"/>
      <w:bookmarkEnd w:id="1468"/>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072" w:type="dxa"/>
        <w:jc w:val="center"/>
        <w:tblInd w:w="0" w:type="dxa"/>
        <w:tblLayout w:type="fixed"/>
        <w:tblCellMar>
          <w:top w:w="0" w:type="dxa"/>
          <w:left w:w="0" w:type="dxa"/>
          <w:bottom w:w="0" w:type="dxa"/>
          <w:right w:w="0" w:type="dxa"/>
        </w:tblCellMar>
      </w:tblPr>
      <w:tblGrid>
        <w:gridCol w:w="1861"/>
        <w:gridCol w:w="3211"/>
      </w:tblGrid>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8, 2024</w:t>
            </w:r>
          </w:p>
        </w:tc>
        <w:tc>
          <w:tcPr>
            <w:tcW w:w="321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86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469" w:name="rgti-20240630xex31d2.htm"/>
      <w:bookmarkStart w:id="1470" w:name="ksrgti20240630xex31d2"/>
      <w:bookmarkEnd w:id="1469"/>
      <w:bookmarkEnd w:id="1470"/>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3917" w:type="dxa"/>
        <w:jc w:val="center"/>
        <w:tblInd w:w="0" w:type="dxa"/>
        <w:tblLayout w:type="fixed"/>
        <w:tblCellMar>
          <w:top w:w="0" w:type="dxa"/>
          <w:left w:w="0" w:type="dxa"/>
          <w:bottom w:w="0" w:type="dxa"/>
          <w:right w:w="0" w:type="dxa"/>
        </w:tblCellMar>
      </w:tblPr>
      <w:tblGrid>
        <w:gridCol w:w="1861"/>
        <w:gridCol w:w="2056"/>
      </w:tblGrid>
      <w:tr>
        <w:trPr/>
        <w:tc>
          <w:tcPr>
            <w:tcW w:w="18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8, 2024</w:t>
            </w:r>
          </w:p>
        </w:tc>
        <w:tc>
          <w:tcPr>
            <w:tcW w:w="205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861"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8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86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71" w:name="rgti-20240630xex32d1.htm"/>
      <w:bookmarkStart w:id="1472" w:name="ksrgti20240630xex32d1"/>
      <w:bookmarkEnd w:id="1471"/>
      <w:bookmarkEnd w:id="1472"/>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and Jeffrey A. Bertelsen, Chief Financial Officer of the Company, each hereby certifies that, to the best of his knowledge:</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1. The Company’s Quarterly Report on Form 10-Q for the period ended June 30, 2024, to which this Certification is attached as Exhibit 32.1 (the “Periodic Report”), fully complies with the requirements of Section 13(a) or 15(d) of the Exchange Act; and</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August 8,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8th day of August, 2024.</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Roman">
    <w:altName w:val="Times New Roman"/>
    <w:charset w:val="01"/>
    <w:family w:val="auto"/>
    <w:pitch w:val="default"/>
  </w:font>
  <w:font w:name="Times-Italic">
    <w:charset w:val="01"/>
    <w:family w:val="auto"/>
    <w:pitch w:val="default"/>
  </w:font>
  <w:font w:name="Liberation Serif">
    <w:altName w:val="Times New Roman"/>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hyperlink" Target="https://www.sec.gov/Archives/edgar/data/1838359/000119312524166321/d700420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25708</Words>
  <Characters>141196</Characters>
  <CharactersWithSpaces>168702</CharactersWithSpaces>
  <Paragraphs>5950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