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Bertelsen Jeffrey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RIGETTI COMPUTING,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775 HEINZ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BERKELEY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94710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Rigetti Computing, Inc.</w:t>
              </w:r>
            </w:hyperlink>
            <w:r>
              <w:rPr/>
              <w:t xml:space="preserve"> [ </w:t>
            </w:r>
            <w:r>
              <w:rPr>
                <w:rFonts w:ascii="Times;serif" w:hAnsi="Times;serif"/>
                <w:color w:val="0000FF"/>
                <w:sz w:val="24"/>
                <w:shd w:fill="FFFFFF" w:val="clear"/>
              </w:rPr>
              <w:t>RGTI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193,067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15.0004</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168,067</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03/29/2033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$15.00 to $15.01,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 fourth (1/4th) of the shares subject to the option vested and became exercisable on February 15, 2024, with the remaining shares subject to the option vesting in thirty-six (36) equal monthly installments thereafter, subject to the Reporting Person's continuous service with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Bertelsen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4340" TargetMode="External"/><Relationship Id="rId5" Type="http://schemas.openxmlformats.org/officeDocument/2006/relationships/hyperlink" Target="http://www.sec.gov/cgi-bin/browse-edgar?action=getcompany&amp;CIK=00018383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736</Words>
  <Characters>3973</Characters>
  <CharactersWithSpaces>4619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