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623611d1_8k.htm"/>
      <w:bookmarkStart w:id="1" w:name="kstm2623611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bookmarkStart w:id="4" w:name="xdx_906_edei--EntityRegistrantName_c2026"/>
      <w:bookmarkEnd w:id="4"/>
      <w:r>
        <w:rPr>
          <w:rFonts w:ascii="Times New Roman;Times;Serif" w:hAnsi="Times New Roman;Times;Serif"/>
          <w:b/>
          <w:i w:val="false"/>
          <w:caps w:val="false"/>
          <w:smallCaps w:val="false"/>
          <w:sz w:val="44"/>
        </w:rPr>
        <w:t>RIGETTI COMPUTING,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sz w:val="20"/>
              </w:rPr>
            </w:pPr>
            <w:bookmarkStart w:id="5" w:name="xdx_904_edei--EntityIncorporationStateCo"/>
            <w:bookmarkEnd w:id="5"/>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sz w:val="20"/>
              </w:rPr>
            </w:pPr>
            <w:bookmarkStart w:id="6" w:name="xdx_90E_edei--EntityFileNumber_c20260818"/>
            <w:bookmarkEnd w:id="6"/>
            <w:r>
              <w:rPr>
                <w:rFonts w:ascii="Times New Roman;Times;Serif" w:hAnsi="Times New Roman;Times;Serif"/>
                <w:sz w:val="20"/>
              </w:rPr>
              <w:t>001-40140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sz w:val="20"/>
              </w:rPr>
            </w:pPr>
            <w:bookmarkStart w:id="7" w:name="xdx_90E_edei--EntityTaxIdentificationNum"/>
            <w:bookmarkEnd w:id="7"/>
            <w:r>
              <w:rPr>
                <w:rFonts w:ascii="Times New Roman;Times;Serif" w:hAnsi="Times New Roman;Times;Serif"/>
                <w:sz w:val="20"/>
              </w:rPr>
              <w:t>88-0950636</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290"/>
        <w:gridCol w:w="60"/>
        <w:gridCol w:w="920"/>
      </w:tblGrid>
      <w:tr>
        <w:trPr/>
        <w:tc>
          <w:tcPr>
            <w:tcW w:w="3290" w:type="dxa"/>
            <w:tcBorders/>
            <w:vAlign w:val="center"/>
          </w:tcPr>
          <w:p>
            <w:pPr>
              <w:pStyle w:val="TableContents"/>
              <w:bidi w:val="0"/>
              <w:spacing w:before="0" w:after="283"/>
              <w:jc w:val="center"/>
              <w:rPr/>
            </w:pPr>
            <w:bookmarkStart w:id="8" w:name="xdx_90B_edei--EntityAddressAddressLine1_"/>
            <w:bookmarkEnd w:id="8"/>
            <w:r>
              <w:rPr>
                <w:rFonts w:ascii="Times New Roman;Times;Serif" w:hAnsi="Times New Roman;Times;Serif"/>
                <w:sz w:val="20"/>
              </w:rPr>
              <w:t xml:space="preserve">775 Heinz Avenue, </w:t>
            </w:r>
            <w:bookmarkStart w:id="9" w:name="xdx_904_edei--EntityAddressCityOrTown_c2"/>
            <w:bookmarkEnd w:id="9"/>
            <w:r>
              <w:rPr>
                <w:rFonts w:ascii="Times New Roman;Times;Serif" w:hAnsi="Times New Roman;Times;Serif"/>
                <w:sz w:val="20"/>
              </w:rPr>
              <w:t xml:space="preserve">Berkeley, </w:t>
            </w:r>
            <w:bookmarkStart w:id="10" w:name="xdx_90F_edei--EntityAddressStateOrProvin"/>
            <w:bookmarkEnd w:id="10"/>
            <w:r>
              <w:rPr>
                <w:rFonts w:ascii="Times New Roman;Times;Serif" w:hAnsi="Times New Roman;Times;Serif"/>
                <w:sz w:val="20"/>
              </w:rPr>
              <w:t>California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bookmarkStart w:id="11" w:name="xdx_90D_edei--EntityAddressPostalZipCode"/>
            <w:bookmarkEnd w:id="11"/>
            <w:r>
              <w:rPr>
                <w:rFonts w:ascii="Times New Roman;Times;Serif" w:hAnsi="Times New Roman;Times;Serif"/>
                <w:sz w:val="20"/>
              </w:rPr>
              <w:t>94710</w:t>
            </w:r>
          </w:p>
        </w:tc>
      </w:tr>
      <w:tr>
        <w:trPr/>
        <w:tc>
          <w:tcPr>
            <w:tcW w:w="32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818__20"/>
      <w:bookmarkEnd w:id="12"/>
      <w:r>
        <w:rPr>
          <w:rFonts w:ascii="Times New Roman;Times;Serif" w:hAnsi="Times New Roman;Times;Serif"/>
          <w:b/>
          <w:i w:val="false"/>
          <w:caps w:val="false"/>
          <w:smallCaps w:val="false"/>
          <w:sz w:val="20"/>
        </w:rPr>
        <w:t xml:space="preserve">510) </w:t>
      </w:r>
      <w:bookmarkStart w:id="13" w:name="xdx_90D_edei--LocalPhoneNumber_c20260818"/>
      <w:bookmarkEnd w:id="13"/>
      <w:r>
        <w:rPr>
          <w:rFonts w:ascii="Times New Roman;Times;Serif" w:hAnsi="Times New Roman;Times;Serif"/>
          <w:b/>
          <w:i w:val="false"/>
          <w:caps w:val="false"/>
          <w:smallCaps w:val="false"/>
          <w:sz w:val="20"/>
        </w:rPr>
        <w:t>210-5550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08"/>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6"/>
        <w:gridCol w:w="60"/>
        <w:gridCol w:w="829"/>
        <w:gridCol w:w="60"/>
        <w:gridCol w:w="1960"/>
      </w:tblGrid>
      <w:tr>
        <w:trPr/>
        <w:tc>
          <w:tcPr>
            <w:tcW w:w="72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w:t>
              <w:br/>
              <w:t>exchange</w:t>
              <w:br/>
              <w:t>on which registered</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818"/>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818__2"/>
            <w:bookmarkEnd w:id="19"/>
            <w:r>
              <w:rPr>
                <w:rFonts w:ascii="Times New Roman;Times;Serif" w:hAnsi="Times New Roman;Times;Serif"/>
                <w:b w:val="false"/>
                <w:i w:val="false"/>
                <w:caps w:val="false"/>
                <w:smallCaps w:val="false"/>
                <w:sz w:val="20"/>
              </w:rPr>
              <w:t>RGTI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9_edei--SecurityExchangeName_c2026"/>
            <w:bookmarkEnd w:id="20"/>
            <w:r>
              <w:rPr>
                <w:rFonts w:ascii="Times New Roman;Times;Serif" w:hAnsi="Times New Roman;Times;Serif"/>
                <w:b w:val="false"/>
                <w:i w:val="false"/>
                <w:caps w:val="false"/>
                <w:smallCaps w:val="false"/>
                <w:sz w:val="20"/>
              </w:rPr>
              <w:t>Nasdaq Capital Market</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12bTitle_c20260818"/>
            <w:bookmarkEnd w:id="21"/>
            <w:r>
              <w:rPr>
                <w:rFonts w:ascii="Times New Roman;Times;Serif" w:hAnsi="Times New Roman;Times;Serif"/>
                <w:b w:val="false"/>
                <w:i w:val="false"/>
                <w:caps w:val="false"/>
                <w:smallCaps w:val="false"/>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0818__2"/>
            <w:bookmarkEnd w:id="22"/>
            <w:r>
              <w:rPr>
                <w:rFonts w:ascii="Times New Roman;Times;Serif" w:hAnsi="Times New Roman;Times;Serif"/>
                <w:b w:val="false"/>
                <w:i w:val="false"/>
                <w:caps w:val="false"/>
                <w:smallCaps w:val="false"/>
                <w:sz w:val="20"/>
              </w:rPr>
              <w:t>RGTIW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5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4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52"/>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b/>
                <w:sz w:val="20"/>
              </w:rPr>
            </w:pPr>
            <w:r>
              <w:rPr>
                <w:b/>
                <w:sz w:val="20"/>
              </w:rPr>
              <w:t>Item 5.02.</w:t>
            </w:r>
          </w:p>
        </w:tc>
        <w:tc>
          <w:tcPr>
            <w:tcW w:w="9515" w:type="dxa"/>
            <w:tcBorders/>
            <w:vAlign w:val="center"/>
          </w:tcPr>
          <w:p>
            <w:pPr>
              <w:pStyle w:val="TableContents"/>
              <w:bidi w:val="0"/>
              <w:spacing w:before="0" w:after="283"/>
              <w:jc w:val="left"/>
              <w:rPr>
                <w:b/>
              </w:rPr>
            </w:pPr>
            <w:r>
              <w:rPr>
                <w:b/>
              </w:rPr>
              <w:t>Departure of Directors or Principal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Board of Directors (the “Board”) of Rigetti Computing, Inc. (the “Company”) appointed David Rivas to the newly created role of Chief Operating Officer of the Company, effective the same date. Mr. Rivas previously served as the Company’s Chief Technology Officer. In connection with the appointment, the Compensation Committee of the Board increased Mr. Rivas’ annual base salary to $440,000.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Rivas, age 65, served as the Company’s Chief Technology Officer since February 2023, and he previously served as Senior Vice President, Systems and Services at the Company since March 2019, where he oversaw the engineering and operations of the Company’s Quantum Cloud Services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Rivas and any other person pursuant to which Mr. Rivas was selected as the Company’s Chief Operating Officer. There are no related party transactions between the Company and Mr. Rivas reportable under Item 404(a) of Regulation S-K and no family relationships between Mr. Rivas and any of the Company’s directors or officers.</w:t>
      </w:r>
    </w:p>
    <w:p>
      <w:pPr>
        <w:pStyle w:val="TextBody"/>
        <w:bidi w:val="0"/>
        <w:spacing w:before="0" w:after="0"/>
        <w:ind w:left="0" w:right="0" w:hanging="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86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b/>
                <w:sz w:val="20"/>
              </w:rPr>
            </w:pPr>
            <w:r>
              <w:rPr>
                <w:b/>
                <w:sz w:val="20"/>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the Company issued a press release regarding the Company’s leadership changes. A copy of the press release is furnished as Exhibit 99.1 to this Current Report on Form 8-K (the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7.01 of this Current Report (including Exhibit 99.1 hereto) is being furnished and shall not be deemed “filed” for purposes of Section 18 of the Securities Exchange Act of 1934, as amended (the “Exchange Act”), or otherwise subject to liabilities of that section, and shall not be deemed incorporated by reference into any filing under the Exchange Act or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86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Board appointed Andrew Bestwick to the role of Chief Technology Officer of the Company, effective the same date. Mr. Bestwick served as the Company’s Senior Vice President, Quantum Systems since January 2024. Prior to this role, he worked in a variety of technical capacities at Rigetti beginning in August 2015, including chip fabrication, circuit design, cryo-RF hardware engineering, and system architecture.</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860"/>
        <w:gridCol w:w="356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center"/>
              <w:rPr/>
            </w:pPr>
            <w:hyperlink w:anchor="tm2623611d1_ex99-1.htm">
              <w:r>
                <w:rPr>
                  <w:rStyle w:val="InternetLink"/>
                </w:rPr>
                <w:t> </w:t>
              </w:r>
            </w:hyperlink>
            <w:hyperlink w:anchor="tm262361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3611d1_ex99-1.htm">
              <w:r>
                <w:rPr>
                  <w:rStyle w:val="InternetLink"/>
                  <w:rFonts w:ascii="Times New Roman;Times;Serif" w:hAnsi="Times New Roman;Times;Serif"/>
                  <w:sz w:val="20"/>
                </w:rPr>
                <w:t>Press Release issued by Rigetti Computing, Inc. dated August 19, 2026.</w:t>
              </w:r>
            </w:hyperlink>
          </w:p>
        </w:tc>
      </w:tr>
      <w:tr>
        <w:trPr/>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1865"/>
        <w:gridCol w:w="377"/>
        <w:gridCol w:w="2237"/>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26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RIGETTI COMPUTING, INC.</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Bertelsen</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Bertelsen</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tm2623611d1_ex99-1.htm"/>
      <w:bookmarkStart w:id="27" w:name="kstm2623611d1_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Rigetti Computing Establishes Dedicated Systems Delivery Organization to Scale Customer Deployments and Advance Quantum Processor Roadmap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Rivas appointed to newly created Chief Operating Officer role; Andrew Bestwick, Ph.D. appointed Chief Technology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BERKELEY, Calif. — August 19, 2026 —</w:t>
      </w:r>
      <w:r>
        <w:rPr>
          <w:rFonts w:ascii="Times New Roman;Times;Serif" w:hAnsi="Times New Roman;Times;Serif"/>
          <w:b w:val="false"/>
          <w:i w:val="false"/>
          <w:caps w:val="false"/>
          <w:smallCaps w:val="false"/>
          <w:sz w:val="20"/>
        </w:rPr>
        <w:t xml:space="preserve"> Rigetti Computing, Inc. (Nasdaq: RGTI) (“Rigetti”), a pioneer in full-stack quantum computing, today announced a new operating structure designed to scale deployment of on-premises quantum systems, strengthen end-to-end operational execution, and further focus its engineering resources on quantum processor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is establishing a dedicated Systems Delivery organization and creating the role of Chief Operating Officer to lead manufacturing operations, systems delivery, commercial functions, and customer-facing engineering. Quantum processor architecture, chip development, and hardware engineering will be consolidated under the Chief Technology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seen increased demand for customer deployments of on-premises systems, ranging from 9-qubit Novera systems to large-scale 108-qubit Cepheus-class systems. Historically, installation and customer support activities have been supported within the engineering organization. The new structure creates dedicated leadership and resources for system deployment and customer success, while enabling engineering teams to concentrate on advancing processor performance and the Company’s published technology roadmap, including its target of 99.5% median two-qubit gate fidelity on Cepheus-1-108Q.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Rivas</w:t>
      </w:r>
      <w:r>
        <w:rPr>
          <w:rFonts w:ascii="Times New Roman;Times;Serif" w:hAnsi="Times New Roman;Times;Serif"/>
          <w:b w:val="false"/>
          <w:i w:val="false"/>
          <w:caps w:val="false"/>
          <w:smallCaps w:val="false"/>
          <w:sz w:val="20"/>
        </w:rPr>
        <w:t xml:space="preserve">, who has served as Rigetti’s Chief Technology Officer since February 2023, has been appointed </w:t>
      </w:r>
      <w:r>
        <w:rPr>
          <w:rFonts w:ascii="Times New Roman;Times;Serif" w:hAnsi="Times New Roman;Times;Serif"/>
          <w:b/>
          <w:i w:val="false"/>
          <w:caps w:val="false"/>
          <w:smallCaps w:val="false"/>
          <w:sz w:val="20"/>
        </w:rPr>
        <w:t>Chief Operating Officer</w:t>
      </w:r>
      <w:r>
        <w:rPr>
          <w:rFonts w:ascii="Times New Roman;Times;Serif" w:hAnsi="Times New Roman;Times;Serif"/>
          <w:b w:val="false"/>
          <w:i w:val="false"/>
          <w:caps w:val="false"/>
          <w:smallCaps w:val="false"/>
          <w:sz w:val="20"/>
        </w:rPr>
        <w:t>. In this newly created role, Rivas will oversee fabrication operations, systems delivery, software engineering, applications, business development, government programs, supply chain, and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Bestwick, Ph.D.</w:t>
      </w:r>
      <w:r>
        <w:rPr>
          <w:rFonts w:ascii="Times New Roman;Times;Serif" w:hAnsi="Times New Roman;Times;Serif"/>
          <w:b w:val="false"/>
          <w:i w:val="false"/>
          <w:caps w:val="false"/>
          <w:smallCaps w:val="false"/>
          <w:sz w:val="20"/>
        </w:rPr>
        <w:t xml:space="preserve">, currently Senior Vice President, Quantum Systems, has been appointed </w:t>
      </w:r>
      <w:r>
        <w:rPr>
          <w:rFonts w:ascii="Times New Roman;Times;Serif" w:hAnsi="Times New Roman;Times;Serif"/>
          <w:b/>
          <w:i w:val="false"/>
          <w:caps w:val="false"/>
          <w:smallCaps w:val="false"/>
          <w:sz w:val="20"/>
        </w:rPr>
        <w:t>Chief Technology Officer</w:t>
      </w:r>
      <w:r>
        <w:rPr>
          <w:rFonts w:ascii="Times New Roman;Times;Serif" w:hAnsi="Times New Roman;Times;Serif"/>
          <w:b w:val="false"/>
          <w:i w:val="false"/>
          <w:caps w:val="false"/>
          <w:smallCaps w:val="false"/>
          <w:sz w:val="20"/>
        </w:rPr>
        <w:t>. Dr. Bestwick has led the architecture of Rigetti’s Cepheus-class multi-chip systems and will oversee quantum processor development, chip fabrication development, and hardware engineering. The technology organization will remain Rigetti’s largest engineering organization, underscoring the Company’s continued focus on advancing processor performance and executing its technology roadmap.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executives report to Rigetti’s President and Chief Executive Officer Dr. Subodh Kulkarni. The appointments are effective August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Rigetti’s growing deployment activity makes this the right time to establish a dedicated organization focused on delivering and supporting systems for customers,” said Dr. Kulkarni. “This structure gives our commercial and operational teams clear, end-to-end accountability for scaling system delivery, while giving our technology organization even greater focus on quantum processor innovation and performance. David brings deep experience building the operational capabilities that support our systems and customers, and Andrew brings exceptional technical leadership to our chiplet-based architecture. Together, we believe these appointments position Rigetti to execute across both customer deployments and our technology roadmap.”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David Rivas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Rivas joined Rigetti in March 2019 as Senior Vice President of Systems and Services, where he oversaw the engineering and operations of Rigetti’s Quantum Cloud Services platform, and was appointed Chief Technology Officer in February 2023. He previously held executive positions at Sun Microsystems, Nokia, Bolt Threads, and Stage 3 Systems, including leadership of field engineering and services organizations of product management, and core engineering organizations. He holds a B.S. in electrical engineering and an M.S. in electrical engineering from the University of California, San Diego.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Andrew Bestwick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Bestwick, Ph.D., joined Rigetti in August 2015 and has held technical and leadership positions spanning chip fabrication, circuit design, cryogenic RF hardware engineering, and system architecture. He was appointed Senior Vice President, Quantum Systems in January 2024. He previously worked in management consulting at Bain &amp; Company. He holds an A.B. in physics and mathematics from Harvard University and a Ph.D. in physics from Stanford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Rigetti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is a pioneer in full-stack quantum computing. Rigetti quantum computers are based on superconducting qubits, which are widely believed to be the leading qubit modality given their maturity, clear path to scaling, and fast gate speeds. Rigetti quantum computing systems achieve gate speeds of 50-70 nanoseconds, which is about 10,000 times faster than trapped-ion systems and 100 times faster than neutral-atom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sells on-premises 9-qubit to 108-qubit quantum computing systems, which support national laboratories and quantum computing centers. Rigetti’s Cepheus 36-qubit to 108-qubit systems are based on the Company’s proprietary chiplet-based technology and include the Company’s control electronics. Rigetti’s 9-qubit Novera QPU supports a broader R&amp;D community with a high-performance, on-premises QPU designed to plug into a customer’s existing cryogenic and control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quantum computers over the cloud through its Rigetti Quantum Cloud Services (QCS) platform, enabling global enterprise, government, and research clients to pursue R&amp;D. The Company’s proprietary quantum-classical infrastructure provides high-performance integration with public and private clouds for practical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Rigetti developed the industry’s first multi-chip quantum processor for scalable quantum computing systems. Leveraging this proprietary technology, Rigetti deployed the industry’s largest multi-chip quantum computer in 2026 with Cepheus-1-108Q, based on twelve 9-qubit chiplets tiled together. The Company designs and manufactures its chips in-house at Fab-1, the industry’s first dedicated and integrated quantum device manufacturing facility. Learn more at </w:t>
      </w:r>
      <w:r>
        <w:rPr>
          <w:rFonts w:ascii="Times New Roman;Times;Serif" w:hAnsi="Times New Roman;Times;Serif"/>
          <w:b w:val="false"/>
          <w:i w:val="false"/>
          <w:caps w:val="false"/>
          <w:smallCaps w:val="false"/>
          <w:sz w:val="20"/>
          <w:u w:val="single"/>
        </w:rPr>
        <w:t>https://www.rigetti.com/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Computing 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IR@Rigetti.com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Computing 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press@rigetti.com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Language and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may be considered “forward-looking statements” within the meaning of the federal securities laws, including statements with respect to the Company’s expectations with respect to its future success and performance, including the design of the Systems Delivery organization to scale deployment of on-premises quantum systems, strengthen end-to-end operational execution, and further focus its engineering resources on quantum processor development; the advancement of processor performance and the Company’s published technology roadmap; the target of 99.5% median two-qubit gate fidelity on Cepheus-1-108Q; and the belief that these appointments position Rigetti to execute across both customer deployments and our technology roadmap.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warfare,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June 30,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2141</Words>
  <Characters>13012</Characters>
  <CharactersWithSpaces>15173</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