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31231x10k.htm"/>
        <w:bookmarkStart w:id="1" w:name="kstmb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b453edc4_462a_465d_ad6d_f832aecfab40"/>
      <w:bookmarkStart w:id="3" w:name="_Hlk156952775"/>
      <w:bookmarkEnd w:id="2"/>
      <w:bookmarkEnd w:id="3"/>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(Mark One)</w:t>
      </w:r>
    </w:p>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40"/>
              <w:jc w:val="left"/>
              <w:rPr/>
            </w:pPr>
            <w:r>
              <w:rPr/>
              <w:t>☒</w:t>
            </w:r>
          </w:p>
        </w:tc>
        <w:tc>
          <w:tcPr>
            <w:tcW w:w="8341" w:type="dxa"/>
            <w:tcBorders/>
            <w:vAlign w:val="center"/>
          </w:tcPr>
          <w:p>
            <w:pPr>
              <w:pStyle w:val="TableContents"/>
              <w:bidi w:val="0"/>
              <w:spacing w:before="0" w:after="40"/>
              <w:jc w:val="left"/>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For the fiscal year ended December 31, 2023</w:t>
      </w:r>
    </w:p>
    <w:p>
      <w:pPr>
        <w:pStyle w:val="TextBody"/>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40"/>
              <w:jc w:val="left"/>
              <w:rPr/>
            </w:pPr>
            <w:r>
              <w:rPr/>
              <w:t>☐</w:t>
            </w:r>
          </w:p>
        </w:tc>
        <w:tc>
          <w:tcPr>
            <w:tcW w:w="9874" w:type="dxa"/>
            <w:tcBorders/>
            <w:vAlign w:val="center"/>
          </w:tcPr>
          <w:p>
            <w:pPr>
              <w:pStyle w:val="TableContents"/>
              <w:bidi w:val="0"/>
              <w:spacing w:before="0" w:after="4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 FOR THE TRANSITION PERIOD FROM              TO</w:t>
            </w:r>
          </w:p>
        </w:tc>
      </w:tr>
    </w:tbl>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Commission File Number 001-40140</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RIGETTI COMPUTING, INC.</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(Exact name of Registrant as specified in its Charter)</w:t>
      </w:r>
    </w:p>
    <w:p>
      <w:pPr>
        <w:pStyle w:val="Normal"/>
        <w:bidi w:val="0"/>
        <w:spacing w:before="0" w:after="0"/>
        <w:jc w:val="left"/>
        <w:rPr>
          <w:sz w:val="4"/>
          <w:szCs w:val="4"/>
        </w:rPr>
      </w:pPr>
      <w:r>
        <w:rPr>
          <w:sz w:val="4"/>
          <w:szCs w:val="4"/>
        </w:rPr>
      </w:r>
      <w:bookmarkStart w:id="4" w:name="Tc_XMAblzXe20KIbJwDeK5uOg_4_1"/>
      <w:bookmarkStart w:id="5" w:name="Tc_NjCiXrHcv02hhOt4TBlsFg_4_0"/>
      <w:bookmarkStart w:id="6" w:name="Tc_BsnT-4uzeUan4WC6959mmA_3_0"/>
      <w:bookmarkStart w:id="7" w:name="Tc_4sKUgr7KzUSPsz0MkGazSw_1_1"/>
      <w:bookmarkStart w:id="8" w:name="Tc_QZUA7kZsFEqmGTkZ1l-3PQ_1_0"/>
      <w:bookmarkStart w:id="9" w:name="_1d318248_3c44_41ee_89d6_0bcf6703d14b"/>
      <w:bookmarkStart w:id="10" w:name="Tc_XMAblzXe20KIbJwDeK5uOg_4_1"/>
      <w:bookmarkStart w:id="11" w:name="Tc_NjCiXrHcv02hhOt4TBlsFg_4_0"/>
      <w:bookmarkStart w:id="12" w:name="Tc_BsnT-4uzeUan4WC6959mmA_3_0"/>
      <w:bookmarkStart w:id="13" w:name="Tc_4sKUgr7KzUSPsz0MkGazSw_1_1"/>
      <w:bookmarkStart w:id="14" w:name="Tc_QZUA7kZsFEqmGTkZ1l-3PQ_1_0"/>
      <w:bookmarkStart w:id="15" w:name="_1d318248_3c44_41ee_89d6_0bcf6703d14b"/>
      <w:bookmarkEnd w:id="10"/>
      <w:bookmarkEnd w:id="11"/>
      <w:bookmarkEnd w:id="12"/>
      <w:bookmarkEnd w:id="13"/>
      <w:bookmarkEnd w:id="14"/>
      <w:bookmarkEnd w:id="15"/>
    </w:p>
    <w:tbl>
      <w:tblPr>
        <w:tblW w:w="3242" w:type="dxa"/>
        <w:jc w:val="left"/>
        <w:tblInd w:w="0" w:type="dxa"/>
        <w:tblLayout w:type="fixed"/>
        <w:tblCellMar>
          <w:top w:w="0" w:type="dxa"/>
          <w:left w:w="0" w:type="dxa"/>
          <w:bottom w:w="0" w:type="dxa"/>
          <w:right w:w="0" w:type="dxa"/>
        </w:tblCellMar>
      </w:tblPr>
      <w:tblGrid>
        <w:gridCol w:w="2146"/>
        <w:gridCol w:w="1096"/>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Delaware</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88-0950636</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incorporation or organization)</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Identification No.)</w:t>
            </w:r>
          </w:p>
        </w:tc>
      </w:tr>
      <w:tr>
        <w:trPr/>
        <w:tc>
          <w:tcPr>
            <w:tcW w:w="2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left"/>
              <w:rPr/>
            </w:pPr>
            <w:r>
              <w:rPr/>
              <w:t>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775 Heinz Avenue</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Berkeley, CA</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94710</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 (510) 210-5550</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6" w:name="Tc_wRA9DjmOy0iBHVriLnE7ig_2_4"/>
      <w:bookmarkStart w:id="17" w:name="Tc_U-TppcDiT0qkO9LQQfSCUg_1_4"/>
      <w:bookmarkStart w:id="18" w:name="Tc_oGSSCfUb-ke0ntaGdqp3wg_0_4"/>
      <w:bookmarkStart w:id="19" w:name="Tc_-ykHAJFN3EqLORg7AHvrSA_0_2"/>
      <w:bookmarkStart w:id="20" w:name="Tc_08iSt_Xld0OW3QOo2hUuXg_0_0"/>
      <w:bookmarkStart w:id="21" w:name="_4c24f8eb_0b61_4dac_8cac_cb3fee081e1e"/>
      <w:bookmarkStart w:id="22" w:name="Tc_wRA9DjmOy0iBHVriLnE7ig_2_4"/>
      <w:bookmarkStart w:id="23" w:name="Tc_U-TppcDiT0qkO9LQQfSCUg_1_4"/>
      <w:bookmarkStart w:id="24" w:name="Tc_oGSSCfUb-ke0ntaGdqp3wg_0_4"/>
      <w:bookmarkStart w:id="25" w:name="Tc_-ykHAJFN3EqLORg7AHvrSA_0_2"/>
      <w:bookmarkStart w:id="26" w:name="Tc_08iSt_Xld0OW3QOo2hUuXg_0_0"/>
      <w:bookmarkStart w:id="27" w:name="_4c24f8eb_0b61_4dac_8cac_cb3fee081e1e"/>
      <w:bookmarkEnd w:id="22"/>
      <w:bookmarkEnd w:id="23"/>
      <w:bookmarkEnd w:id="24"/>
      <w:bookmarkEnd w:id="25"/>
      <w:bookmarkEnd w:id="26"/>
      <w:bookmarkEnd w:id="27"/>
    </w:p>
    <w:tbl>
      <w:tblPr>
        <w:tblW w:w="10205" w:type="dxa"/>
        <w:jc w:val="left"/>
        <w:tblInd w:w="0" w:type="dxa"/>
        <w:tblLayout w:type="fixed"/>
        <w:tblCellMar>
          <w:top w:w="0" w:type="dxa"/>
          <w:left w:w="0" w:type="dxa"/>
          <w:bottom w:w="28" w:type="dxa"/>
          <w:right w:w="0" w:type="dxa"/>
        </w:tblCellMar>
      </w:tblPr>
      <w:tblGrid>
        <w:gridCol w:w="6076"/>
        <w:gridCol w:w="326"/>
        <w:gridCol w:w="1050"/>
        <w:gridCol w:w="326"/>
        <w:gridCol w:w="2427"/>
      </w:tblGrid>
      <w:tr>
        <w:trPr/>
        <w:tc>
          <w:tcPr>
            <w:tcW w:w="607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326" w:type="dxa"/>
            <w:tcBorders/>
            <w:tcMar>
              <w:bottom w:w="0" w:type="dxa"/>
            </w:tcMar>
            <w:vAlign w:val="center"/>
          </w:tcPr>
          <w:p>
            <w:pPr>
              <w:pStyle w:val="TableHeading"/>
              <w:bidi w:val="0"/>
              <w:spacing w:before="0" w:after="0"/>
              <w:ind w:left="0" w:right="0" w:hanging="0"/>
              <w:jc w:val="center"/>
              <w:rPr/>
            </w:pPr>
            <w:r>
              <w:rPr/>
              <w:t>    </w:t>
            </w:r>
          </w:p>
        </w:tc>
        <w:tc>
          <w:tcPr>
            <w:tcW w:w="1050"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Symbol(s)</w:t>
            </w:r>
          </w:p>
        </w:tc>
        <w:tc>
          <w:tcPr>
            <w:tcW w:w="326" w:type="dxa"/>
            <w:tcBorders/>
            <w:tcMar>
              <w:bottom w:w="0" w:type="dxa"/>
            </w:tcMar>
            <w:vAlign w:val="center"/>
          </w:tcPr>
          <w:p>
            <w:pPr>
              <w:pStyle w:val="TableHeading"/>
              <w:bidi w:val="0"/>
              <w:spacing w:before="0" w:after="0"/>
              <w:ind w:left="0" w:right="0" w:hanging="0"/>
              <w:jc w:val="center"/>
              <w:rPr/>
            </w:pPr>
            <w:r>
              <w:rPr/>
              <w:t>    </w:t>
            </w:r>
          </w:p>
        </w:tc>
        <w:tc>
          <w:tcPr>
            <w:tcW w:w="242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60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 $0.0001 par value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105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RGTI</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2427"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2"/>
              </w:rPr>
              <w:t>The Nasdaq</w:t>
            </w:r>
            <w:r>
              <w:rPr>
                <w:rFonts w:ascii="Times New Roman;Times;serif" w:hAnsi="Times New Roman;Times;serif"/>
                <w:sz w:val="20"/>
              </w:rPr>
              <w:t xml:space="preserve"> </w:t>
            </w:r>
            <w:r>
              <w:rPr>
                <w:rFonts w:ascii="Times New Roman;Times;serif" w:hAnsi="Times New Roman;Times;serif"/>
                <w:b/>
                <w:sz w:val="12"/>
              </w:rPr>
              <w:t>Capital Market</w:t>
            </w:r>
          </w:p>
        </w:tc>
      </w:tr>
      <w:tr>
        <w:trPr/>
        <w:tc>
          <w:tcPr>
            <w:tcW w:w="6076"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Warrants, each whole warrant exercisable for one share of Common Stock at an exercise price of $11.50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105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RGTW</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24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2"/>
              </w:rPr>
              <w:t>The Nasdaq</w:t>
            </w:r>
            <w:r>
              <w:rPr>
                <w:rFonts w:ascii="Times New Roman;Times;serif" w:hAnsi="Times New Roman;Times;serif"/>
                <w:sz w:val="20"/>
              </w:rPr>
              <w:t xml:space="preserve"> </w:t>
            </w:r>
            <w:r>
              <w:rPr>
                <w:rFonts w:ascii="Times New Roman;Times;serif" w:hAnsi="Times New Roman;Times;serif"/>
                <w:b/>
                <w:sz w:val="12"/>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Securities registered pursuant to Section 12(g) of the Act: None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2"/>
        </w:rPr>
        <w:t>No</w:t>
      </w:r>
      <w:r>
        <w:rPr>
          <w:rFonts w:ascii="Times New Roman;Times;serif" w:hAnsi="Times New Roman;Times;serif"/>
          <w:sz w:val="20"/>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Indicate by check mark if the Registrant is not required to file reports pursuant to Section 13 or 15(d) of the Act.   Yes  </w:t>
      </w:r>
      <w:r>
        <w:rPr>
          <w:rFonts w:ascii="Times New Roman;Times;serif" w:hAnsi="Times New Roman;Times;serif"/>
          <w:sz w:val="20"/>
        </w:rPr>
        <w:t>☐    </w:t>
      </w:r>
      <w:r>
        <w:rPr>
          <w:rFonts w:ascii="Times New Roman;Times;serif" w:hAnsi="Times New Roman;Times;serif"/>
          <w:sz w:val="12"/>
        </w:rPr>
        <w:t>No</w:t>
      </w:r>
      <w:r>
        <w:rPr>
          <w:rFonts w:ascii="Times New Roman;Times;serif" w:hAnsi="Times New Roman;Times;serif"/>
          <w:sz w:val="20"/>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12"/>
        </w:rPr>
      </w:pPr>
      <w:r>
        <w:rPr>
          <w:rFonts w:ascii="Times New Roman;Times;serif" w:hAnsi="Times New Roman;Times;serif"/>
          <w:sz w:val="12"/>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8" w:name="Tc_nordY9VasEKL867kMT8nsQ_2_4"/>
      <w:bookmarkStart w:id="29" w:name="Tc_oiaCEDLaUUqHFRrTBGXHVg_2_2"/>
      <w:bookmarkStart w:id="30" w:name="Tc_YEhyuiQtRk-KOchBWbIA-g_0_7"/>
      <w:bookmarkStart w:id="31" w:name="Tc_hZN-b4S22E2FU9AluDJQUw_0_5"/>
      <w:bookmarkStart w:id="32" w:name="Tc_7UkwgCwwV0KnyjGtGGbqNg_0_4"/>
      <w:bookmarkStart w:id="33" w:name="Tc_1q3P4JhltES5f2GfLel_OQ_0_2"/>
      <w:bookmarkStart w:id="34" w:name="Tc_mDYLcRO8KEmWfauqGVgLkQ_0_1"/>
      <w:bookmarkStart w:id="35" w:name="_9aae5b60_3db8_4af7_a725_0af2f986e912"/>
      <w:bookmarkStart w:id="36" w:name="Tc_nordY9VasEKL867kMT8nsQ_2_4"/>
      <w:bookmarkStart w:id="37" w:name="Tc_oiaCEDLaUUqHFRrTBGXHVg_2_2"/>
      <w:bookmarkStart w:id="38" w:name="Tc_YEhyuiQtRk-KOchBWbIA-g_0_7"/>
      <w:bookmarkStart w:id="39" w:name="Tc_hZN-b4S22E2FU9AluDJQUw_0_5"/>
      <w:bookmarkStart w:id="40" w:name="Tc_7UkwgCwwV0KnyjGtGGbqNg_0_4"/>
      <w:bookmarkStart w:id="41" w:name="Tc_1q3P4JhltES5f2GfLel_OQ_0_2"/>
      <w:bookmarkStart w:id="42" w:name="Tc_mDYLcRO8KEmWfauqGVgLkQ_0_1"/>
      <w:bookmarkStart w:id="43" w:name="_9aae5b60_3db8_4af7_a725_0af2f986e912"/>
      <w:bookmarkEnd w:id="36"/>
      <w:bookmarkEnd w:id="37"/>
      <w:bookmarkEnd w:id="38"/>
      <w:bookmarkEnd w:id="39"/>
      <w:bookmarkEnd w:id="40"/>
      <w:bookmarkEnd w:id="41"/>
      <w:bookmarkEnd w:id="42"/>
      <w:bookmarkEnd w:id="43"/>
    </w:p>
    <w:tbl>
      <w:tblPr>
        <w:tblW w:w="5735" w:type="dxa"/>
        <w:jc w:val="left"/>
        <w:tblInd w:w="0" w:type="dxa"/>
        <w:tblLayout w:type="fixed"/>
        <w:tblCellMar>
          <w:top w:w="0" w:type="dxa"/>
          <w:left w:w="0" w:type="dxa"/>
          <w:bottom w:w="0" w:type="dxa"/>
          <w:right w:w="0" w:type="dxa"/>
        </w:tblCellMar>
      </w:tblPr>
      <w:tblGrid>
        <w:gridCol w:w="161"/>
        <w:gridCol w:w="1261"/>
        <w:gridCol w:w="316"/>
        <w:gridCol w:w="146"/>
        <w:gridCol w:w="1441"/>
        <w:gridCol w:w="316"/>
        <w:gridCol w:w="146"/>
        <w:gridCol w:w="1441"/>
        <w:gridCol w:w="316"/>
        <w:gridCol w:w="191"/>
      </w:tblGrid>
      <w:tr>
        <w:trPr/>
        <w:tc>
          <w:tcPr>
            <w:tcW w:w="1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Emerging growth company</w:t>
            </w:r>
          </w:p>
        </w:tc>
        <w:tc>
          <w:tcPr>
            <w:tcW w:w="3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Smaller reporting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 xml:space="preserve">If securities are registered pursuant to Section 12(b) of the Act, indicate by check mark whether the financial statements of the registrant included in the filing reflect the correction of error to previously issued financial statements.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12"/>
        </w:rPr>
      </w:pPr>
      <w:r>
        <w:rPr>
          <w:rFonts w:ascii="Times New Roman;Times;serif" w:hAnsi="Times New Roman;Times;serif"/>
          <w:sz w:val="12"/>
        </w:rPr>
        <w:t>Indicate by check mark whether any of those corrections are restatements the required a recovery analysis of incentive-based compensation received by any of the registrant’s executive officers during the recovery period pursuant to §240.10D-1(b).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40"/>
        <w:ind w:left="0" w:right="0" w:hanging="0"/>
        <w:jc w:val="left"/>
        <w:rPr>
          <w:rFonts w:ascii="Times New Roman;Times;serif" w:hAnsi="Times New Roman;Times;serif"/>
          <w:sz w:val="12"/>
        </w:rPr>
      </w:pPr>
      <w:r>
        <w:rPr>
          <w:rFonts w:ascii="Times New Roman;Times;serif" w:hAnsi="Times New Roman;Times;serif"/>
          <w:sz w:val="12"/>
        </w:rPr>
        <w:t>The aggregate market value of the voting and non-voting common equity held by non-affiliates of the Registrant, based on the closing price of $1.175 per share of the Registrant’s common stock on The Nasdaq Capital Market on June 30, 2023, was $127.6  million. This calculation excludes shares of the Registrant’s common stock held by current executive officers, directors and stockholders that the Registrant has concluded are affiliates of the Registrant. This determination of affiliate status is not a determination for other purposes. The number of shares of Registrant’s Common Stock outstanding as of March 1, 2024 was 158,881,022.</w:t>
      </w:r>
    </w:p>
    <w:p>
      <w:pPr>
        <w:pStyle w:val="TextBody"/>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DOCUMENTS INCORPORATED BY REFERENCE</w:t>
      </w:r>
    </w:p>
    <w:p>
      <w:pPr>
        <w:pStyle w:val="TextBody"/>
        <w:bidi w:val="0"/>
        <w:spacing w:before="0" w:after="240"/>
        <w:ind w:left="0" w:right="0" w:hanging="0"/>
        <w:jc w:val="center"/>
        <w:rPr/>
      </w:pPr>
      <w:r>
        <w:rPr/>
        <w:t>​</w:t>
      </w:r>
    </w:p>
    <w:p>
      <w:pPr>
        <w:pStyle w:val="TextBody"/>
        <w:bidi w:val="0"/>
        <w:spacing w:before="0" w:after="40"/>
        <w:ind w:left="0" w:right="0" w:hanging="0"/>
        <w:jc w:val="left"/>
        <w:rPr>
          <w:rFonts w:ascii="Times New Roman;Times;serif" w:hAnsi="Times New Roman;Times;serif"/>
          <w:sz w:val="12"/>
        </w:rPr>
      </w:pPr>
      <w:r>
        <w:rPr>
          <w:rFonts w:ascii="Times New Roman;Times;serif" w:hAnsi="Times New Roman;Times;serif"/>
          <w:sz w:val="12"/>
        </w:rPr>
        <w:t>Part III of this Annual Report incorporates by reference information from the definitive Proxy Statement for the registrant’s 2024 Annual Meeting of Stockholders, which is expected to be filed with the Securities and Exchange Commission not later than 120 days after the registrant’s fiscal year ended December 31, 2023.</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4" w:name="_e5dcdd7b_8493_45ab_bda1_fbf1403250ed"/>
      <w:bookmarkStart w:id="45" w:name="TOC"/>
      <w:bookmarkEnd w:id="44"/>
      <w:bookmarkEnd w:id="45"/>
      <w:r>
        <w:rPr>
          <w:rFonts w:ascii="Times New Roman;Times;serif" w:hAnsi="Times New Roman;Times;serif"/>
          <w:b/>
          <w:sz w:val="20"/>
        </w:rPr>
        <w:t>TABLE OF CONTENTS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Heading"/>
              <w:bidi w:val="0"/>
              <w:spacing w:before="0" w:after="283"/>
              <w:ind w:left="0" w:right="0" w:hanging="0"/>
              <w:rPr>
                <w:sz w:val="4"/>
                <w:szCs w:val="4"/>
              </w:rPr>
            </w:pPr>
            <w:r>
              <w:rPr>
                <w:sz w:val="4"/>
                <w:szCs w:val="4"/>
              </w:rPr>
            </w:r>
          </w:p>
        </w:tc>
        <w:tc>
          <w:tcPr>
            <w:tcW w:w="8823" w:type="dxa"/>
            <w:tcBorders/>
            <w:vAlign w:val="center"/>
          </w:tcPr>
          <w:p>
            <w:pPr>
              <w:pStyle w:val="TableHeading"/>
              <w:bidi w:val="0"/>
              <w:spacing w:before="0" w:after="283"/>
              <w:ind w:left="0" w:right="0" w:hanging="0"/>
              <w:rPr>
                <w:sz w:val="4"/>
                <w:szCs w:val="4"/>
              </w:rPr>
            </w:pPr>
            <w:r>
              <w:rPr>
                <w:sz w:val="4"/>
                <w:szCs w:val="4"/>
              </w:rPr>
            </w:r>
          </w:p>
        </w:tc>
        <w:tc>
          <w:tcPr>
            <w:tcW w:w="57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1" w:type="dxa"/>
            <w:tcBorders/>
            <w:vAlign w:val="center"/>
          </w:tcPr>
          <w:p>
            <w:pPr>
              <w:pStyle w:val="TableHeading"/>
              <w:bidi w:val="0"/>
              <w:spacing w:before="0" w:after="0"/>
              <w:ind w:left="0" w:right="0" w:hanging="0"/>
              <w:jc w:val="left"/>
              <w:rPr/>
            </w:pPr>
            <w:r>
              <w:rPr/>
              <w:t>​</w:t>
            </w:r>
          </w:p>
        </w:tc>
        <w:tc>
          <w:tcPr>
            <w:tcW w:w="8823" w:type="dxa"/>
            <w:tcBorders/>
            <w:vAlign w:val="center"/>
          </w:tcPr>
          <w:p>
            <w:pPr>
              <w:pStyle w:val="TableHeading"/>
              <w:bidi w:val="0"/>
              <w:spacing w:before="0" w:after="0"/>
              <w:ind w:left="0" w:right="0" w:hanging="0"/>
              <w:jc w:val="left"/>
              <w:rPr/>
            </w:pPr>
            <w:r>
              <w:rPr/>
              <w:t>​</w:t>
            </w:r>
          </w:p>
        </w:tc>
        <w:tc>
          <w:tcPr>
            <w:tcW w:w="571" w:type="dxa"/>
            <w:tcBorders/>
            <w:vAlign w:val="center"/>
          </w:tcPr>
          <w:p>
            <w:pPr>
              <w:pStyle w:val="TableHeading"/>
              <w:bidi w:val="0"/>
              <w:spacing w:before="0" w:after="0"/>
              <w:ind w:left="0" w:right="0" w:hanging="0"/>
              <w:jc w:val="center"/>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_683696">
              <w:r>
                <w:rPr>
                  <w:rStyle w:val="InternetLink"/>
                  <w:rFonts w:ascii="Times New Roman;Times;serif" w:hAnsi="Times New Roman;Times;serif"/>
                  <w:b w:val="false"/>
                  <w:i w:val="false"/>
                  <w:caps w:val="false"/>
                  <w:smallCaps w:val="false"/>
                  <w:sz w:val="20"/>
                </w:rPr>
                <w:t>PART I</w:t>
              </w:r>
            </w:hyperlink>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_Item_1._BUSINESS">
              <w:r>
                <w:rPr>
                  <w:rStyle w:val="InternetLink"/>
                  <w:rFonts w:ascii="Times New Roman;Times;serif" w:hAnsi="Times New Roman;Times;serif"/>
                  <w:b w:val="false"/>
                  <w:i w:val="false"/>
                  <w:caps w:val="false"/>
                  <w:smallCaps w:val="false"/>
                  <w:sz w:val="20"/>
                </w:rPr>
                <w:t>Item 1.</w:t>
              </w:r>
            </w:hyperlink>
          </w:p>
        </w:tc>
        <w:tc>
          <w:tcPr>
            <w:tcW w:w="8823" w:type="dxa"/>
            <w:tcBorders/>
            <w:vAlign w:val="center"/>
          </w:tcPr>
          <w:p>
            <w:pPr>
              <w:pStyle w:val="TableContents"/>
              <w:bidi w:val="0"/>
              <w:spacing w:before="0" w:after="0"/>
              <w:ind w:left="0" w:right="0" w:hanging="0"/>
              <w:jc w:val="left"/>
              <w:rPr/>
            </w:pPr>
            <w:hyperlink w:anchor="_Item_1._BUSINESS">
              <w:r>
                <w:rPr>
                  <w:rStyle w:val="InternetLink"/>
                  <w:rFonts w:ascii="Times New Roman;Times;serif" w:hAnsi="Times New Roman;Times;serif"/>
                  <w:b w:val="false"/>
                  <w:i w:val="false"/>
                  <w:caps w:val="false"/>
                  <w:smallCaps w:val="false"/>
                  <w:sz w:val="20"/>
                </w:rPr>
                <w:t>Business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pBdr/>
              <w:bidi w:val="0"/>
              <w:spacing w:before="0" w:after="0"/>
              <w:ind w:left="0" w:right="0" w:hanging="0"/>
              <w:jc w:val="left"/>
              <w:rPr/>
            </w:pPr>
            <w:hyperlink w:anchor="Item1ARiskFactors_497655">
              <w:r>
                <w:rPr>
                  <w:rStyle w:val="InternetLink"/>
                  <w:rFonts w:ascii="Times New Roman;Times;serif" w:hAnsi="Times New Roman;Times;serif"/>
                  <w:b w:val="false"/>
                  <w:i w:val="false"/>
                  <w:caps w:val="false"/>
                  <w:smallCaps w:val="false"/>
                  <w:sz w:val="20"/>
                </w:rPr>
                <w:t>Item 1A.</w:t>
              </w:r>
            </w:hyperlink>
          </w:p>
        </w:tc>
        <w:tc>
          <w:tcPr>
            <w:tcW w:w="8823" w:type="dxa"/>
            <w:tcBorders/>
            <w:vAlign w:val="center"/>
          </w:tcPr>
          <w:p>
            <w:pPr>
              <w:pStyle w:val="TableContents"/>
              <w:bidi w:val="0"/>
              <w:spacing w:before="0" w:after="0"/>
              <w:ind w:left="0" w:right="0" w:hanging="0"/>
              <w:jc w:val="left"/>
              <w:rPr/>
            </w:pPr>
            <w:hyperlink w:anchor="Item1ARiskFactors_497655">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pBdr/>
              <w:bidi w:val="0"/>
              <w:spacing w:before="0" w:after="0"/>
              <w:ind w:left="0" w:right="0" w:hanging="0"/>
              <w:jc w:val="left"/>
              <w:rPr/>
            </w:pPr>
            <w:hyperlink w:anchor="Item1BUnresolvedStaffComments_632747">
              <w:r>
                <w:rPr>
                  <w:rStyle w:val="InternetLink"/>
                  <w:rFonts w:ascii="Times New Roman;Times;serif" w:hAnsi="Times New Roman;Times;serif"/>
                  <w:b w:val="false"/>
                  <w:i w:val="false"/>
                  <w:caps w:val="false"/>
                  <w:smallCaps w:val="false"/>
                  <w:sz w:val="20"/>
                </w:rPr>
                <w:t>Item 1B.</w:t>
              </w:r>
            </w:hyperlink>
          </w:p>
        </w:tc>
        <w:tc>
          <w:tcPr>
            <w:tcW w:w="8823" w:type="dxa"/>
            <w:tcBorders/>
            <w:vAlign w:val="center"/>
          </w:tcPr>
          <w:p>
            <w:pPr>
              <w:pStyle w:val="TableContents"/>
              <w:bidi w:val="0"/>
              <w:spacing w:before="0" w:after="0"/>
              <w:ind w:left="0" w:right="0" w:hanging="0"/>
              <w:jc w:val="left"/>
              <w:rPr/>
            </w:pPr>
            <w:hyperlink w:anchor="Item1BUnresolvedStaffComments_632747">
              <w:r>
                <w:rPr>
                  <w:rStyle w:val="InternetLink"/>
                  <w:rFonts w:ascii="Times New Roman;Times;serif" w:hAnsi="Times New Roman;Times;serif"/>
                  <w:b w:val="false"/>
                  <w:i w:val="false"/>
                  <w:caps w:val="false"/>
                  <w:smallCaps w:val="false"/>
                  <w:sz w:val="20"/>
                </w:rPr>
                <w:t>Unresolved Staff Comments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811" w:type="dxa"/>
            <w:tcBorders/>
            <w:vAlign w:val="center"/>
          </w:tcPr>
          <w:p>
            <w:pPr>
              <w:pStyle w:val="TableContents"/>
              <w:pBdr/>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Item 1C.</w:t>
              </w:r>
            </w:hyperlink>
          </w:p>
        </w:tc>
        <w:tc>
          <w:tcPr>
            <w:tcW w:w="8823" w:type="dxa"/>
            <w:tcBorders/>
            <w:vAlign w:val="center"/>
          </w:tcPr>
          <w:p>
            <w:pPr>
              <w:pStyle w:val="TableContents"/>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Cybersecurity</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811" w:type="dxa"/>
            <w:tcBorders/>
            <w:vAlign w:val="center"/>
          </w:tcPr>
          <w:p>
            <w:pPr>
              <w:pStyle w:val="TableContents"/>
              <w:pBdr/>
              <w:bidi w:val="0"/>
              <w:spacing w:before="0" w:after="0"/>
              <w:ind w:left="0" w:right="0" w:hanging="0"/>
              <w:jc w:val="left"/>
              <w:rPr/>
            </w:pPr>
            <w:hyperlink w:anchor="Item2Properties_627814">
              <w:r>
                <w:rPr>
                  <w:rStyle w:val="InternetLink"/>
                  <w:rFonts w:ascii="Times New Roman;Times;serif" w:hAnsi="Times New Roman;Times;serif"/>
                  <w:b w:val="false"/>
                  <w:i w:val="false"/>
                  <w:caps w:val="false"/>
                  <w:smallCaps w:val="false"/>
                  <w:sz w:val="20"/>
                </w:rPr>
                <w:t>Item 2.</w:t>
              </w:r>
            </w:hyperlink>
          </w:p>
        </w:tc>
        <w:tc>
          <w:tcPr>
            <w:tcW w:w="8823" w:type="dxa"/>
            <w:tcBorders/>
            <w:vAlign w:val="center"/>
          </w:tcPr>
          <w:p>
            <w:pPr>
              <w:pStyle w:val="TableContents"/>
              <w:bidi w:val="0"/>
              <w:spacing w:before="0" w:after="0"/>
              <w:ind w:left="0" w:right="0" w:hanging="0"/>
              <w:jc w:val="left"/>
              <w:rPr/>
            </w:pPr>
            <w:hyperlink w:anchor="Item2Properties_627814">
              <w:r>
                <w:rPr>
                  <w:rStyle w:val="InternetLink"/>
                  <w:rFonts w:ascii="Times New Roman;Times;serif" w:hAnsi="Times New Roman;Times;serif"/>
                  <w:b w:val="false"/>
                  <w:i w:val="false"/>
                  <w:caps w:val="false"/>
                  <w:smallCaps w:val="false"/>
                  <w:sz w:val="20"/>
                </w:rPr>
                <w:t>Properties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811" w:type="dxa"/>
            <w:tcBorders/>
            <w:vAlign w:val="center"/>
          </w:tcPr>
          <w:p>
            <w:pPr>
              <w:pStyle w:val="TableContents"/>
              <w:pBdr/>
              <w:bidi w:val="0"/>
              <w:spacing w:before="0" w:after="0"/>
              <w:ind w:left="0" w:right="0" w:hanging="0"/>
              <w:jc w:val="left"/>
              <w:rPr/>
            </w:pPr>
            <w:hyperlink w:anchor="Item3LegalProceedings_164510">
              <w:r>
                <w:rPr>
                  <w:rStyle w:val="InternetLink"/>
                  <w:rFonts w:ascii="Times New Roman;Times;serif" w:hAnsi="Times New Roman;Times;serif"/>
                  <w:b w:val="false"/>
                  <w:i w:val="false"/>
                  <w:caps w:val="false"/>
                  <w:smallCaps w:val="false"/>
                  <w:sz w:val="20"/>
                </w:rPr>
                <w:t>Item 3.</w:t>
              </w:r>
            </w:hyperlink>
          </w:p>
        </w:tc>
        <w:tc>
          <w:tcPr>
            <w:tcW w:w="8823" w:type="dxa"/>
            <w:tcBorders/>
            <w:vAlign w:val="center"/>
          </w:tcPr>
          <w:p>
            <w:pPr>
              <w:pStyle w:val="TableContents"/>
              <w:bidi w:val="0"/>
              <w:spacing w:before="0" w:after="0"/>
              <w:ind w:left="0" w:right="0" w:hanging="0"/>
              <w:jc w:val="left"/>
              <w:rPr/>
            </w:pPr>
            <w:hyperlink w:anchor="Item3LegalProceedings_164510">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811" w:type="dxa"/>
            <w:tcBorders/>
            <w:vAlign w:val="center"/>
          </w:tcPr>
          <w:p>
            <w:pPr>
              <w:pStyle w:val="TableContents"/>
              <w:pBdr/>
              <w:bidi w:val="0"/>
              <w:spacing w:before="0" w:after="0"/>
              <w:ind w:left="0" w:right="0" w:hanging="0"/>
              <w:jc w:val="left"/>
              <w:rPr/>
            </w:pPr>
            <w:hyperlink w:anchor="Item4MineSafetyDisclosures_640268">
              <w:r>
                <w:rPr>
                  <w:rStyle w:val="InternetLink"/>
                  <w:rFonts w:ascii="Times New Roman;Times;serif" w:hAnsi="Times New Roman;Times;serif"/>
                  <w:b w:val="false"/>
                  <w:i w:val="false"/>
                  <w:caps w:val="false"/>
                  <w:smallCaps w:val="false"/>
                  <w:sz w:val="20"/>
                </w:rPr>
                <w:t>Item 4.</w:t>
              </w:r>
            </w:hyperlink>
          </w:p>
        </w:tc>
        <w:tc>
          <w:tcPr>
            <w:tcW w:w="8823" w:type="dxa"/>
            <w:tcBorders/>
            <w:vAlign w:val="center"/>
          </w:tcPr>
          <w:p>
            <w:pPr>
              <w:pStyle w:val="TableContents"/>
              <w:bidi w:val="0"/>
              <w:spacing w:before="0" w:after="0"/>
              <w:ind w:left="0" w:right="0" w:hanging="0"/>
              <w:jc w:val="left"/>
              <w:rPr/>
            </w:pPr>
            <w:hyperlink w:anchor="Item4MineSafetyDisclosures_640268">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I_753338">
              <w:r>
                <w:rPr>
                  <w:rStyle w:val="InternetLink"/>
                  <w:rFonts w:ascii="Times New Roman;Times;serif" w:hAnsi="Times New Roman;Times;serif"/>
                  <w:b w:val="false"/>
                  <w:i w:val="false"/>
                  <w:caps w:val="false"/>
                  <w:smallCaps w:val="false"/>
                  <w:sz w:val="20"/>
                </w:rPr>
                <w:t>PART II</w:t>
              </w:r>
            </w:hyperlink>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5MARKETFOR">
              <w:r>
                <w:rPr>
                  <w:rStyle w:val="InternetLink"/>
                  <w:rFonts w:ascii="Times New Roman;Times;serif" w:hAnsi="Times New Roman;Times;serif"/>
                  <w:b w:val="false"/>
                  <w:i w:val="false"/>
                  <w:caps w:val="false"/>
                  <w:smallCaps w:val="false"/>
                  <w:sz w:val="20"/>
                </w:rPr>
                <w:t>Item 5.</w:t>
              </w:r>
            </w:hyperlink>
          </w:p>
        </w:tc>
        <w:tc>
          <w:tcPr>
            <w:tcW w:w="8823" w:type="dxa"/>
            <w:tcBorders/>
            <w:vAlign w:val="center"/>
          </w:tcPr>
          <w:p>
            <w:pPr>
              <w:pStyle w:val="TableContents"/>
              <w:bidi w:val="0"/>
              <w:spacing w:before="0" w:after="0"/>
              <w:ind w:left="0" w:right="0" w:hanging="0"/>
              <w:jc w:val="left"/>
              <w:rPr/>
            </w:pPr>
            <w:hyperlink w:anchor="ITEM5MARKETFOR">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811" w:type="dxa"/>
            <w:tcBorders/>
            <w:vAlign w:val="center"/>
          </w:tcPr>
          <w:p>
            <w:pPr>
              <w:pStyle w:val="TableContents"/>
              <w:pBdr/>
              <w:bidi w:val="0"/>
              <w:spacing w:before="0" w:after="0"/>
              <w:ind w:left="0" w:right="0" w:hanging="0"/>
              <w:jc w:val="left"/>
              <w:rPr/>
            </w:pPr>
            <w:hyperlink w:anchor="ITEM6RESERVED_898388">
              <w:r>
                <w:rPr>
                  <w:rStyle w:val="InternetLink"/>
                  <w:rFonts w:ascii="Times New Roman;Times;serif" w:hAnsi="Times New Roman;Times;serif"/>
                  <w:b w:val="false"/>
                  <w:i w:val="false"/>
                  <w:caps w:val="false"/>
                  <w:smallCaps w:val="false"/>
                  <w:sz w:val="20"/>
                </w:rPr>
                <w:t>Item 6.</w:t>
              </w:r>
            </w:hyperlink>
          </w:p>
        </w:tc>
        <w:tc>
          <w:tcPr>
            <w:tcW w:w="8823" w:type="dxa"/>
            <w:tcBorders/>
            <w:vAlign w:val="center"/>
          </w:tcPr>
          <w:p>
            <w:pPr>
              <w:pStyle w:val="TableContents"/>
              <w:bidi w:val="0"/>
              <w:spacing w:before="0" w:after="0"/>
              <w:ind w:left="0" w:right="0" w:hanging="0"/>
              <w:jc w:val="left"/>
              <w:rPr/>
            </w:pPr>
            <w:hyperlink w:anchor="ITEM6RESERVED_898388">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 xml:space="preserve"> </w:t>
            </w:r>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811" w:type="dxa"/>
            <w:tcBorders/>
            <w:vAlign w:val="center"/>
          </w:tcPr>
          <w:p>
            <w:pPr>
              <w:pStyle w:val="TableContents"/>
              <w:pBdr/>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823"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811" w:type="dxa"/>
            <w:tcBorders/>
            <w:vAlign w:val="center"/>
          </w:tcPr>
          <w:p>
            <w:pPr>
              <w:pStyle w:val="TableContents"/>
              <w:pBdr/>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823"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811" w:type="dxa"/>
            <w:tcBorders/>
            <w:vAlign w:val="center"/>
          </w:tcPr>
          <w:p>
            <w:pPr>
              <w:pStyle w:val="TableContents"/>
              <w:pBdr/>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823"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811"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823"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811" w:type="dxa"/>
            <w:tcBorders/>
            <w:vAlign w:val="center"/>
          </w:tcPr>
          <w:p>
            <w:pPr>
              <w:pStyle w:val="TableContents"/>
              <w:pBdr/>
              <w:bidi w:val="0"/>
              <w:spacing w:before="0" w:after="0"/>
              <w:ind w:left="0" w:right="0" w:hanging="0"/>
              <w:jc w:val="left"/>
              <w:rPr/>
            </w:pPr>
            <w:hyperlink w:anchor="Item9AControlsandProcedures_853898">
              <w:r>
                <w:rPr>
                  <w:rStyle w:val="InternetLink"/>
                  <w:rFonts w:ascii="Times New Roman;Times;serif" w:hAnsi="Times New Roman;Times;serif"/>
                  <w:b w:val="false"/>
                  <w:i w:val="false"/>
                  <w:caps w:val="false"/>
                  <w:smallCaps w:val="false"/>
                  <w:sz w:val="20"/>
                </w:rPr>
                <w:t>Item 9A.</w:t>
              </w:r>
            </w:hyperlink>
          </w:p>
        </w:tc>
        <w:tc>
          <w:tcPr>
            <w:tcW w:w="8823" w:type="dxa"/>
            <w:tcBorders/>
            <w:vAlign w:val="center"/>
          </w:tcPr>
          <w:p>
            <w:pPr>
              <w:pStyle w:val="TableContents"/>
              <w:bidi w:val="0"/>
              <w:spacing w:before="0" w:after="0"/>
              <w:ind w:left="0" w:right="0" w:hanging="0"/>
              <w:jc w:val="left"/>
              <w:rPr/>
            </w:pPr>
            <w:hyperlink w:anchor="Item9AControlsandProcedures_853898">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811" w:type="dxa"/>
            <w:tcBorders/>
            <w:vAlign w:val="center"/>
          </w:tcPr>
          <w:p>
            <w:pPr>
              <w:pStyle w:val="TableContents"/>
              <w:pBdr/>
              <w:bidi w:val="0"/>
              <w:spacing w:before="0" w:after="0"/>
              <w:ind w:left="0" w:right="0" w:hanging="0"/>
              <w:jc w:val="left"/>
              <w:rPr/>
            </w:pPr>
            <w:hyperlink w:anchor="Item9BOtherInformation_57198">
              <w:r>
                <w:rPr>
                  <w:rStyle w:val="InternetLink"/>
                  <w:rFonts w:ascii="Times New Roman;Times;serif" w:hAnsi="Times New Roman;Times;serif"/>
                  <w:b w:val="false"/>
                  <w:i w:val="false"/>
                  <w:caps w:val="false"/>
                  <w:smallCaps w:val="false"/>
                  <w:sz w:val="20"/>
                </w:rPr>
                <w:t>Item 9B.</w:t>
              </w:r>
            </w:hyperlink>
          </w:p>
        </w:tc>
        <w:tc>
          <w:tcPr>
            <w:tcW w:w="8823" w:type="dxa"/>
            <w:tcBorders/>
            <w:vAlign w:val="center"/>
          </w:tcPr>
          <w:p>
            <w:pPr>
              <w:pStyle w:val="TableContents"/>
              <w:bidi w:val="0"/>
              <w:spacing w:before="0" w:after="0"/>
              <w:ind w:left="0" w:right="0" w:hanging="0"/>
              <w:jc w:val="left"/>
              <w:rPr/>
            </w:pPr>
            <w:hyperlink w:anchor="Item9BOtherInformation_57198">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811" w:type="dxa"/>
            <w:tcBorders/>
            <w:vAlign w:val="center"/>
          </w:tcPr>
          <w:p>
            <w:pPr>
              <w:pStyle w:val="TableContents"/>
              <w:pBdr/>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823"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II_679073">
              <w:r>
                <w:rPr>
                  <w:rStyle w:val="InternetLink"/>
                  <w:rFonts w:ascii="Times New Roman;Times;serif" w:hAnsi="Times New Roman;Times;serif"/>
                  <w:b w:val="false"/>
                  <w:i w:val="false"/>
                  <w:caps w:val="false"/>
                  <w:smallCaps w:val="false"/>
                  <w:sz w:val="20"/>
                </w:rPr>
                <w:t>PART III</w:t>
              </w:r>
            </w:hyperlink>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0">
              <w:r>
                <w:rPr>
                  <w:rStyle w:val="InternetLink"/>
                  <w:rFonts w:ascii="Times New Roman;Times;serif" w:hAnsi="Times New Roman;Times;serif"/>
                  <w:b w:val="false"/>
                  <w:i w:val="false"/>
                  <w:caps w:val="false"/>
                  <w:smallCaps w:val="false"/>
                  <w:sz w:val="20"/>
                </w:rPr>
                <w:t>Item 10.</w:t>
              </w:r>
            </w:hyperlink>
          </w:p>
        </w:tc>
        <w:tc>
          <w:tcPr>
            <w:tcW w:w="8823" w:type="dxa"/>
            <w:tcBorders/>
            <w:vAlign w:val="center"/>
          </w:tcPr>
          <w:p>
            <w:pPr>
              <w:pStyle w:val="TableContents"/>
              <w:bidi w:val="0"/>
              <w:spacing w:before="0" w:after="0"/>
              <w:ind w:left="0" w:right="0" w:hanging="0"/>
              <w:jc w:val="left"/>
              <w:rPr/>
            </w:pPr>
            <w:hyperlink w:anchor="Item10">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11" w:type="dxa"/>
            <w:tcBorders/>
            <w:vAlign w:val="center"/>
          </w:tcPr>
          <w:p>
            <w:pPr>
              <w:pStyle w:val="TableContents"/>
              <w:pBdr/>
              <w:bidi w:val="0"/>
              <w:spacing w:before="0" w:after="0"/>
              <w:ind w:left="0" w:right="0" w:hanging="0"/>
              <w:jc w:val="left"/>
              <w:rPr/>
            </w:pPr>
            <w:hyperlink w:anchor="Item11">
              <w:r>
                <w:rPr>
                  <w:rStyle w:val="InternetLink"/>
                  <w:rFonts w:ascii="Times New Roman;Times;serif" w:hAnsi="Times New Roman;Times;serif"/>
                  <w:b w:val="false"/>
                  <w:i w:val="false"/>
                  <w:caps w:val="false"/>
                  <w:smallCaps w:val="false"/>
                  <w:sz w:val="20"/>
                </w:rPr>
                <w:t>Item 11.</w:t>
              </w:r>
            </w:hyperlink>
          </w:p>
        </w:tc>
        <w:tc>
          <w:tcPr>
            <w:tcW w:w="8823" w:type="dxa"/>
            <w:tcBorders/>
            <w:vAlign w:val="center"/>
          </w:tcPr>
          <w:p>
            <w:pPr>
              <w:pStyle w:val="TableContents"/>
              <w:bidi w:val="0"/>
              <w:spacing w:before="0" w:after="0"/>
              <w:ind w:left="0" w:right="0" w:hanging="0"/>
              <w:jc w:val="left"/>
              <w:rPr/>
            </w:pPr>
            <w:hyperlink w:anchor="Item11">
              <w:r>
                <w:rPr>
                  <w:rStyle w:val="InternetLink"/>
                  <w:rFonts w:ascii="Times New Roman;Times;serif" w:hAnsi="Times New Roman;Times;serif"/>
                  <w:b w:val="false"/>
                  <w:i w:val="false"/>
                  <w:caps w:val="false"/>
                  <w:smallCaps w:val="false"/>
                  <w:sz w:val="20"/>
                </w:rPr>
                <w:t>Executive Compensation</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11" w:type="dxa"/>
            <w:tcBorders/>
            <w:vAlign w:val="center"/>
          </w:tcPr>
          <w:p>
            <w:pPr>
              <w:pStyle w:val="TableContents"/>
              <w:pBdr/>
              <w:bidi w:val="0"/>
              <w:spacing w:before="0" w:after="0"/>
              <w:ind w:left="0" w:right="0" w:hanging="0"/>
              <w:jc w:val="left"/>
              <w:rPr/>
            </w:pPr>
            <w:hyperlink w:anchor="Item12">
              <w:r>
                <w:rPr>
                  <w:rStyle w:val="InternetLink"/>
                  <w:rFonts w:ascii="Times New Roman;Times;serif" w:hAnsi="Times New Roman;Times;serif"/>
                  <w:b w:val="false"/>
                  <w:i w:val="false"/>
                  <w:caps w:val="false"/>
                  <w:smallCaps w:val="false"/>
                  <w:sz w:val="20"/>
                </w:rPr>
                <w:t>Item 12.</w:t>
              </w:r>
            </w:hyperlink>
          </w:p>
        </w:tc>
        <w:tc>
          <w:tcPr>
            <w:tcW w:w="8823" w:type="dxa"/>
            <w:tcBorders/>
            <w:vAlign w:val="center"/>
          </w:tcPr>
          <w:p>
            <w:pPr>
              <w:pStyle w:val="TableContents"/>
              <w:bidi w:val="0"/>
              <w:spacing w:before="0" w:after="0"/>
              <w:ind w:left="0" w:right="0" w:hanging="0"/>
              <w:jc w:val="left"/>
              <w:rPr/>
            </w:pPr>
            <w:hyperlink w:anchor="Item12">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11" w:type="dxa"/>
            <w:tcBorders/>
            <w:vAlign w:val="center"/>
          </w:tcPr>
          <w:p>
            <w:pPr>
              <w:pStyle w:val="TableContents"/>
              <w:pBdr/>
              <w:bidi w:val="0"/>
              <w:spacing w:before="0" w:after="0"/>
              <w:ind w:left="0" w:right="0" w:hanging="0"/>
              <w:jc w:val="left"/>
              <w:rPr/>
            </w:pPr>
            <w:hyperlink w:anchor="Item13">
              <w:r>
                <w:rPr>
                  <w:rStyle w:val="InternetLink"/>
                  <w:rFonts w:ascii="Times New Roman;Times;serif" w:hAnsi="Times New Roman;Times;serif"/>
                  <w:b w:val="false"/>
                  <w:i w:val="false"/>
                  <w:caps w:val="false"/>
                  <w:smallCaps w:val="false"/>
                  <w:sz w:val="20"/>
                </w:rPr>
                <w:t>Item 13.</w:t>
              </w:r>
            </w:hyperlink>
          </w:p>
        </w:tc>
        <w:tc>
          <w:tcPr>
            <w:tcW w:w="8823" w:type="dxa"/>
            <w:tcBorders/>
            <w:vAlign w:val="center"/>
          </w:tcPr>
          <w:p>
            <w:pPr>
              <w:pStyle w:val="TableContents"/>
              <w:bidi w:val="0"/>
              <w:spacing w:before="0" w:after="0"/>
              <w:ind w:left="0" w:right="0" w:hanging="0"/>
              <w:jc w:val="left"/>
              <w:rPr/>
            </w:pPr>
            <w:hyperlink w:anchor="Item1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11" w:type="dxa"/>
            <w:tcBorders/>
            <w:vAlign w:val="center"/>
          </w:tcPr>
          <w:p>
            <w:pPr>
              <w:pStyle w:val="TableContents"/>
              <w:pBdr/>
              <w:bidi w:val="0"/>
              <w:spacing w:before="0" w:after="0"/>
              <w:ind w:left="0" w:right="0" w:hanging="0"/>
              <w:jc w:val="left"/>
              <w:rPr/>
            </w:pPr>
            <w:hyperlink w:anchor="Item14">
              <w:r>
                <w:rPr>
                  <w:rStyle w:val="InternetLink"/>
                  <w:rFonts w:ascii="Times New Roman;Times;serif" w:hAnsi="Times New Roman;Times;serif"/>
                  <w:b w:val="false"/>
                  <w:i w:val="false"/>
                  <w:caps w:val="false"/>
                  <w:smallCaps w:val="false"/>
                  <w:sz w:val="20"/>
                </w:rPr>
                <w:t>Item 14.</w:t>
              </w:r>
            </w:hyperlink>
          </w:p>
        </w:tc>
        <w:tc>
          <w:tcPr>
            <w:tcW w:w="8823" w:type="dxa"/>
            <w:tcBorders/>
            <w:vAlign w:val="center"/>
          </w:tcPr>
          <w:p>
            <w:pPr>
              <w:pStyle w:val="TableContents"/>
              <w:bidi w:val="0"/>
              <w:spacing w:before="0" w:after="0"/>
              <w:ind w:left="0" w:right="0" w:hanging="0"/>
              <w:jc w:val="left"/>
              <w:rPr/>
            </w:pPr>
            <w:hyperlink w:anchor="Item14">
              <w:r>
                <w:rPr>
                  <w:rStyle w:val="InternetLink"/>
                  <w:rFonts w:ascii="Times New Roman;Times;serif" w:hAnsi="Times New Roman;Times;serif"/>
                  <w:b w:val="false"/>
                  <w:i w:val="false"/>
                  <w:caps w:val="false"/>
                  <w:smallCaps w:val="false"/>
                  <w:sz w:val="20"/>
                </w:rPr>
                <w:t>Principal Accountant Fees and Services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V_232930">
              <w:r>
                <w:rPr>
                  <w:rStyle w:val="InternetLink"/>
                  <w:rFonts w:ascii="Times New Roman;Times;serif" w:hAnsi="Times New Roman;Times;serif"/>
                  <w:b w:val="false"/>
                  <w:i w:val="false"/>
                  <w:caps w:val="false"/>
                  <w:smallCaps w:val="false"/>
                  <w:sz w:val="20"/>
                </w:rPr>
                <w:t>PART IV</w:t>
              </w:r>
            </w:hyperlink>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823"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11" w:type="dxa"/>
            <w:tcBorders/>
            <w:vAlign w:val="center"/>
          </w:tcPr>
          <w:p>
            <w:pPr>
              <w:pStyle w:val="TableContents"/>
              <w:pBdr/>
              <w:bidi w:val="0"/>
              <w:spacing w:before="0" w:after="0"/>
              <w:ind w:left="0" w:right="0" w:hanging="0"/>
              <w:jc w:val="left"/>
              <w:rPr/>
            </w:pPr>
            <w:hyperlink w:anchor="ITEM16FORM10KSU_369056">
              <w:r>
                <w:rPr>
                  <w:rStyle w:val="InternetLink"/>
                  <w:rFonts w:ascii="Times New Roman;Times;serif" w:hAnsi="Times New Roman;Times;serif"/>
                  <w:b w:val="false"/>
                  <w:i w:val="false"/>
                  <w:caps w:val="false"/>
                  <w:smallCaps w:val="false"/>
                  <w:sz w:val="20"/>
                </w:rPr>
                <w:t>Item 16.</w:t>
              </w:r>
            </w:hyperlink>
          </w:p>
        </w:tc>
        <w:tc>
          <w:tcPr>
            <w:tcW w:w="8823" w:type="dxa"/>
            <w:tcBorders/>
            <w:vAlign w:val="center"/>
          </w:tcPr>
          <w:p>
            <w:pPr>
              <w:pStyle w:val="TableContents"/>
              <w:bidi w:val="0"/>
              <w:spacing w:before="0" w:after="0"/>
              <w:ind w:left="0" w:right="0" w:hanging="0"/>
              <w:jc w:val="left"/>
              <w:rPr/>
            </w:pPr>
            <w:hyperlink w:anchor="ITEM16FORM10KSU_369056">
              <w:r>
                <w:rPr>
                  <w:rStyle w:val="InternetLink"/>
                  <w:rFonts w:ascii="Times New Roman;Times;serif" w:hAnsi="Times New Roman;Times;serif"/>
                  <w:b w:val="false"/>
                  <w:i w:val="false"/>
                  <w:caps w:val="false"/>
                  <w:smallCaps w:val="false"/>
                  <w:sz w:val="20"/>
                </w:rPr>
                <w:t>Form 10-K Summary</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EXHIBITINDEX_965779">
              <w:r>
                <w:rPr>
                  <w:rStyle w:val="InternetLink"/>
                  <w:rFonts w:ascii="Times New Roman;Times;serif" w:hAnsi="Times New Roman;Times;serif"/>
                  <w:b w:val="false"/>
                  <w:i w:val="false"/>
                  <w:caps w:val="false"/>
                  <w:smallCaps w:val="false"/>
                  <w:sz w:val="20"/>
                </w:rPr>
                <w:t>Exhibit Index</w:t>
              </w:r>
            </w:hyperlink>
          </w:p>
        </w:tc>
        <w:tc>
          <w:tcPr>
            <w:tcW w:w="571" w:type="dxa"/>
            <w:tcBorders/>
            <w:vAlign w:val="center"/>
          </w:tcPr>
          <w:p>
            <w:pPr>
              <w:pStyle w:val="TableContents"/>
              <w:bidi w:val="0"/>
              <w:spacing w:before="0" w:after="2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SIGNATURES_954937">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20"/>
              <w:ind w:left="0" w:right="58"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6" w:name="CautionaryNoteRegardingForwardLookingSta"/>
      <w:bookmarkStart w:id="47" w:name="_39cdfd36_504f_4754_8135_af7c2494e5fa"/>
      <w:bookmarkEnd w:id="46"/>
      <w:bookmarkEnd w:id="47"/>
      <w:r>
        <w:rPr>
          <w:rFonts w:ascii="Times New Roman;Times;serif" w:hAnsi="Times New Roman;Times;serif"/>
          <w:b/>
          <w:sz w:val="20"/>
        </w:rPr>
        <w:t>Cautionary Note Regarding Forward-Looking Statements</w:t>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Annual Report on Form 10-K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“goal,” “seek,” “target,” “should,” “could,” “will,” “would” or the negative of such terms or other similar expressions.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Annual Report on Form 10-K.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caution you that these forward-looking statements are subject to numerous risks and uncertainties, most of which are difficult to predict and many of which are beyond our control. Forward-looking statements in this Annual Report on Form 10-K may include, for example,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our expectations with respect to when we will need to obtain additional capital, and our ability to raise additional capital when needed and on attractive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and developing practical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strategy for quantum computing as a service (“Quantum Computing as a Service,” or “QCaaS”),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may be instituted against us or others,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standards relating to the listing of our common stock, par value $0.0001 per share (the “common stock”) and Public Warrants (as defined herein) on, the Nasdaq Capital Market (“Nasdaq”), and the potential liquidity and trading of such securities,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recognize the anticipated benefits of the Business Combination, which may be affected by, among other things, competition, our ability to grow and manage growth profitably, maintain relationships with customers and suppliers and retain our management and key employees,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remediate the material weaknesses in, and establish and maintain, effective internal controls over financial reporting,</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evolution of the markets in which we compete,</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the ongoing military conflicts involving Russia and Ukraine and sanctions related thereto and the state of war between Israel and Hamas and the potential larger regional conflict), including inflation and financial and credit market fluctuations,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worsening global economic conditions, disruptions to and volatility and uncertainty in the credit and financial markets, increases in inflation and interest rates, and recent and potential future disruptions in access to bank deposits or lending commitments due to bank failures, on the foregoing.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These statements reflect our current views with respect to future events, are based on assumptions and involve known and unknown risks, uncertainties and other factors that may cause our actual results, performance, timeframes or achievements to differ materially from those expressed or implied by the forward-looking statements. Additional information concerning these risks, uncertainties and other factors that may impact the operations, projections, and other forward-looking statements discussed herein can be found in the section entitled “Risk Factors” in Part I, Item 1A of this Annual Report on Form 10-K. </w:t>
      </w:r>
      <w:r>
        <w:rPr>
          <w:rFonts w:ascii="Times New Roman;Times;serif" w:hAnsi="Times New Roman;Times;serif"/>
          <w:i/>
          <w:sz w:val="20"/>
          <w:shd w:fill="FFFFFF" w:val="clear"/>
        </w:rPr>
        <w:t>Given these risks, uncertainties, and other factors, you should not place undue reliance on these forward-looking statements. In addition, our goals and objectives are aspirational and are not guarantees or promises that such goals and objectives will be met. Also, these forward-looking statements represent our estimates and assumptions only as of the date of this filing. You should read this Annual Report on Form 10-K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Summary Risk Factors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business is subject to a number of risks of which you should be aware before making a decision to invest in our securities. These known and unknown risks, uncertainties and other factors include, without limitation: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our existing cash, cash equivalents and marketable securities should be sufficient to meet our anticipated operating cash needs into early in the third quarter of 2025, based on our current business plan, and expectations and assumptions considering current macroeconomic conditions. Accordingly, based on our estimates and current business plan, we expect that we will need to obtain additional capital by early in the third quarter of 2025 to fund our research and development efforts and business objectives as currently planned. Our estimate does not assume any additional financing, and we cannot be sure that additional financing will be available. If we are unable to raise additional funding when needed and on attractive terms, we may be required to delay, limit or substantially reduce our quantum computing development efforts.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our early stages and have a limited operating history, which makes it difficult to forecast our future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expect to incur significant expenses and continuing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market in which we compete achieves its anticipated growth levels, our business could fail to grow at similar rates, if at all.</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net operating loss carryforwards and other tax attributes may be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produced quantum computers with high qubit counts and we face significant barriers in our attempts to produce quantum computers, including the need to invent and develop new technology. If we cannot successfully overcome those barriers, our business will be negatively impacted and could fail.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generations of hardware, including any future generations developed to demonstrate narrow quantum advantage, broad quantum advantage, our anticipated release of a 336 qubit system, and our targeted fidelities, each of which is an important anticipated milestone for our technology roadmap and commercialization, may not occur on our anticipated timeline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competitive on a global scale and we may not be successful in competing in this industry or establishing and maintaining confidence in our long-term business prospects among current and future partners and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a limited number of customers for a significant percentage of our revenue and the loss or temporary loss of a major customer for any reason could harm our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currently dependent upon our relationship with our cloud providers. There are no assurances that we will be able to commercialize quantum computers from our relationships with cloud providers.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access to high performance third party classical computing through public clouds, high performance computing centers and on-premises computing infrastructure to deliver performant quantum solutions to customers. We may not be able to maintain high quality business relationships and connectivity with these resources which could make it harder for us to reach customers or deliver solutions in a cost-effective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 depends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developing quantum computing systems and executing our strategy, competitors in the industry may achieve technological breakthroughs which render our quantum computing systems obsolete or inferior to other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reduce the cost of developing our quantum computers, which may prevent us from pricing our quantum systems competitively.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in its early stages and volatile, and if it does not develop, if it develops more slowly than we expect, if it develops in a manner that does not require use of our quantum computing solutions, if it encounters negative publicity or if our solution does not drive commercial engagement, the growth of our business will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suffer disruptions, outages, defects and other performance and quality problems with our quantum computing systems, our production technology partners or with the public cloud, data centers and internet infrastructure on which we rely.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related to the lack of effective review controls over 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obtain, maintain and protect our intellectual property rights could impair our ability to protect and commercialize our proprietary products and technology and cause us to lose our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been out of compliance with the continued listing standards of Nasdaq and we may be unable to maintain compliance with such standards. If we fail to maintain compliance with the listing requirements of the Nasdaq Capital Market or fail to cure any future deficiencies, we may be delisted and the price of our common stock and our ability to access the capital markets could be negatively impacted.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securities, or perceptions of sales, by us or holders of our securities in the public markets or otherwise could cause the market price for our securities to decline and even in such case certain holders of our securities may still have an incentive to sell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Unstable market and economic conditions, including recent bank failures, have had and may continue to have serious adverse consequences on our business, financial condition and share price.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including our public warrants, each entitling the holder to purchase one share of our common stock at an exercise price of $11.50 per share, that trade on the Nasdaq Capital Market under the ticker symbol “RGTIW” (“Public Warrants”), private placement warrants, each entitling the holder to purchase one share of our common stock at an exercise price of $11.50 per share (“Private Warrants”), and other warrants we have issued, are accounted for as liabilities and the changes in value of our warrants could have a material effect on our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are exercisable for Common Stock, the exercise of which would increase the number of shares eligible for future resale in the public market and result in dilution to our stockholders.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never be in the money, and they may expire worthless.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8" w:name="PARTI_683696"/>
      <w:bookmarkStart w:id="49" w:name="_6d6ef81f_cda2_4375_aa4d_5043bd735649"/>
      <w:bookmarkEnd w:id="48"/>
      <w:bookmarkEnd w:id="49"/>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50" w:name="Item1Business"/>
      <w:bookmarkStart w:id="51" w:name="_Item_1._BUSINESS"/>
      <w:bookmarkEnd w:id="50"/>
      <w:bookmarkEnd w:id="51"/>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MISSION IS TO BUILD THE WORLD’S MOST POWERFUL COMPUTERS TO HELP SOLVE HUMANITY’S MOST IMPORTANT AND PRESSING PROBLEMS.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Today, many of the world’s most important computational challenges remain intractable, lying beyond the capabilities of traditional supercomputers and cloud infrastructure. We build and operate quantum computers. We believe quantum computing represents one of the most transformative emerging capabilities in the world today. By leveraging quantum mechanics, our quantum computers process information in fundamentally new, more powerful ways compared to classical computing. When scaled, we believe these systems are poised to solve problems of staggering computational complexity at unprecedented speed.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availability of scalable quantum computers is expected to enable scientists and engineers to address problems in areas like climate change, fusion energy, quantitative finance, drug development and discovery, materials science, and artificial intelligence. A May 2023 Boston Consulting Group report predicts that fully fault tolerant quantum computers could ultimately produce between $450 billion and $850 billion in annual value creation on an operating income basis for end users after 2035. In August 2023, </w:t>
      </w:r>
      <w:r>
        <w:rPr>
          <w:rFonts w:ascii="Times New Roman;Times;serif" w:hAnsi="Times New Roman;Times;serif"/>
          <w:sz w:val="20"/>
          <w:shd w:fill="FFFFFF" w:val="clear"/>
        </w:rPr>
        <w:t>International Data Corporation (IDC) published a forecast for the worldwide quantum computing market, projecting customer spend for quantum computing to grow from $1.1 billion in 2022 to $7.6 billion in 2027, representing a five-year compound annual growth rate (CAGR) of 48.1%. The forecast includes base quantum computing as a service as well as enabling and adjacent quantum computing as a service.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To unlock this opportunity, we have developed the world’s first multi-chip quantum processor for scalable quantum computing systems. We expect this patented and patent pending, modular chip architecture to be the building block for new generations of quantum processors that we expect to achieve a clear advantage over classical computers.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 vertically integrated company. We own and operate Fab-1, a unique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have been deploying our quantum computers to end users over the cloud since 2017. We offer our full-stack quantum computing platform as a cloud service to a wide range of end-users, directly through our Rigetti QCS platform, and also through cloud service providers. </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began selling quantum computers to end users in 2023. In the third quarter of 2023, we expanded our quantum processing unit (QPU) customer base with the delivery of a 9-qubit QPU to another premier national laboratory. This follows our first QPU sale in the second quarter of 2023 to Fermilab in which we delivered a 9-qubit QPU as part of our partnership with the Superconducting Quantum Materials and Systems Center (SQMS). </w:t>
      </w:r>
      <w:r>
        <w:rPr>
          <w:rFonts w:ascii="Times New Roman;Times;serif" w:hAnsi="Times New Roman;Times;serif"/>
          <w:sz w:val="20"/>
          <w:shd w:fill="FFFFFF" w:val="clear"/>
        </w:rPr>
        <w:t xml:space="preserve">We also launched the Novera™ QPU in December 2023, our first commercially available QPU, which includes a 9-qubit chip that features tunable couplers for fast 2-qubit operations and a 5-qubit chip for testing single-qubit operations. The Novera QPU is based on our fourth generation Ankaa™-class architecture. In the fourth quarter of 2023, we made our 84-qubit Ankaa-2 quantum system available publicly via our Quantum Cloud Services (QCS) platform. The Ankaa-2 system is our highest qubit count QPU available to the public and is based on our fourth-generation chip architecture that features tunable couplers and a square lattice, enabling high fidelity 2-qubit operations compared to our previous systems. The Ankaa-2 system has achieved a 98% median 2-qubit fidelity based on our testing, representing a 2.5x improvement in error performance compared to our previous QPUs, and a 2-qubit gate time of 68 nanoseconds — the shortest gate time demonstrated by a Rigetti QPU. We have developed strong customer relationships and collaborative partnerships to accelerate the development of key technologies for high-value use cases to potentially unlock strategic market opportunities.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partners and customers include commercial enterprises such as Amazon Web Services (“AWS”), Nasdaq, Standard Chartered Bank and HSBC, along with U.S. government organizations such as Defense Advanced Research Projects Agency (“DARPA”), Department of Energy (“DOE"), and Air Force Research Laboratory(“AFRL”) and international government entities. Recently, in February 2024, Rigetti UK Limited, a wholly owned subsidiary of our Company, announced that it was awarded a Small Business Research Initiative grant funded by Innovate UK to develop and deliver a 24-qubit quantum computer to the National Quantum Computing Centre.</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is enabled by a deep technical team that includes global experts in quantum chip design and manufacturing, quantum computing systems architecture, quantum software, and quantum algorithms and applications.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Powered by the production of our scalable multi-chip quantum processors in Fab-1 and our full-stack product development approach, we are working to develop quantum computing systems that demonstrate clear performance advantages over classical computing alternatives for multiple high-impact application areas.</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Market Opportunity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Demand for computing power capable of solving computationally complex problems is increasing. Many of these types of problems are approached through the use of High Performance Computing (“HPC”), which relies primarily on large classical computers located either in the cloud or on-premises. Company management estimates the global market for HPC to be approximately $55 billion by 2028. We believe our quantum computers will be able to solve many computational problems with greater speed and at a lower cost than today’s high performance computers, thereby unlocking considerable value for the users of current HPC systems. Furthermore, we believe that quantum computing will be applicable to many use cases that today lie within the realm of the much larger cloud computing market.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Advanced scientific and technical computing applied in fields like drug discovery, materials science, computational fluid dynamics, machine learning, and quantitative finance have underpinned many of society’s greatest scientific and industrial advancements over the past half-century. Yet, despite the availability of the latest cloud and supercomputing capabilities, these and many other fields remain constrained by the intractable nature of their thorniest problems. Typically, the computational limits of classical computers are reached because of either the size or complexity of the required calculations. In certain cases, algorithms have been developed that in theory solve a particular computation problem; however, classical computers are limited in their ability to implement and process such algorithms.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decades, classical computing power increased exponentially as the number of transistors on a microchip were doubling about every two years, while the cost of computing simultaneously decreased significantly. Over the past ten years, this rate of progress in classical computing power has significantly slowed as physical limits on the miniaturization of transistors in nano-scale devices are being reached.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Stages of Evolution of Quantum Computing Maturation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believe that market demand for our quantum computers will grow in phases that map to the increasing capabilities of our commercially available quantum computing systems similar to those of classical computer technology. With each new phase, we expect quantum computers to solve an ever-increasing breadth of high-impact commercial problems and to do so with greater speed and accuracy. Qubits do not need the latest semiconductor lithography node and, in fact, can be made using 1990’s era lithography.</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Emerging Quantum Advantage (“eQA”) Phase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This phase is characterized by the availability of practical, fully functional and operational quantum computers, whose capabilities do not yet enable them to demonstrate clear performance advantages relative to traditional computers. Currently, our quantum computers are of sufficient scale and capability to be useful in applied research for quantum algorithm development, the exploration of potential applications of quantum computing, and for understanding the skill gaps an organization must resolve in order to be prepared to take advantage of quantum computing capabilities.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consider the eQA phase to have begun four years ago, and during this time we have worked with business and government researchers, commercial software developers and academic institutions who access our quantum computers via cloud-based services.  We have also sold our QPUs to U.S. national labs who wish to have their own quantum computer on-site and have</w:t>
      </w:r>
      <w:r>
        <w:rPr>
          <w:rFonts w:ascii="Times New Roman;Times;serif" w:hAnsi="Times New Roman;Times;serif"/>
          <w:sz w:val="20"/>
          <w:shd w:fill="FFFFFF" w:val="clear"/>
        </w:rPr>
        <w:t xml:space="preserve"> launched Novera, our first commercially available QPU, which features a 9-qubit chip, tunable couplers for fast 2-qubit operations and a 5-qubit chip for testing single-qubit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that this phase will come to a close when there are repeated demonstrations solving practical problems, of substantial commercial or customer value, with a level of performance that is competitive with the best available classical computing performance.</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Narrow Quantum Advantage (“nQA”) Phase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and when our quantum computing processing capabilities have scaled to the point where they can be used to solve practical, operationally relevant problems with improved accuracy, speed or cost over classical computers, we believe we will have reached the phase of nQA.</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the nQA phase, we expect that large enterprises and government organizations would increase their investment in quantum computing as the superior computational capabilities of the technology will have progressed from projected to verifiably advantaged for certain applications. In addition to quantum-based research and development, quantum machine learning (“QML”) is likely to emerge as a strong avenue for growth as it can be leveraged in a wide range of business and scientific applications. Research into quantum simulation and quantum optimization opportunities is predicted to increase in the nQA phase.</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Broad Quantum Advantage (“bQA”)</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consider the phase of bQA to have begun if and when our quantum computing processing abilities have scaled to the point where they can be used to solve practical problems that would be physically impossible to solve on any classical computer. At such point, with both scaled qubit counts and strong error correction capabilities, we believe our quantum computers would be suitable for many applications of quantum machine learning and begin to be used for a growing number of quantum simulation and quantum optimization problems. In the event we demonstrate bQA, we expect many new potential clients to emerge as the range and value of the problems that are addressable by our quantum computing systems significantly increases.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Large-Scale Fault Tolerant Quantum Computing (“lFTQC”)</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consider the phase of lFTQC to begin if and when systems are available with hundreds of logical qubits, which can be universally controlled and measured with substantially error-free operation through the full course of a quantum computation. It is currently believed in the quantum computing industry that this likely requires systems with 10,000 to 1,000,000 physical qubits. We believe our scalable multi-chip architecture paves the way to scale up to these large systems.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anticipate the beginning of the large-scale fault tolerant phase to be likely at least a decade away. As quantum computing further matures through this phase, systems will likely continue to grow in scale and performance, culminating in full-scale fault tolerance that operates using potentially thousands of effectively perfect logical qubits. This ultimate goal of full-scale fault tolerance represents the largest commercial opportunity. Boston Consulting Group </w:t>
      </w:r>
      <w:r>
        <w:rPr>
          <w:rFonts w:ascii="Times New Roman;Times;serif" w:hAnsi="Times New Roman;Times;serif"/>
          <w:sz w:val="20"/>
          <w:shd w:fill="FFFFFF" w:val="clear"/>
        </w:rPr>
        <w:t>estimates that quantum computing could create value of $450 billion to $850 billion annually by 2035. Value of $5 billion to $10 billion could start accruing to users and providers as soon as the next few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Business Strategy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approach to developing and sustaining what we believe is strong competitive advantage relies on a four-pronged strategy: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Create high performance quantum computing systems through full-stack product development. </w:t>
            </w:r>
            <w:r>
              <w:rPr>
                <w:rFonts w:ascii="Times New Roman;Times;serif" w:hAnsi="Times New Roman;Times;serif"/>
                <w:b w:val="false"/>
                <w:i w:val="false"/>
                <w:caps w:val="false"/>
                <w:smallCaps w:val="false"/>
                <w:sz w:val="20"/>
              </w:rPr>
              <w:t>From the outset, we have approached the market opportunity with a strategy to build quantum computers, the superconducting processors that power them, and the software required to access and program these systems. We believe that vertical integration, from chip manufacturing through sales of QPUs and cloud delivery, unlocks the fastest and lowest risk path to broad commercialization and the largest, long-term market opportunity. This was underscored by our announcement of the industry’s first multi-chip quantum processor for scalable quantum computers, a capability realized through many innovations from Fab-1.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Provide broad access to our quantum computers. </w:t>
            </w:r>
            <w:r>
              <w:rPr>
                <w:rFonts w:ascii="Times New Roman;Times;serif" w:hAnsi="Times New Roman;Times;serif"/>
                <w:b w:val="false"/>
                <w:i w:val="false"/>
                <w:caps w:val="false"/>
                <w:smallCaps w:val="false"/>
                <w:sz w:val="20"/>
              </w:rPr>
              <w:t xml:space="preserve">We sold our first QPU in 2023 and recently launched </w:t>
            </w:r>
            <w:r>
              <w:rPr>
                <w:rFonts w:ascii="Times New Roman;Times;serif" w:hAnsi="Times New Roman;Times;serif"/>
                <w:b w:val="false"/>
                <w:i w:val="false"/>
                <w:caps w:val="false"/>
                <w:smallCaps w:val="false"/>
                <w:sz w:val="20"/>
                <w:shd w:fill="FFFFFF" w:val="clear"/>
              </w:rPr>
              <w:t>Novera™ our first commercially available QPU, which features a 9-qubit chip with tunable couplers for fast 2-qubit operations and a 5-qubit chip for testing single-qubit operations. </w:t>
            </w:r>
            <w:r>
              <w:rPr>
                <w:rFonts w:ascii="Times New Roman;Times;serif" w:hAnsi="Times New Roman;Times;serif"/>
                <w:b w:val="false"/>
                <w:i w:val="false"/>
                <w:caps w:val="false"/>
                <w:smallCaps w:val="false"/>
                <w:sz w:val="20"/>
              </w:rPr>
              <w:t>We have been providing cloud access to our quantum computers since 2017 and have since expanded the availability of our machines through distribution agreements with other solution providers including Amazon Bracket and Oak Ridge National Laboratory (“ORNL”), among others. Cloud services efficiently simplify access to our quantum computers and allow for pricing that enables a broad range of scientific, commercial and academic developers to readily participate in the development of quantum computing algorithms, applications and software development tools. Collectively, these cloud services provide a range of choices and capabilities designed to meet the diverse needs of large and small organizations alike.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Develop deep partnerships that accelerate the development and commercialization of quantum computing.</w:t>
            </w:r>
            <w:r>
              <w:rPr>
                <w:caps w:val="false"/>
                <w:smallCaps w:val="false"/>
              </w:rPr>
              <w:t xml:space="preserve"> </w:t>
            </w:r>
            <w:r>
              <w:rPr>
                <w:rFonts w:ascii="Times New Roman;Times;serif" w:hAnsi="Times New Roman;Times;serif"/>
                <w:b w:val="false"/>
                <w:i w:val="false"/>
                <w:caps w:val="false"/>
                <w:smallCaps w:val="false"/>
                <w:sz w:val="20"/>
              </w:rPr>
              <w:t>We have formed commercial partnerships with business and government entities that are designed to advance their mutual understanding of the opportunities, challenges and solutions necessary for quantum computing to excel in specific real-world applications. Examples of these partnerships include our contracted relationships with DARPA, the DOE’s Fermi National Accelerator Laboratory (“Fermilab”) and AFRL. We believe these types of highly collaborative, multi-year relationships will yield specialized and proprietary market insights and technological advancements. We expect the number and scope of these types of partnerships to expand as the capabilities of our quantum computers continue to grow.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Advance our technology leadership position</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We have invested heavily in a world-class and multidisciplinary team of scientists, hardware and software engineers, system designers and algorithm and application developers to rapidly innovate, invent, engineer and commercialize our quantum computing technologies. We have also developed numerous proprietary technologies required to create quantum computing chips, quantum computer systems, software and cloud-based services and we rigorously protect our unique intellectual property through a portfolio of  84 patents issued and 106 patents pending. We intend to continue deeply investing in finding and fostering the talent required to remain at the forefront of quantum computing innovation, while protecting our growing base of intellectual property.</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2023, we updated our business strategy and revised our technology roadmap to focus on nearer-term priorities and our efforts to achieve narrow quantum advantage. Key achievements in 2023 include the launch of the 84 qubit Ankaa™-2 system to customers via Rigetti Quantum Cloud Services (QCS). The Ankaa-2 system achieved 98% median 2-qubit fidelity, which represents a 2.5x performance improvement compared to our previous QPUs.</w:t>
      </w:r>
      <w:r>
        <w:rPr>
          <w:rFonts w:ascii="Times New Roman;Times;serif" w:hAnsi="Times New Roman;Times;serif"/>
          <w:sz w:val="20"/>
          <w:shd w:fill="F3F3F4" w:val="clear"/>
        </w:rPr>
        <w:t xml:space="preserv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continue to plan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working to improve the performance of our QPUs with the goal of reaching at least 99% 2-qubit gate fidelity on an anticipated Ankaa-3 84 qubit system by the end of 2024.</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above target is achieved, we plan to shift focus to scaling to develop Lyra, an anticipated 336-qubit system.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Pursue sales of </w:t>
            </w:r>
            <w:r>
              <w:rPr>
                <w:rFonts w:ascii="Times New Roman;Times;serif" w:hAnsi="Times New Roman;Times;serif"/>
                <w:b w:val="false"/>
                <w:i w:val="false"/>
                <w:caps w:val="false"/>
                <w:smallCaps w:val="false"/>
                <w:sz w:val="20"/>
                <w:shd w:fill="FFFFFF" w:val="clear"/>
              </w:rPr>
              <w:t>Novera™, our first commercially available QPU, which features a 9-qubit chip, tunable couplers for fast 2-qubit operations and a 5-qubit chip for testing single-qubit operations.</w:t>
            </w:r>
          </w:p>
        </w:tc>
      </w:tr>
    </w:tbl>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Business Model &amp; Services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Currently, we generate the majority of our revenues from technology development contracts with various partners. We believe our longer term business model will be more weighted towards QPU sales and recurring revenues generated from quantum computing systems made accessible via the cloud in the form of QCaaS products.</w:t>
      </w:r>
    </w:p>
    <w:p>
      <w:pPr>
        <w:pStyle w:val="TextBody"/>
        <w:bidi w:val="0"/>
        <w:spacing w:before="0" w:after="160"/>
        <w:ind w:left="0" w:right="0" w:firstLine="547"/>
        <w:jc w:val="both"/>
        <w:rPr>
          <w:rFonts w:ascii="Times New Roman;Times;serif" w:hAnsi="Times New Roman;Times;serif"/>
          <w:sz w:val="20"/>
        </w:rPr>
      </w:pPr>
      <w:r>
        <w:rPr>
          <w:rFonts w:ascii="Times New Roman;Times;serif" w:hAnsi="Times New Roman;Times;serif"/>
          <w:b/>
          <w:i/>
          <w:sz w:val="20"/>
        </w:rPr>
        <w:t>Rigetti Quantum Processing Units</w:t>
      </w:r>
      <w:r>
        <w:rPr>
          <w:rFonts w:ascii="Times New Roman;Times;serif" w:hAnsi="Times New Roman;Times;serif"/>
          <w:sz w:val="20"/>
        </w:rPr>
        <w:t xml:space="preserve">.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QPUs contain fabricated silicon-based chips featuring superconducting qubits. These high-performance chips provide fast gate times, low latency conditional logic, and fast program execution times.  Our QPUs are designed and fabricated at Fab-1, leveraging novel manufacturing methods to create state-of-the art superconducting qubits. </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Novera™, our first commercially available QPU, includes a 9-qubit chip that features tunable couplers for fast 2-qubit operations and a 5-qubit chip for testing single-qubit operations. The Novera™ QPU is based on our fourth generation Ankaa-class architecture.</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We recently announced our most technically advanced QPU yet, the 84-qubit Ankaa-2, featuring 98% median 2-qubit fidelity, which represents a 2.5x performance improvement compared to our previous QPUs. </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We intend to design and fabricate more advanced QPUs in the future with improved fidelities, faster gate speeds and higher qubit counts.  We believe these anticipated improvements and advances in technology will hopefully lead to nQA, bQA and LFTOC in the coming years.</w:t>
      </w:r>
    </w:p>
    <w:p>
      <w:pPr>
        <w:pStyle w:val="TextBody"/>
        <w:bidi w:val="0"/>
        <w:spacing w:before="0" w:after="0"/>
        <w:ind w:left="0" w:right="0" w:firstLine="540"/>
        <w:jc w:val="left"/>
        <w:rPr>
          <w:shd w:fill="FFFFFF" w:val="clear"/>
        </w:rPr>
      </w:pPr>
      <w:r>
        <w:rPr>
          <w:shd w:fill="FFFFFF" w:val="clear"/>
        </w:rPr>
        <w: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Quantum Computing as a Service (QCaaS)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sell access to our quantum computers through cloud-based services, commonly referred to as QCaaS. This approach enables us to serve a wide range of customers without the complexity and cost associated with shipping, operating and servicing complex and cryogenic computing equipment on customer premises.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Rigetti Quantum Cloud Services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Rigetti Quantum Cloud Services (QCS) is a proprietary platform to deliver high-performance quantum computing over the cloud. QCS features a hybrid quantum-classical computing environment that incorporates Rigetti quantum computers operating in tandem with cloud infrastructure. It provides support for a broad range of programming capabilities, the ability to integrate over public or private clouds, and high-speed connectivity to auxiliary classical computing resources.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product is designed to meet the needs of a diverse set of customers that all benefit from the high-performance nature of its core computational capabilities. Central to QCS are two very powerful sets of technologies developed by us, our quantum processing units (“QPUs”), described above, and our quantum operating system, as described below:</w:t>
      </w:r>
    </w:p>
    <w:p>
      <w:pPr>
        <w:pStyle w:val="TextBody"/>
        <w:bidi w:val="0"/>
        <w:spacing w:before="0" w:after="160"/>
        <w:ind w:left="0" w:right="0" w:firstLine="540"/>
        <w:jc w:val="both"/>
        <w:rPr>
          <w:rFonts w:ascii="Times New Roman;Times;serif" w:hAnsi="Times New Roman;Times;serif"/>
          <w:sz w:val="20"/>
        </w:rPr>
      </w:pPr>
      <w:r>
        <w:rPr>
          <w:rFonts w:ascii="Times New Roman;Times;serif" w:hAnsi="Times New Roman;Times;serif"/>
          <w:b/>
          <w:i/>
          <w:sz w:val="20"/>
        </w:rPr>
        <w:t>Quantum Operating System Software</w:t>
      </w:r>
      <w:r>
        <w:rPr>
          <w:rFonts w:ascii="Times New Roman;Times;serif" w:hAnsi="Times New Roman;Times;serif"/>
          <w:sz w:val="20"/>
        </w:rPr>
        <w:t>. QCS’s computing environment is powered by a distributed quantum operating system that natively supports both public and private cloud architectures.</w:t>
      </w:r>
    </w:p>
    <w:p>
      <w:pPr>
        <w:pStyle w:val="TextBody"/>
        <w:bidi w:val="0"/>
        <w:spacing w:before="0" w:after="160"/>
        <w:ind w:left="0" w:right="0" w:firstLine="540"/>
        <w:jc w:val="both"/>
        <w:rPr>
          <w:rFonts w:ascii="Times New Roman;Times;serif" w:hAnsi="Times New Roman;Times;serif"/>
          <w:sz w:val="20"/>
        </w:rPr>
      </w:pPr>
      <w:r>
        <w:rPr>
          <w:rFonts w:ascii="Times New Roman;Times;serif" w:hAnsi="Times New Roman;Times;serif"/>
          <w:sz w:val="20"/>
        </w:rPr>
        <w:t>The operating system software includes a rich set of quantum application and software development tools designed to unlock the capabilities of the quantum computing ecosystem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Enabling customers to access Rigetti QPUs through a broad range of quantum application software, development frameworks and algorithm libraries;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software and algorithm developers with the performance and fine-grained control required to expedite a new era of computational breakthroughs;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Facilitating the implementation of high performance public and private clouds with ultra-low latency connectivity between classical hardware and Rigetti QPUs.</w:t>
            </w:r>
          </w:p>
        </w:tc>
      </w:tr>
    </w:tbl>
    <w:p>
      <w:pPr>
        <w:pStyle w:val="TextBody"/>
        <w:bidi w:val="0"/>
        <w:spacing w:before="0" w:after="160"/>
        <w:ind w:left="0" w:right="0" w:hanging="0"/>
        <w:jc w:val="center"/>
        <w:rPr/>
      </w:pPr>
      <w:r>
        <w:rPr/>
        <w:drawing>
          <wp:inline distT="0" distB="0" distL="0" distR="0">
            <wp:extent cx="5721350" cy="4121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21350" cy="4121150"/>
                    </a:xfrm>
                    <a:prstGeom prst="rect">
                      <a:avLst/>
                    </a:prstGeom>
                  </pic:spPr>
                </pic:pic>
              </a:graphicData>
            </a:graphic>
          </wp:inline>
        </w:drawing>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Rigetti’s quantum computing facility in Berkeley, California includes both research and development and production quantum processing units, which are each housed in a cryogenic refrigerator.</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Direct QCaaS Distribution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provide access on a commercial basis to our quantum computers over QCS, directly engaging with enterprises and government organizations making significant investments in quantum computing research, development and readiness.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believe many of these customers will have performance, customization and integration requirements best met by our ability to engage deeply, and directly, with these kinds of clients. We believe the Company’s full-stack product development approach, and strategy of forging collaborative customer partnerships, positions the Company to be a highly valued and long-term provider of quantum computing services to these organizations.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To date, these direct customer relationships have been with customers using QCS for general quantum computing research, algorithm development, algorithm benchmarking and software development activities. They represent a cross section of industries, government agencies and partners in the quantum computing ecosystem.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Indirect QCaaS Distribution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are a large and growing number of providers of classical computing services over the cloud. This creates an opportunity for us to efficiently reach a broad set of end-users, indirectly, by partnering with cloud computing service providers, who in turn sell access to our quantum computer systems to their own customers.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indirect distribution model is enabled by the same QCS platform used in the direct distribution model, providing us with powerful business leverage in addressing the needs of customers in different market segments. In this instance, we can capitalize on our full-stack product development capabilities to meet the unique requirements of cloud-service providers. For example, one cloud provider or HPC operator might need deep and high-performance integration with a specific Machine Learning service they provide, while another might desire a fast and easy way for small customers to be introduced to quantum computing.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have signed a distribution agreement with Amazon’s Braket service and Microsoft’s Azure Quantum Service, providing access to our quantum computing systems to AWS and Azure customers. We have also signed a distribution agreement with ORNL, a U.S. government entity that provides state-of-the-art computational infrastructure to government researchers. </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Key Technology Development Partnerships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enter into multi-year development partnerships with organizations that have specialized technical expertise and a strong interest in advancing their understanding and application of quantum computing technology. These partnerships can provide us with deep insight into the unique requirements of market leaders in key industries; advance our engineering and product development capabilities; and lead to the creation of new hardware and software products.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Examples of our development partnerships include contracts with: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Fermilab and the U.S. DOE’s Superconducting Quantum Materials and Systems Center (“SQMS”), to advance the development of scalable and high performance quantum processors;</w:t>
            </w:r>
          </w:p>
        </w:tc>
      </w:tr>
    </w:tbl>
    <w:tbl>
      <w:tblPr>
        <w:tblW w:w="9265" w:type="dxa"/>
        <w:jc w:val="left"/>
        <w:tblInd w:w="0" w:type="dxa"/>
        <w:tblLayout w:type="fixed"/>
        <w:tblCellMar>
          <w:top w:w="28" w:type="dxa"/>
          <w:left w:w="28" w:type="dxa"/>
          <w:bottom w:w="28" w:type="dxa"/>
          <w:right w:w="28" w:type="dxa"/>
        </w:tblCellMar>
      </w:tblPr>
      <w:tblGrid>
        <w:gridCol w:w="124"/>
        <w:gridCol w:w="256"/>
        <w:gridCol w:w="88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2"/>
                <w:sz w:val="20"/>
                <w:shd w:fill="FFFFFF" w:val="clear"/>
              </w:rPr>
            </w:pPr>
            <w:r>
              <w:rPr>
                <w:rFonts w:ascii="Times New Roman;Times;serif" w:hAnsi="Times New Roman;Times;serif"/>
                <w:b w:val="false"/>
                <w:i w:val="false"/>
                <w:caps w:val="false"/>
                <w:smallCaps w:val="false"/>
                <w:spacing w:val="2"/>
                <w:sz w:val="20"/>
                <w:shd w:fill="FFFFFF" w:val="clear"/>
              </w:rPr>
              <w:t>AFRL to harness our fabrication capabilities for quantum networking hardware research and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DARPA and National Aeronautics and Space Administration (“NASA”) to create quantum computing systems, software and algorithms for optimization applications;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Innovate UK, as part of the British government’s effort to accelerate commercialization of quantum computing in the United Kingdom and to pursue practical applications in machine learning, molecular simulation and financial optimization.</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expect to add new development partnerships as the capabilities of our quantum computer systems grow and the market’s readiness and interest in quantum computing continues to mature.</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Rigetti Foundry Services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Rigetti Foundry Services leverages the company’s US-based in-house fabrication facility (“Fab-1”) to deliver superconducting quantum chips to advance and accelerate quantum information science and technology research and development efforts. Customers include researchers spanning academia, defense laboratories, and national laboratories.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center"/>
        <w:rPr/>
      </w:pPr>
      <w:r>
        <w:rPr/>
        <w:drawing>
          <wp:inline distT="0" distB="0" distL="0" distR="0">
            <wp:extent cx="5156200" cy="3403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56200" cy="3403600"/>
                    </a:xfrm>
                    <a:prstGeom prst="rect">
                      <a:avLst/>
                    </a:prstGeom>
                  </pic:spPr>
                </pic:pic>
              </a:graphicData>
            </a:graphic>
          </wp:inline>
        </w:drawing>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A Rigetti employee inspects a silicon wafer with superconducting quantum integrated circuits that was fabricated at Rigetti’s Fab-1 facility.</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Professional Services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certain engagements, we provide professional services that enhance and advance our customers’ ability to consume our core products and services. Our engineers can augment a client’s internal capabilities with expertise in algorithm development, benchmarking, quantum application programming and software development. These fee-based services can enhance our customer’s readiness for quantum, accelerate our customer’s timelines for meaningful discoveries, and increase our depth of knowledge about key application domains and customer requirements for quantum computing in different industries.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Key Applications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Quantum computing is expected to drive value across many different applications and industries. We believe that many of the principal benefits in these areas will spring from four different types of computational problems that are particularly well suited to quantum computing: optimization, machine learning, simulation and quantum mechanical system simulation.</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Optimization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computational properties of a quantum computer inherently support the problem-solving requirements of extremely complex optimization calculations because quantum computers possess the ability to simultaneously evaluate very large numbers of variables, and each additional qubit in a quantum computer exponentially scales our information processing capacity. We believe that quantum computers could allow highly accurate optimization models to be continuously refreshed to reflect the impact of changing conditions on available solutions, ultimately leading to better and more responsive plans and decision-making.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Many of the world’s largest and most valuable industries could potentially benefit from enhanced optimization enabled by quantum computing. In financial services, optimization could be applied to portfolio management, algorithmic trading and risk assessment. In telecommunications, optimization could be applied to call routing and network capacity planning. In manufacturing, optimization could help with workforce, warehouses and supply chain planning. In transport, there are logistics applications like fleet routing, driver scheduling, and package loading and delivery that could benefit from further optimization.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types of problems can quickly overwhelm classical computers due to the large numbers of variables that need to be evaluated, which exponentially scales the computational power required with each additional possibility to be considered. For example, in a vehicle routing problem involving roundtrips to just 10 destinations there can be more than 300,000 permutations to be considered; with 15 destinations, the number of possible routes exceeds 87 billion. If you factor in other real-world considerations such as delivery cost, fleet size, driver availability, or service level agreements, you can see the intractable nature of these kinds of problems in full display.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One of the most active fields of quantum algorithm research is the area of constrained combinatorial optimization. These mathematical equations can arrive at approximate results with a close-to-optimal solution across many possible outcomes-a result that would create high value in many different industries, particularly when the exact solution is unknowable utilizing a classical computer.</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are exploring the application of our quantum computers for high value optimization problems including a partnership with NASA and DARPA for secure dynamic message scheduling using high-demand space and national security assets. </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 September 2023, we were awarded a DARPA project as part of the Imagining Practical Applications for a Quantum Tomorrow (IMPAQT) program to advance the state-of-the-art in quantum algorithms for solving combinatorial optimization problems. Our project, “Scheduling Problems with Efficient Encoding of Qubits” (SPEEQ), seeks to develop a novel and efficient encoding of optimization problems onto qubits, with the goal of enabling larger problems to be mapped to currently available NISQ-era quantum computers. The project will specifically address scheduling problems, which are among the best-known and most pervasive types of combinatorial optimization problems across numerous industries, as well as some of the most challenging to solve.</w:t>
      </w:r>
    </w:p>
    <w:p>
      <w:pPr>
        <w:pStyle w:val="TextBody"/>
        <w:pBd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November 2023, we were awarded Phase 2 of the DARPA Quantum Benchmarking Program to develop benchmarks for quantum application performance on large-scale quantum computers. The goal of the DARPA Benchmarking Program is to create key quantum computing metrics for fault tolerant quantum computing, make those metrics testable, and estimate the required quantum and classical resources needed to reach critical performance thresholds. </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Rigetti was awarded Phase 1 in March 2022. The key output of Phase 1 of this program was the development of a resource estimation framework to provide insight into the requirements of a superconducting quantum computing system necessary for solving large-scale, complex problems. Phase 2 is expected to entail refining and optimizing our estimates for selected utility-scale problems, delivering new upper bounds on these requirements. Another anticipated benefit of this resource estimation framework is to enable a cost benefit analysis into whether the resources needed to run a quantum application will be met by the value of solving the particular problem. A challenge in developing quantum algorithms is understanding how a problem will scale, and at what point a dataset is large or complex enough to benefit from the unique properties of quantum computing. Estimating the amount of time, the number of qubits, and the energy required could accelerate the work towards designing an optimized algorithm. Phase 2 is expected to be heavily focused on researching fault-tolerant quantum applications. Of particular interest are dynamical chemistry simulations and modeling the dynamics of quantum systems.</w:t>
      </w:r>
    </w:p>
    <w:p>
      <w:pPr>
        <w:pStyle w:val="TextBody"/>
        <w:shd w:fill="FFFFFF" w:val="clear"/>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Machine Learning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Machine learning is a well-established field, with broad application, that today is already having a transformative impact on a myriad of markets. The potential market opportunity for machine-learning is currently estimated at $26 billion with expected compound annual growth rates through 2030 of 36%, according to market research from Fortune Business Insights. Boston Consulting Group projects that machine learning applications with fully fault tolerant quantum computers could produce $150 billion to $220 billion globally in annual potential value creation for end users and technology providers by 2050.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At the core of any machine learning application is a series of computations, typically expressed in linear algebra, applied to vast amounts of data in order to do things such as reliably classifying objects and making data-driven predictions. Today, cloud computing and HPC have been the predominant sources of the computational capabilities required to create effective machine learning algorithms, models and data analysis applications.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But the efficiency of HPC-powered machine learning algorithms is limited when faced with richer and larger data sets. For that reason, computer scientists have looked toward the computational promise of quantum computers, and the development of quantum-based algorithms, as a means of both accelerating current machine learning algorithms and creating new approaches that are currently impossible on classical computers.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Given these factors, the emerging field of QML is the focus of much of the current research and development occurring on quantum computers today. We already see emerging machine learning algorithms that take advantage of the unique capabilities of quantum computing to tackle the complex linear algebra problems at the heart of many machine learning tasks. In fact, recent research has emerged demonstrating that quantum algorithms could work better than classical ones for critical machine learning classification problems. As algorithmic research continues to progress, some of these quantum algorithms are improving to the point where their benefits may be realized on smaller scale quantum computers.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Research has also demonstrated the promising application of QML, for Generative Adversarial Networks, (“GANs”), a deep learning technique where a neural network is used to generate highly accurate and new examples that could plausibly have come from an original dataset. The potential utilization of quantum computing for GANs alone is far-reaching and could be impactful in large markets like:</w:t>
      </w:r>
    </w:p>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 for medical image analysis used to detect and categorize tumors and predict their growth;</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discovery - for generating molecular structure candidates for medicines to target or cure diseases;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and banking - for creating models that can detect financial fraud based upon predictive patterns rather than rules determined by previously observed behaviors; and</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Defense and intelligence - for reliably enhancing low resolution satellite imagery into high resolution photography.</w:t>
            </w:r>
          </w:p>
        </w:tc>
      </w:tr>
    </w:tbl>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are examples of our work related to machine learning:</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pacing w:val="2"/>
          <w:sz w:val="20"/>
        </w:rPr>
        <w:t>n November 2023 we were awarded an Innovate UK grant as part of the Feasibility Studies in Quantum Computing Applications competition. Joining us in this work are Amazon Web Services (AWS), Imperial College London, and Standard Chartered. The consortium aims to use quantum computing to improve current classical machine learning techniques used by financial institutions to analyze complex data streams. Financial institutions need to continuously interpret complex data streams to extract information necessary for providing accurate credit risk evaluation, managing market-making services, and predicting emissions in the context of green finance, among other things. Classical machine learning techniques used to assist and provide insights to these services have limitations as these data streams are, in general, complex. Combining quantum computing with classical machine learning methodology could offer more powerful resources for processing these data streams, given the potential for quantum computers to process some types of information more efficiently than with classical resources alone.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pacing w:val="2"/>
          <w:sz w:val="20"/>
        </w:rPr>
        <w:t xml:space="preserve">The aim of the consortium is to address the following research objectives: (1) further develop quantum signature kernels and quantum-enhanced feature maps, (2) benchmark the results against classical machine learning methods for streamed data, and (3) build and study quantum algorithms for computing signatures and signature kernels for long and high-dimensional data streams efficiently. </w:t>
      </w:r>
      <w:r>
        <w:rPr>
          <w:rFonts w:ascii="Times New Roman;Times;serif" w:hAnsi="Times New Roman;Times;serif"/>
          <w:sz w:val="20"/>
        </w:rPr>
        <w:t>In October 2023, we were awarded an Innovate UK grant as part of the Feasibility Studies in Quantum Computing Applications competition. Joining us in this work is HSBC, the Quantum Software Lab (QSL) based at the University of Edinburgh, and the National Quantum Computing Centre (NQCC). Together, the consortium aims to enhance existing anti-money laundering techniques by using quantum machine learning techniques with the goal of improving the performance of current-state-of-the-art machine learning algorithms. Money laundering poses a significant threat to financial institutions and society. Machine learning technology has the power to detect and prevent financial crime by flagging suspicious transactions and adapting to ever-changing criminal behavior. Quantum computing has the potential to enhance existing classical computing workflows, and in turn could offer improved machine learning methods. In this work, the consortium will aim to extend current anomaly detection quantum machine learning models to detect anomalous behavior indicating money laundering.</w:t>
      </w:r>
    </w:p>
    <w:p>
      <w:pPr>
        <w:pStyle w:val="TextBody"/>
        <w:pBdr/>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Simulation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Classical computers have been used for decades in critical applications that model real-world processes or systems in order to study their behaviors over time. These computer-based simulations have had an enormous impact on fields like pharmaceuticals, material science, finance, logistics, aerospace, defense and computer-aided design and engineering.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global market for simulation software alone is projected to grow from $18.1 billion in 2023 to $33.5 billion in 2027 according to Markets &amp; Markets. BCG projects that simulation applications with fully fault tolerant quantum computers could produce $160 billion to $330 billion in annual potential value creation for end users and technology providers over the next 15 to 30 years. Simulations are essentially mathematical models of a system and hence are logical candidates to benefit from quantum computing. Many important systems, such as molecular structures, cannot be accurately modeled due to the level of complexity associated with representing the properties and behaviors of the key elemental components.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believe that quantum computers possess inherent advantages that will allow them to accurately model systems with large numbers of variables that are far outside the reach of classical computers today.</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Quantum Mechanical System Simulations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essential building blocks of nature, whose understanding has been the driver of many breakthrough innovations in pharmaceuticals, healthcare, energy, and material science, are the microscopic systems of molecules, atoms and subatomic particles like electrons and protons. The properties and behaviors of these quantum mechanical systems can be expressed in mathematical rules that have been verified experimentally with high degrees of accuracy, but the complexity associated with such calculations, and their applicability to existing and potential molecular and atomic structures, has proven to be outside the realm of capability for today’s classical computers.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Scientists have not found a way to rapidly and accurately model most quantum mechanical systems on a computational device that itself is not quantum in nature. Conversely, we believe quantum computers have the potential to efficiently model the relevant set of potential interactions between quantum mechanical elements because they natively reflect the essential properties of quantum systems and behaviors like entanglement, superposition and wave functions.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Drug discovery is among the fields where research into the applicability of quantum computing for simulating quantum mechanical systems is producing considerable enthusiasm. With the growing high costs to develop new drugs, a quantum-based approach that could help pharmaceutical companies evaluate thousands of potential compounds for a targeted therapeutic, and avoid failed outcomes in costly clinical trials, would have an enormously positive economic and societal effect. Other high potential impact areas for quantum mechanical simulations include the design of chemical catalysts, computational fluid dynamics in aerospace engineering, and nuclear fusion for clean energy.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several active partnerships with clients developing simulations of quantum mechanical systems.  Two such partnerships are with U.S. DOE agencies for simulation applications in the areas of nuclear fusion and high energy physics.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Technology</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Introduction to Quantum Computing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Quantum computers encode and process data using a new kind of information storing electrical circuit called a quantum bit, or qubit. By leveraging the quantum mechanical principle of superposition, qubits can represent complex mathematical combinations of </w:t>
      </w:r>
      <w:r>
        <w:rPr>
          <w:rFonts w:ascii="Times New Roman;Times;serif" w:hAnsi="Times New Roman;Times;serif"/>
          <w:i/>
          <w:sz w:val="20"/>
        </w:rPr>
        <w:t>both</w:t>
      </w:r>
      <w:r>
        <w:rPr>
          <w:rFonts w:ascii="Times New Roman;Times;serif" w:hAnsi="Times New Roman;Times;serif"/>
          <w:sz w:val="20"/>
        </w:rPr>
        <w:t xml:space="preserve"> zero and one at the same time. In contrast, classical computers are composed of transistors, electronic devices that hold binary zero or one states, therefore requiring billions of transistors in order to execute complex algorithms. This qubit property of superposition creates unique capabilities. By enabling qubits to encode more information than classical bits, it allows for a quantum computer’s power to scale exponentially, rather than linearly as with traditional computers based on transistors. Additionally, it makes it possible to construct algorithms that can evaluate all possible solutions to a problem simultaneously, rather than sequentially as is the case with classical computing. Furthermore, making qubits does not require expensive, continually shrinking lithography in order to improve performance, as transistor-based computers do. Qubits can be made using trailing edge semiconductor tools, so computer performance is decoupled from chip manufacturing cost.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properties enable quantum computers to excel at solving problems with a large number of variables, highly complex and numerous solutions, or strong correlations or interactions. Many of these problems are currently intractable due to the scaling limits of classical computers and thus represent opportunities for computational advancement across many industries, including finance, pharma and biotechnology, energy, logistics, aerospace, defense and intelligence, and basic research and development.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How Quantum Computers Compute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To execute a quantum computation, classical data, which represents the problem to be solved and the algorithm, is translated into control sequences, or quantum logic gates, and applied to the qubits in the quantum computer. These sequences are called quantum circuits. Once the circuit has been executed on the quantum computer, the qubits are measured, resulting in classical data flowing out of the quantum computer and back into classical memory. The level of performance of a quantum computer in executing these circuits and solving computational problems is dictated by many factors. These include the </w:t>
      </w:r>
      <w:r>
        <w:rPr>
          <w:rFonts w:ascii="Times New Roman;Times;serif" w:hAnsi="Times New Roman;Times;serif"/>
          <w:i/>
          <w:sz w:val="20"/>
        </w:rPr>
        <w:t>scale</w:t>
      </w:r>
      <w:r>
        <w:rPr>
          <w:rFonts w:ascii="Times New Roman;Times;serif" w:hAnsi="Times New Roman;Times;serif"/>
          <w:sz w:val="20"/>
        </w:rPr>
        <w:t xml:space="preserve">, or number of qubits available in the quantum processor to encode the problem and algorithm, with more qubits enabling exponentially more complex and challenging problems to be represented; the </w:t>
      </w:r>
      <w:r>
        <w:rPr>
          <w:rFonts w:ascii="Times New Roman;Times;serif" w:hAnsi="Times New Roman;Times;serif"/>
          <w:i/>
          <w:sz w:val="20"/>
        </w:rPr>
        <w:t>fidelity</w:t>
      </w:r>
      <w:r>
        <w:rPr>
          <w:rFonts w:ascii="Times New Roman;Times;serif" w:hAnsi="Times New Roman;Times;serif"/>
          <w:sz w:val="20"/>
        </w:rPr>
        <w:t xml:space="preserve"> of the quantum logic gates from which circuits are composed, which determines how often errors occur when the circuit is executed; the </w:t>
      </w:r>
      <w:r>
        <w:rPr>
          <w:rFonts w:ascii="Times New Roman;Times;serif" w:hAnsi="Times New Roman;Times;serif"/>
          <w:i/>
          <w:sz w:val="20"/>
        </w:rPr>
        <w:t>gate speed</w:t>
      </w:r>
      <w:r>
        <w:rPr>
          <w:rFonts w:ascii="Times New Roman;Times;serif" w:hAnsi="Times New Roman;Times;serif"/>
          <w:sz w:val="20"/>
        </w:rPr>
        <w:t xml:space="preserve">, which shapes the time taken to execute a given circuit; the </w:t>
      </w:r>
      <w:r>
        <w:rPr>
          <w:rFonts w:ascii="Times New Roman;Times;serif" w:hAnsi="Times New Roman;Times;serif"/>
          <w:i/>
          <w:sz w:val="20"/>
        </w:rPr>
        <w:t>co-processing</w:t>
      </w:r>
      <w:r>
        <w:rPr>
          <w:rFonts w:ascii="Times New Roman;Times;serif" w:hAnsi="Times New Roman;Times;serif"/>
          <w:sz w:val="20"/>
        </w:rPr>
        <w:t xml:space="preserve"> technology and integration, which determines the rate at which classical data representing the problem and algorithm can be loaded into the quantum computer, and the rate at which it flows back out upon completion of the circuit execution; and </w:t>
      </w:r>
      <w:r>
        <w:rPr>
          <w:rFonts w:ascii="Times New Roman;Times;serif" w:hAnsi="Times New Roman;Times;serif"/>
          <w:i/>
          <w:sz w:val="20"/>
        </w:rPr>
        <w:t>re-programmability</w:t>
      </w:r>
      <w:r>
        <w:rPr>
          <w:rFonts w:ascii="Times New Roman;Times;serif" w:hAnsi="Times New Roman;Times;serif"/>
          <w:sz w:val="20"/>
        </w:rPr>
        <w:t>, or the speed with which the specific quantum circuit being executed may be updated to move on to the next step in a computational process.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Several candidate physical systems, or modalities, have been proposed or are being pursued, to form the basic physical qubits in quantum computers. These include, first and foremost, the superconducting qubit technology leveraged by us. They also include approaches based on trapped ions, trapped neutral atoms, and photonics. There is a varying degree of promise, potential and risk in building machines capable of meeting the above requirements for broad commercial utility. As outlined below, it is widely believed that superconducting qubit technology is the most mature, the most advanced, and most likely to ultimately lead to broad commercial success.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Requirements for Practical Workloads: Path to Quantum Advantage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Unlocking the broad commercial market for quantum computing calls for quantum computers that are able to solve practical commercial problems better, faster, or cheaper than the best alternative classical computing solution, including even the most powerful supercomputers. This inflection point is referred to as </w:t>
      </w:r>
      <w:r>
        <w:rPr>
          <w:rFonts w:ascii="Times New Roman;Times;serif" w:hAnsi="Times New Roman;Times;serif"/>
          <w:i/>
          <w:sz w:val="20"/>
        </w:rPr>
        <w:t>quantum advantage</w:t>
      </w:r>
      <w:r>
        <w:rPr>
          <w:rFonts w:ascii="Times New Roman;Times;serif" w:hAnsi="Times New Roman;Times;serif"/>
          <w:sz w:val="20"/>
        </w:rPr>
        <w:t xml:space="preserve">. Achieving quantum advantage imposes requirements on the quantum computer itself, the most important of which relate to the above performance factors of </w:t>
      </w:r>
      <w:r>
        <w:rPr>
          <w:rFonts w:ascii="Times New Roman;Times;serif" w:hAnsi="Times New Roman;Times;serif"/>
          <w:i/>
          <w:sz w:val="20"/>
        </w:rPr>
        <w:t>scale</w:t>
      </w:r>
      <w:r>
        <w:rPr>
          <w:rFonts w:ascii="Times New Roman;Times;serif" w:hAnsi="Times New Roman;Times;serif"/>
          <w:sz w:val="20"/>
        </w:rPr>
        <w:t xml:space="preserve">, </w:t>
      </w:r>
      <w:r>
        <w:rPr>
          <w:rFonts w:ascii="Times New Roman;Times;serif" w:hAnsi="Times New Roman;Times;serif"/>
          <w:i/>
          <w:sz w:val="20"/>
        </w:rPr>
        <w:t>fidelity</w:t>
      </w:r>
      <w:r>
        <w:rPr>
          <w:rFonts w:ascii="Times New Roman;Times;serif" w:hAnsi="Times New Roman;Times;serif"/>
          <w:sz w:val="20"/>
        </w:rPr>
        <w:t xml:space="preserve">, </w:t>
      </w:r>
      <w:r>
        <w:rPr>
          <w:rFonts w:ascii="Times New Roman;Times;serif" w:hAnsi="Times New Roman;Times;serif"/>
          <w:i/>
          <w:sz w:val="20"/>
        </w:rPr>
        <w:t>speed</w:t>
      </w:r>
      <w:r>
        <w:rPr>
          <w:rFonts w:ascii="Times New Roman;Times;serif" w:hAnsi="Times New Roman;Times;serif"/>
          <w:sz w:val="20"/>
        </w:rPr>
        <w:t xml:space="preserve">, </w:t>
      </w:r>
      <w:r>
        <w:rPr>
          <w:rFonts w:ascii="Times New Roman;Times;serif" w:hAnsi="Times New Roman;Times;serif"/>
          <w:i/>
          <w:sz w:val="20"/>
        </w:rPr>
        <w:t>co-processing</w:t>
      </w:r>
      <w:r>
        <w:rPr>
          <w:rFonts w:ascii="Times New Roman;Times;serif" w:hAnsi="Times New Roman;Times;serif"/>
          <w:sz w:val="20"/>
        </w:rPr>
        <w:t xml:space="preserve">, and </w:t>
      </w:r>
      <w:r>
        <w:rPr>
          <w:rFonts w:ascii="Times New Roman;Times;serif" w:hAnsi="Times New Roman;Times;serif"/>
          <w:i/>
          <w:sz w:val="20"/>
        </w:rPr>
        <w:t>re-programmability</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b/>
          <w:i/>
          <w:sz w:val="20"/>
        </w:rPr>
        <w:t>Scale</w:t>
      </w:r>
      <w:r>
        <w:rPr>
          <w:rFonts w:ascii="Times New Roman;Times;serif" w:hAnsi="Times New Roman;Times;serif"/>
          <w:sz w:val="20"/>
        </w:rPr>
        <w:t>. In order for quantum computers to solve problems out of reach for classical computers, such as modeling molecules with many electrons in order to enhance drug discovery, they require a significant number of high-performing qubits, likely starting at between a few hundred to 1,000 qubits.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b/>
          <w:i/>
          <w:sz w:val="20"/>
        </w:rPr>
        <w:t>Fidelity</w:t>
      </w:r>
      <w:r>
        <w:rPr>
          <w:rFonts w:ascii="Times New Roman;Times;serif" w:hAnsi="Times New Roman;Times;serif"/>
          <w:sz w:val="20"/>
        </w:rPr>
        <w:t>. A gate fidelity estimates the reliability of an operation. For instance, a two-qubit gate with a gate fidelity of 99% means that 99 out of 100 times the operation will provide the correct result. Errors can be caused by imperfect control, natural manufacturing variations, finite qubit lifetimes (coherence) or other sources. Overall, high fidelities of over 99% are likely necessary to enable performance benefits on practical workloads. An error per operation is defined as (1-fidelity).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b/>
          <w:i/>
          <w:sz w:val="20"/>
        </w:rPr>
        <w:t>Speed</w:t>
      </w:r>
      <w:r>
        <w:rPr>
          <w:rFonts w:ascii="Times New Roman;Times;serif" w:hAnsi="Times New Roman;Times;serif"/>
          <w:sz w:val="20"/>
        </w:rPr>
        <w:t>. Speed is a crucial metric for all types of computers, both quantum and classical. Since quantum algorithms are ultimately composed of logic gates applied sequentially to qubits in a quantum computer, the speed with which these gates can be executed translates directly into processing speed and workload throughput. Therefore, faster quantum processing speeds can result in a larger number of addressable problems and larger market opportunity, as well as a more direct path to outperforming classical alternatives and a higher intrinsic revenue potential per unit time.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b/>
          <w:i/>
          <w:sz w:val="20"/>
        </w:rPr>
        <w:t>Co-processing</w:t>
      </w:r>
      <w:r>
        <w:rPr>
          <w:rFonts w:ascii="Times New Roman;Times;serif" w:hAnsi="Times New Roman;Times;serif"/>
          <w:sz w:val="20"/>
        </w:rPr>
        <w:t>. Hybrid architectures that leverage quantum computers as co-processors, pioneered by us since the company’s inception, have now become widely adopted in the quantum computing industry. Quantum co-processing delivered over the cloud, such as Rigetti Quantum Cloud Services platform, is the predominant framework for building and using quantum computers today. In this paradigm, quantum processors are tightly integrated with classical computing systems and infrastructure to ensure the rate of data flowing in and out of the quantum processor can meet the needs of commercial applications. Effective implementation of co-processing hinges on both the intrinsic technological features of the specific qubit technology, as well as product innovations and system architectures aimed to prioritize this capability. For example, just as in classical computing architecture, fast gate speeds, coupled with a network architecture that achieves low network latency for data flow, are some requirements for high performance co-processing.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b/>
          <w:i/>
          <w:sz w:val="20"/>
        </w:rPr>
        <w:t>Reprogrammability</w:t>
      </w:r>
      <w:r>
        <w:rPr>
          <w:rFonts w:ascii="Times New Roman;Times;serif" w:hAnsi="Times New Roman;Times;serif"/>
          <w:sz w:val="20"/>
        </w:rPr>
        <w:t>. Reprogrammable quantum computers are general purpose machines that should be able to run any quantum algorithm, provided the machine has the scale, fidelity, and other attributes needed to support the particular problem instance. While gate-model quantum computers, such as those made by us, IBM, IonQ and Google, are typically reprogrammable, different technology approaches and architecture choices lead to varying constraints in applying this capability in a practical setting. Specifically, the ability to dynamically reprogram the quantum processor during the execution of a quantum circuit or within the coherence time of its qubits is of particular importance for many anticipated applications and use cases.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While research and development funding and investments into quantum computing have accelerated, we believe that long-term commercial demand for quantum computing systems hinges on the ability to meet the above criteria for running practical workloads. Multiple quantum hardware modalities are being pursued. Among these, we believe the superconducting qubit is the only such modality that has, to date, demonstrated viability across all these requisite metrics.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Our Superconducting Quantum Processors</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Introduction to Superconducting Qubits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build and operate quantum computers based on superconducting qubits. Superconducting qubits are silicon-based electronic devices that encode information in quantum states associated with currents and voltages. Superconducting qubits benefit from the fact that their basic properties can be engineered through well-established semiconductor industry design and manufacturing techniques. This enables chip design and architecture tradeoffs to be made to overcome various practical constraints in building commercial quantum computing systems. They are also improving along these key metrics faster than approaches based on other qubit modalities, such as ion traps, photonics and neutral atoms. As an example, in June 2011, the largest algorithms demonstrated on programmable, gate model quantum computers across these modalities were in the range of a few qubits. In the ensuing eleven-year period from 2012 to 2023, superconducting systems have successfully scaled up to the range of 80 or more qubits, including demonstrations of quantum supremacy. This rate of scaling has easily outpaced other approaches. We believe this leadership results in part from an intrinsic advantage: superconducting qubits have many inherent similarities to traditional silicon-based chips. As a result, progress in superconducting quantum computers may be achieved by leveraging the existing capabilities - expertise, technologies, workforces, and supply chains, for example - of the semiconductor manufacturing industry, rather than needing to establish such capabilities anew.</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Rigetti Quantum Processors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Rigetti quantum processors are based on transmon-style superconducting qubits. Quantum logic gates are actuated by applying electronic signals to the qubits. Chips are packaged, connected to input and output circuitry, and operated in a low-temperature environment. Control and readout signals are generated and processed in a control system operating at room temperature. This control system is subsequently integrated with, or networked into, auxiliary classical computing hardware to enable co-processing system requirements. Our competitive advantage begins at the chip level and extends through the full-stack, with a distinct focus on fabricating scalable hardware meeting the requirements for practical workloads.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Scale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Achieving the scale of quantum processor needed for practical workloads is perhaps the hardest requirement of all. To address this, we have developed a unique patented and patent-pending multi-chip quantum processor technology. This approach leverages techniques long used in classical computer microprocessors and memory (“RAM”). Our scalable processor architecture enables multiple core processor chips, each having many qubits, within a multi-chip assembly to function cohesively as a single, large quantum computer-without introducing additional error sources, network latency or other overhead. Using our modular chip architecture, larger quantum processors may be constructed by assembling more core processors together. From a manufacturing perspective, this enables a single type of core processor chip to support multiple quantum processor generations of increasing scale and performance. We believe that this solution facilitates rapid scaling and can enable even faster development cycles in future chip generations.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to accelerating the pace of scaling, we believe our proprietary modular chip architecture has significant manufacturability and cost benefits. For example, rather than producing large, complex individual chips with 1,000 qubits, we may fabricate 10 chips with 100 qubits each, and use our multi-chip technology to assemble them together to produce a 1,000 qubit quantum processor. This solution makes it much easier to produce large processor chips with high yield. As a result, we believe our modular approach to be fundamentally more manufacturable, predictable, and scalable.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multi-chip technology incorporates several advances in integrated circuit design, architecture, and silicon device manufacturing. These advances include superconducting multi-chip bonding technology for chip-level 3D integration, superconducting through-silicon via process technology and interchip coupling technology that enables high-fidelity two-qubit logic gates between qubits disposed on different silicon dies. These innovations have resulted from our investment in more than five years of technology development to establishing the essential capabilities to produce quantum processors meeting the requirements for broad commercial utility. We believe our approach to scaling quantum computers will accelerate us toward quantum advantage systems.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drawing>
          <wp:inline distT="0" distB="0" distL="0" distR="0">
            <wp:extent cx="5683250" cy="4464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83250" cy="4464050"/>
                    </a:xfrm>
                    <a:prstGeom prst="rect">
                      <a:avLst/>
                    </a:prstGeom>
                  </pic:spPr>
                </pic:pic>
              </a:graphicData>
            </a:graphic>
          </wp:inline>
        </w:drawing>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Rigetti’s proprietary multi-chip architecture enables larger quantum processors to be constructed by assembling individual chips together, thereby supporting multiple quantum processor generations of increasing scale and performance.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b/>
          <w:i/>
          <w:sz w:val="20"/>
        </w:rPr>
        <w:t>Fab-1</w:t>
      </w:r>
      <w:r>
        <w:rPr>
          <w:rFonts w:ascii="Times New Roman;Times;serif" w:hAnsi="Times New Roman;Times;serif"/>
          <w:sz w:val="20"/>
        </w:rPr>
        <w:t>. We have developed, own and operate the distinctive manufacturing capabilities needed to produce quantum processors in our proprietary scalable architecture. In 2017, we became the first company to build a dedicated and integrated Fab for producing quantum processors. In addition to vertically integrating the process capabilities to produce our proprietary chips, Fab-1 delivers a high mix of development chips to internal teams. This in-house fabrication capability allows for rapid design-fab-test cycles of learning, enabling an innovation cycle we estimate to be two to five times faster than a typical MEMS or semiconductor foundry. In Fab-1, our engineers focus their efforts on rapidly exploring, then optimizing new chip designs and establishing repeatable manufacturing processes. Fab-1 also includes semi-automated chip testing and characterization capabilities. Additionally, by leveraging traditional semiconductor tools and processes, Fab-1 builds on expertise from the existing semiconductor industry, a distinct advantage over other qubit modalities. This in-house fab capability has enabled us to accumulate the hands-on experience and intellectual property, including know-how, patents, and trade secrets, to produce quantum computer chips within our scalable, proprietary architecture. Furthermore, we believe Fab-1 has enough wafer capacity to supply all of our chip needs for at least the next three years.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b/>
          <w:i/>
          <w:sz w:val="20"/>
        </w:rPr>
        <w:t>Cooling</w:t>
      </w:r>
      <w:r>
        <w:rPr>
          <w:rFonts w:ascii="Times New Roman;Times;serif" w:hAnsi="Times New Roman;Times;serif"/>
          <w:sz w:val="20"/>
        </w:rPr>
        <w:t xml:space="preserve">. Like all high-performance computing systems, Rigetti quantum computers require an advanced cooling system. In this case, commercially available dilution refrigerators maintain chip temperatures at around 0.02 Kelvin. Cooling power requirements and associated electricity costs will scale approximately linearly with qubit count, while expected computational utility increases exponentially.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we expect the electricity costs to run the cooling systems of our quantum computers to make up an ever-decreasing fraction of the overall revenue generated from each machine. In addition, we work closely with refrigerator vendors and anticipate the commercial availability of dilution refrigerator systems with the capabilities to support our product roadmap.</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Fidelity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Improvements to the coherence times of superconducting qubits, combined with methods for ever-faster and more precise quantum logic gates, have kept superconducting qubits on a pace of continuous fidelity improvement for approximately two decades. Over the last several years, algorithms have been developed on processors with average two-qubit gate fidelities of 95-98%. As processors scale to broad quantum advantage, fidelity will need to improve, likely to 99% and beyond.</w:t>
      </w:r>
    </w:p>
    <w:p>
      <w:pPr>
        <w:pStyle w:val="TextBody"/>
        <w:pBd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focused on delivering advances to fidelity through a systematic engineering approach centered on our design-fab-test flywheel powered by our in-house design and manufacturing. Uniquely, our modular processor technology enables improvements to fidelity to be achieved separately from efforts to increase scale; fidelity advancements can be developed on the individual core processor chips, and these improvements can be rapidly integrated into scaled processors through our multi-chip integration technology.</w:t>
      </w:r>
    </w:p>
    <w:p>
      <w:pPr>
        <w:pStyle w:val="TextBody"/>
        <w:pBdr/>
        <w:shd w:fill="FFFFFF" w:val="clear"/>
        <w:bidi w:val="0"/>
        <w:spacing w:before="40" w:after="0"/>
        <w:ind w:left="0" w:right="0" w:firstLine="540"/>
        <w:jc w:val="both"/>
        <w:rPr>
          <w:rFonts w:ascii="Times New Roman;Times;serif" w:hAnsi="Times New Roman;Times;serif"/>
          <w:sz w:val="20"/>
        </w:rPr>
      </w:pPr>
      <w:r>
        <w:rPr>
          <w:rFonts w:ascii="Times New Roman;Times;serif" w:hAnsi="Times New Roman;Times;serif"/>
          <w:sz w:val="20"/>
        </w:rPr>
        <w:t>Our 84-qubit Ankaa™-2 quantum system was made publicly available to customers via our QCS on December 20, 2023. The Ankaa-2 system is based on our fourth generation chip architecture that features tunable couplers and a square lattice, enabling high fidelity 2-qubit operations compared to our previous systems. Ankaa-2 is also our highest qubit count quantum processing unit (QPU) available to the public.</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Following the internal deployment of Ankaa-1 in March 2023, we made iterative improvements through internal R&amp;D to support enhancements to Ankaa-2. As a result, Ankaa-2 achieved a 2% median 2-qubit gate error rate — less than half the error rate of our previous systems. These fidelity improvements can be attributed to a variety of technology updates to the Ankaa-2 system:</w:t>
      </w:r>
    </w:p>
    <w:p>
      <w:pPr>
        <w:pStyle w:val="TextBody"/>
        <w:bidi w:val="0"/>
        <w:spacing w:before="280" w:after="283"/>
        <w:ind w:left="547" w:right="0" w:hanging="0"/>
        <w:jc w:val="both"/>
        <w:rPr>
          <w:shd w:fill="FFFFFF" w:val="clear"/>
        </w:rPr>
      </w:pPr>
      <w:r>
        <w:rPr>
          <w:shd w:fill="FFFFFF" w:val="clear"/>
        </w:rPr>
        <w:t>●</w:t>
      </w:r>
      <w:r>
        <w:rPr>
          <w:rFonts w:ascii="Times New Roman;Times;serif" w:hAnsi="Times New Roman;Times;serif"/>
          <w:sz w:val="20"/>
          <w:shd w:fill="FFFFFF" w:val="clear"/>
        </w:rPr>
        <w:t>Implementation of a new chip fabrication process, leading to qubits with fewer atomic defects that would otherwise reduce quantum coherence times;</w:t>
      </w:r>
    </w:p>
    <w:p>
      <w:pPr>
        <w:pStyle w:val="TextBody"/>
        <w:bidi w:val="0"/>
        <w:spacing w:before="0" w:after="283"/>
        <w:ind w:left="547" w:right="0" w:hanging="0"/>
        <w:jc w:val="both"/>
        <w:rPr>
          <w:shd w:fill="FFFFFF" w:val="clear"/>
        </w:rPr>
      </w:pPr>
      <w:r>
        <w:rPr>
          <w:shd w:fill="FFFFFF" w:val="clear"/>
        </w:rPr>
        <w:t>●</w:t>
      </w:r>
      <w:r>
        <w:rPr>
          <w:rFonts w:ascii="Times New Roman;Times;serif" w:hAnsi="Times New Roman;Times;serif"/>
          <w:sz w:val="20"/>
          <w:shd w:fill="FFFFFF" w:val="clear"/>
        </w:rPr>
        <w:t>Incorporation of new superconducting PCB technology that improves thermal performance; and</w:t>
      </w:r>
    </w:p>
    <w:p>
      <w:pPr>
        <w:pStyle w:val="TextBody"/>
        <w:bidi w:val="0"/>
        <w:ind w:left="547" w:right="0" w:hanging="0"/>
        <w:jc w:val="both"/>
        <w:rPr>
          <w:shd w:fill="FFFFFF" w:val="clear"/>
        </w:rPr>
      </w:pPr>
      <w:r>
        <w:rPr>
          <w:shd w:fill="FFFFFF" w:val="clear"/>
        </w:rPr>
        <w:t>●</w:t>
      </w:r>
      <w:r>
        <w:rPr>
          <w:rFonts w:ascii="Times New Roman;Times;serif" w:hAnsi="Times New Roman;Times;serif"/>
          <w:sz w:val="20"/>
          <w:shd w:fill="FFFFFF" w:val="clear"/>
        </w:rPr>
        <w:t>Electronics improvements that generate control signals with less noise.</w:t>
      </w:r>
    </w:p>
    <w:p>
      <w:pPr>
        <w:pStyle w:val="TextBody"/>
        <w:pBdr/>
        <w:shd w:fill="FFFFFF" w:val="clear"/>
        <w:bidi w:val="0"/>
        <w:spacing w:before="280" w:after="0"/>
        <w:ind w:left="0" w:right="0" w:firstLine="540"/>
        <w:jc w:val="both"/>
        <w:rPr>
          <w:rFonts w:ascii="Times New Roman;Times;serif" w:hAnsi="Times New Roman;Times;serif"/>
          <w:sz w:val="20"/>
        </w:rPr>
      </w:pPr>
      <w:r>
        <w:rPr>
          <w:rFonts w:ascii="Times New Roman;Times;serif" w:hAnsi="Times New Roman;Times;serif"/>
          <w:sz w:val="20"/>
        </w:rPr>
        <w:t xml:space="preserve">Improving our median 2-qubit fidelities is a crucial part of our mission to build the world’s most powerful computers. Useful quantum computers will need not only a large number of qubits, but also high-quality qubits. Reaching 98% fidelity on the Ankaa-2 system based on our internal testing is the result of years of innovation and commitment from our teams across the technology stack. </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already designed and deployed a modular architecture, tiling multiple chips together demonstrating what we believe is the way forward towards building larger systems. We believe a densely connected square lattice with tunable couplers that allows us to control qubit interactions is the foundation for driving qubit performance. We believe a 2.5x increase in error performance against our previous QPUs, increasing our fidelities by 3%, coupled with our scaling approach, shows that we have a promising strategy for building increasingly higher performing QPUs to help our customers solve their most pressing problems.</w:t>
      </w:r>
    </w:p>
    <w:p>
      <w:pPr>
        <w:pStyle w:val="TextBody"/>
        <w:bidi w:val="0"/>
        <w:spacing w:before="280" w:after="240"/>
        <w:ind w:left="0" w:right="0" w:firstLine="540"/>
        <w:jc w:val="both"/>
        <w:rPr>
          <w:rFonts w:ascii="Times New Roman;Times;serif" w:hAnsi="Times New Roman;Times;serif"/>
          <w:sz w:val="20"/>
        </w:rPr>
      </w:pPr>
      <w:r>
        <w:rPr>
          <w:rFonts w:ascii="Times New Roman;Times;serif" w:hAnsi="Times New Roman;Times;serif"/>
          <w:sz w:val="20"/>
        </w:rPr>
        <w:t>As development has progressed, we continue to see high two-qubit gate fidelities around 99% on test devices.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Speed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One of the strengths of superconducting qubit technology, and our technology in particular, is that gate operations on superconducting processors are faster than other commercially available modalities today.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speed of gate operations in superconducting qubits are determined by the intentional design of circuit elements on-chip and their optimized parameters, rather than relying on atomic properties. Our slowest class of gate operations, two-qubit entangling gates, have a median duration of less than 200 nanoseconds. Moreover, for future computer systems from us, high quality entangling gates as fast as 36 nanoseconds have recently been achieved through the introduction of an additional circuit element to tune the interaction strength between qubits, showcasing the value of engineered approaches. We believe that superconducting processors’ speed advantage will result in a larger market for superconducting quantum computers compared to other modalities, as there are a multitude of high value use cases that require timely results, such as real-time decision making, risk calculations, and more. As in conventional computing, faster gate speeds also equate to higher throughput in commercial deployment and therefore greater potential revenue opportunity.</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Co-processing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It is widely believed that unlocking the commercial value of quantum computing requires quantum computers to be tightly integrated with classical computing systems and technology. High-performance co-processing integration accelerates the path to quantum advantage by enabling both quantum and classical computing resources to work in tandem to address computational bottlenecks best suited to their particular strengths. This approach also facilitates adoption and usability by end users who are more familiar with classical programming. The inherent speed with which superconducting processors can execute circuits and be dynamically re-programmed makes them ideally suited to high-speed co-processing integration. Other modalities have not demonstrated the gate speeds necessary to support high-performance co-processing.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invented and patented capabilities at the hardware and software level, such as parametric code compilation, to enable high performance co-processing on a cloud platform. Parametric code compilation supports running faster hybrid algorithms through memory registers shared between classical programs and embedded logic on a QPU control system. This means that users can run algorithms without incurring latency that would otherwise be caused by updating parameters at each step.</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Reprogrammability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systems are dynamically reprogrammable. Instructions are streamed into the quantum computer or updated within the execution time of the quantum logic circuit. This allows our machines to effectively run both the hybrid variational algorithms that underpin current use cases and quantum error correction routines in future systems. In a production setting, dynamic reprogrammability translates to higher customer job throughput per unit time. Since many applications are expected to require streamed data processing or error correction, we believe this dynamic reprogrammability is central to unlocking the full market potential of quantum computing systems, especially in comparison to alternative modalities that are unable to implement high speed re-programming.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quantum computers are orchestrated with a control system operated at room temperature. In our architecture, reprogramming the quantum processor occurs exclusively within this control system. Unlike photonics, for example, reprogramming the system to run a new quantum circuit does not require slow on-chip updates, but only requires changes to the sequence of signals applied to the chip. Our QPUs today support dynamic programming protocols within microsecond feedback loops. For example, re-setting registers of qubits conditional on the outcomes of previous measurements, can increase overall quantum circuit throughput by 5x relative to non-dynamic implementations of the same workload.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QPU control system includes hardware for networking, classical microprocessors, FPGAs for control and readout pulse sequencing, and analog signal processing. The integrated system is designed and built to meet the requirements for co-processing and reprogrammability over the cloud.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capability enables high-speed data flow within the quantum processor, and between the quantum processor and auxiliary classical compute and networking infrastructure. Our systems are thus enabled for high-performance hybrid quantum-classical computing, the implementation of high-throughput quantum programs for practical workloads, and the dynamic control flow and feedback that underpins practical quantum error correction. The control system drives the quantum processor, calibrates and operates gates, and measures qubit states at the end of a computation.</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Quantum Error Correction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Direct improvements to qubits and gate fidelities are currently the primary means of advancing the performance of quantum computers. However, at the scale of a few hundred qubits and beyond, a method called quantum error correction can be applied to further accelerate this rate of progress.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quantum error correction, a large number of individual physical qubits can be transformed, through repeated application of gate and readout operations designed to detect and fix physical errors, into single “logical” qubits, whose properties are exponentially improved relative to the constituent physical qubits. While the methodology of quantum error correction is well-established in the field of quantum computing, systems capable of running such codes at a commercially useful scale are not currently available. Eventually, solving certain classes of problems will require the ability to compute with tens to hundreds or even thousands of logical qubits. This makes the ability to build large qubit count processors at this commercial scale an even more crucial capability.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Additionally, because errors must be identified at a specific physical location within the quantum processor in order to be corrected, those errors must also be well-localized within small regions of the quantum processor. For example, a qubit in one region must not induce errors on some distant qubit, but rather be constrained to influencing errors on nearby qubits. This essential requirement underpins modern quantum error correction theory and practice.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Turning to the processor’s physical qubit array, the necessity of localizing errors has led to the predominance of nearest-neighbor connectivity graphs in quantum processor design. Our quantum processors meet these essential requirements with a nearest-neighbor, planar connectivity graph. Planar codes are expected to show a high error threshold of approximately 1% error probability per operation. This means that if error rates are below the required threshold (e.g. 1%), then increasing the redundancy (</w:t>
      </w:r>
      <w:r>
        <w:rPr>
          <w:rFonts w:ascii="Times New Roman;Times;serif" w:hAnsi="Times New Roman;Times;serif"/>
          <w:i/>
          <w:sz w:val="20"/>
        </w:rPr>
        <w:t>i.e.</w:t>
      </w:r>
      <w:r>
        <w:rPr>
          <w:rFonts w:ascii="Times New Roman;Times;serif" w:hAnsi="Times New Roman;Times;serif"/>
          <w:sz w:val="20"/>
        </w:rPr>
        <w:t>, the number of physical qubits making up a single logical qubit) results in an exponential reduction in logical error. In other words, adding a small number of additional physical qubits per logical qubit will provide exponential improvements. Notably, codes for other modalities, such as Bacon-Shor codes for trapped ion qubits, lack such a threshold behavior and is one reason why we believe superconducting quantum computers to be superior to trapped ion modalities.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aim to deliver the physical qubit count needed, with the requisite nearest-neighbor connectivity, to enable developers and customers to benefit from this exponential error reduction. In contrast to known approaches for other qubit modalities, our systems are expected to be able to run the same code family at multiple different levels of redundancy without requiring additional complexity such as code concatenation. This approach enables developers to scale the effective error rate and associated overheads up and down as dictated by their use-case requirements. For example, the smallest surface code logical qubit for superconducting processors is 17:1 physical qubits to logical qubits, in comparison to 16:1 for trapped ions. However, for complex applications, the ability to pack more physical qubits into the code (such as 100:1 or 1000:1) is critical because it allows developers to further reduce errors for algorithms based on many quantum gates where errors are more likely to accumulate. In comparison to trapped ions, we believe superconducting processors are better positioned to scale up to the large number of qubits required to run these valuable large codes while also having the fast gate speeds for them to be useful.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processor architecture, software tools, and cloud services platform are designed to enable users and partners to directly construct, test and deploy error correction and error mitigation protocols, and to tailor such codes to specific computational tasks through software. This capability is enabled by the re-programmability, co-processing integration, and system design we have established.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intellectual property portfolio plays a strategic role in advancing our innovation and leadership in quantum computing.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patent portfolio seeks to protect our current developments and the intellectual property space for the company’s technology roadmap and anticipated areas of development. We rely upon a combination of protections afforded to owners of patents, copyrights, trade secrets, and trademarks, along with confidentiality and proprietary rights agreements with employees, consultants, contractors, vendors and business partners to establish and protect our intellectual property rights.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the date hereof, we have 84 patents issued and 106 patents pending that are designed to protect our full-stack technology across hardware, software, and services. These patents cover a broad range of key technology areas of the business including (i) quantum computing systems, software and access; (ii) quantum processor hardware; (iii) algorithms and applications for problem solving; and (iv) chip design &amp; fabrication.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pursue international registration of our domain names and trademarks. We are the registered holder of a variety of domain name registrations, including “rigetti.com.” Our trademark registrations include “Rigetti” in the US, U.K. and EU.</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Sales &amp; Marketing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this period of eQA, our go-to-market strategy is focused on being a leader in the key market segments driving the early application of quantum computing. Our sales and marketing efforts are focused on technology development and distribution partnerships with the leading organizations in these markets. In the U.S. government, for example, the Department of Defense, the DOE, AFRL and the Intelligence Community have each been making significant investments in quantum computing, and we have technology development partnerships with leading agencies and national laboratories. We are pursuing similar arrangements with customers in other important vertical market segments, like finance, where we are developing specific expertise in several application areas and are collaborating with Nasdaq, HSBC and Standard Chartered Bank. We also have distribution relationships with customers like Amazon Web Services, Microsoft, ORNL and Strangeworks.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our reorganization announced in February 2023, we reduced our investment and expenses in sales and marketing to focus our resources on technology development. As we work to develop new generations of our hardware with the goal of continuing to scale and achieve nQA and then BQA, we anticipate increasing our investment and expenses in both sales and marketing in the future to expand the number of enterprise companies buying our QPUs and directly licensing our QCS platform.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Customers &amp; Key Partners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believe that the realization of quantum computing’s promise requires strong relationships across an ecosystem of innovative and quantum-committed organizations and have been developing commercial relationships and collaborative partnerships with organizations that possess a keen understanding of specific industry problems and deep technical expertise in key scientific and engineering disciplines.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To date, we have focused on developing a range of client relationships and research partnerships with: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Enterprise-sized organizations working on quantum-assisted breakthroughs in applications areas like drug discovery, network optimization, financial modeling, weather forecasting and fusion energy like NASA, Nasdaq, Standard Chartered Bank, HSBC, AFRL, the U.S. DOE and certain military branches within the U.S. Department of Defense;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science researchers and quantum algorithm developers at renowned laboratories like Fermilab, Lawrence Livermore National Laboratory, MIT Lincoln Laboratory, NASA Quantum Artificial Intelligence Laboratory and ORNL;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Quantum-focused software and algorithm companies like 1Qbit, Phasecraft, Riverlane, Q-CTRL and Zapata;</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Cloud service providers like Amazon Web Services and Microsoft Azure;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We also enter into multi-year technology development partnerships with organizations that possess specialized technical expertise and strong interests in advancing the development of quantum computing (as referenced in </w:t>
            </w:r>
            <w:r>
              <w:rPr>
                <w:rFonts w:ascii="Times New Roman;Times;serif" w:hAnsi="Times New Roman;Times;serif"/>
                <w:b w:val="false"/>
                <w:i/>
                <w:sz w:val="20"/>
              </w:rPr>
              <w:t>Business - Key Technology Development Partnerships</w:t>
            </w:r>
            <w:r>
              <w:rPr>
                <w:rFonts w:ascii="Times New Roman;Times;serif" w:hAnsi="Times New Roman;Times;serif"/>
                <w:b w:val="false"/>
                <w:i w:val="false"/>
                <w:caps w:val="false"/>
                <w:smallCaps w:val="false"/>
                <w:sz w:val="20"/>
              </w:rPr>
              <w:t>). These organizations include DARPA, SQMS, and Innovate UK.</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years ended December 31, 2023 and December 31, 2022, sales to U.S. government entities comprised 80.9% and 81.3% of the Company’s total revenue,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quantum computing market is evolving and highly competitive. With the introduction of new innovations and the potential entry of new competitors into the market, we expect competition to increase in the future, which could harm our business, results of operations, or financial condition.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current and prospective competitors include companies engaged in the research, development, and operation of quantum computing capabilities. Major companies now developing both quantum hardware and software include IBM, Google, Microsoft, IonQ, D-Wave, Quantinuum, PsiQuantum, Xanadu and ColdQuanta. In addition, because of the importance of quantum computing, most large public cloud providers and traditional chip makers are researching and investing in quantum computing initiatives, in some cases seeking to build quantum computers. For example, Amazon and Intel are engaged in the research and development of quantum computers. A number of development-stage companies are also seeking to build quantum computers, quantum software and applications, and quantum cloud computing services.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believe our primary direct competition will come from other companies building or seeking to build universal, gate-model quantum computing systems that can meet the requirements for solving commercial problems. We believe competition will be based on a number of factors, including: different approaches to building quantum computers; quantum computer system performance, including scale, speed, and fidelity; system accessibility and ease of use; supported software and applications; compatibility with existing classical workflows; rate of technological innovation; ability to create value through long-term partnerships; end-user support and customer experience; solutions and insight delivery; price; brand recognition and trust; financial resources; and access to key personnel.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believe that we are favorably positioned to compete on the basis of these factors. However, we face various risks relating to competition as described in “</w:t>
      </w:r>
      <w:r>
        <w:rPr>
          <w:rFonts w:ascii="Times New Roman;Times;serif" w:hAnsi="Times New Roman;Times;serif"/>
          <w:i/>
          <w:sz w:val="20"/>
        </w:rPr>
        <w:t>Risk Factors-Risks Related to Rigetti’s Business and Industry-The quantum computing industry is competitive on a global scale and Rigetti may not be successful in competing in this industry or establishing and maintaining confidence in our long-term business prospects among current and future partners and customers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Regulatory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U.S. government contracts, grants, and agreements are subject to regulations and procurement laws. The majority of our current programs are subject to Title 2 of the Code of Federal Regulations, covering Grants and Agreements. We also perform programs authorized under Other Transaction Authority and the Federal Acquisition Regulation. Several of our agreements are also subject to agency level acquisition regulation supplements, including the Defense Federal Acquisition Regulation Supplement and the Department of Energy Acquisition Regulation. These regulations mandate uniform policies and procedures for the administration of government funded programs. This includes requiring compliance with eligibility and responsibility requirements, contractor qualifications, financial and reporting requirements, as well as subjecting the company to audits and to other government reviews covering issues such as cost, performance, internal controls and accounting practices.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Employees &amp; Core Values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deep and talented workforce is the key to our success. As of March 1, 2024, we employ 134 people globally, the majority of whom are employed in areas of quantum physics, chip and hardware engineering and software development. Most of our employees are based in the United States with the remainder based in the United Kingdom, Australia and Canada. In addition, we also engage a small number of consultants and contractors to enhance our research and development and selling general and administrative areas of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To date, we have not experienced any work stoppages and maintain good working relationships with our employees. None of our employees are subject to a collective bargaining agreement or are represented by labor unions at this time.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Rigetti Computing, Inc., formerly known as Supernova Partners Acquisition Company II, Ltd. (“Supernova”), was incorporated on December 22, 2020 as a Cayman Islands exempted company and a special purpose acquisition company.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October 6, 2021, Supernova entered into an Agreement and Plan of Merger (the “Merger Agreement”) with Supernova Merger Sub, Inc., a Delaware corporation and a direct wholly owned subsidiary of Supernova (“First Merger Sub”), Supernova Romeo Merger Sub, LLC, a Delaware limited liability company and a direct wholly owned subsidiary of Supernova (“Second Merger Sub”) and Rigetti Holdings, Inc., a Delaware corporation (“Legacy Rigetti”). Pursuant to the Merger Agreement, on March 1, 2022, Supernova effected a domestication after which it continues as a Delaware corporation, changing its name to “Rigetti Computing, Inc.”</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March 2, 2022, pursuant to the Merger Agreement, First Merger Sub merged with and into Legacy Rigetti, the separate corporate existence of First Merger Sub ceasing and Legacy Rigetti being the surviving corporation (the “Surviving Corporation” and, such merger, the “First Merger”) and (ii) immediately following the First Merger, the Surviving Corporation merged with and into the Second Merger Sub, with the separate corporate existence of the Surviving Corporation ceasing and the Second Merger Sub being the surviving entity and changing its name to “Rigetti Intermediate LLC”.</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principal executive offices are located at 775 Heinz Avenue, Berkeley, CA 94710 and our telephone number is (510) 210-5550.</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corporate website address is www.rigetti.com. We make available on our website, free of charge, our Annual Reports on Form 10-K, our Quarterly Reports on Form 10-Q and our Current Reports on Form 8-K and any amendments to those reports filed or furnished pursuant to Section 13(a) or 15(d) of the Exchange Act, as soon as reasonably practicable after we electronically file such material with, or furnish it to, the Securities and Exchange Commission (the “SEC”). The SEC maintains a website that contains reports, proxy and information statements and other information regarding our filings at www.sec.gov. We use our corporate website as a channel of distribution of material company information. For example, financial and other material information regarding our company is routinely posted on and accessible on our website. Accordingly, investors should monitor this channel, in addition to following our press releases, SEC filings and public conference calls and webcasts. The information found on our website is not incorporated by reference into this Annual Report on Form 10-K or any other report we file with or furnish to the SEC.</w:t>
      </w:r>
    </w:p>
    <w:p>
      <w:pPr>
        <w:pStyle w:val="TextBody"/>
        <w:bidi w:val="0"/>
        <w:spacing w:before="0" w:after="0"/>
        <w:ind w:left="0" w:right="0" w:hanging="0"/>
        <w:jc w:val="both"/>
        <w:rPr/>
      </w:pPr>
      <w:bookmarkStart w:id="52" w:name="PARTI_612240"/>
      <w:bookmarkStart w:id="53" w:name="Item1Business_2418"/>
      <w:bookmarkEnd w:id="52"/>
      <w:bookmarkEnd w:id="53"/>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4" w:name="Item1ARiskFactors_497655"/>
      <w:bookmarkStart w:id="55" w:name="_dcadec17_20e8_4658_a6e9_de7f9244cb7b"/>
      <w:bookmarkEnd w:id="54"/>
      <w:bookmarkEnd w:id="55"/>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 FACTORS</w:t>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Investing in our securities involves a high degree of risk. Before you make a decision to buy our securities, in addition to the risk and uncertainties described above under “Cautionary Note Regarding Forward-Looking Statements”, you should carefully consider the risks and uncertainties described below together with all of the other information contained in this Annual Report on Form 10-K.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Risks Related to Our Financial Condition and Status as an Early-Stage Company</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Based on our estimates and current business plan, we expect that we will need to raise additional capital by early in the third quarter of 2025 in order to continue our research and development efforts and achieve our business objectives. 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Our business and future plans for expansion are capital-intensive, and the specific timing of cash inflows and outflows may fluctuate substantially from period to period. We will require a significant amount of cash for expenditures as we invest in ongoing research and development and business operations. For example, in addition to our continuing investment in our technology roadmap we continue to invest in the expansion of and upgrades to our Fab-1 facility. We have incurred and expect to incur costs related to, among other things, remediation of our material weaknesses in internal controls over financial reporting. The actual amounts we may be required to spend on these and other matters may be greater and more significant than our expectations. We believe that our existing cash, cash equivalents and marketable securities should be sufficient to meet our anticipated operating cash needs into early in the third quarter of 2025 based on our current business plan, and expectations and assumptions considering current macroeconomic conditions. Accordingly, based on our estimates and current business plan, we expect that we will need to obtain additional capital by early in the third quarter of 2025 in order to continue our research and development efforts and achieve our business objectives. Our operating plan may change because of factors currently unknown,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stockholders, issuance of securities with priority as to liquidation and dividend and other rights more favorable than common stock,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worsening global economic conditions and disruptions to and volatility in the credit and financial markets in the United States and worldwide resulting from disruptions in access to bank deposits or lending commitments due to bank failures, the military conflict with Russia and Ukraine and the related sanctions imposed against Russia and the state of war between Israel and Hamas and the related risk of a larger regional conflict. There can be no assurance that further deterioration in credit and financial markets and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the equity and credit markets continue to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quantum computing development efforts. If we are unable to obtain sufficient capital we would be unable to fund our operations and may be required to evaluate alternatives, which could include dissolving and liquidating our assets in which case we may receive less than the value at which those assets are carried on our audited financial statements, and/or seeking protection under bankruptcy laws, and a determination to file for bankruptcy could occur at a time that is earlier than when we would otherwise exhaust our cash resources, and it is unclear to what extent we would be able to pay our obligations, and, accordingly, it is further unclear whether and to what extent any resources would be available for distribution to stockholders. This could potentially cause us to cease operations and result in a complete or partial loss of your investment in our securities. We cannot anticipate all of the ways in which the current economic climate and financial market conditions could adversely impact our business. There can be no assurance that financing will be available to us on favorable terms, or at all.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are in our early stages and have a limited operating history, which makes it difficult to forecast the future results of our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business was founded in 2013 and has operated quantum computers over the cloud since 2017. As a result of our limited operating history, our ability to accurately forecast the future results of operations is limited and subject to a number of uncertainties, including our ability to plan for and model future growth. Our ability to generate revenues will largely be dependent on our ability to develop and produce quantum computers with increasing numbers of quantum bits (“qubits”) and with increasing levels of performance. As of the date hereof, the highest number of qubits we have externally deployed is a quantum computer with 84 qubits with 98.0% median fidelities As a result, our scalable business model has not been formed and our technology roadmap may not be realized as quickly as hoped, or even at all. We have in the past failed to meet publicly announced milestones and may fail to meet projected technological milestones in the future. In addition, we have in the past changed our technology roadmap, including anticipated milestones and timing thereof. We have in the past changed our technology roadmap, including the anticipated milestones and timing thereof, including in each of the years ended 2018, 2022 and 2023. We may further update the technology roadmap in the future, including anticipated milestones and anticipated timeline for milestones. Furthermore, we may be unable to achieve the milestones in our technology roadmap on their announced anticipated timeline or at all. The development of our scalable business model will likely require the incurrence of a substantially higher level of costs than incurred to date, while our revenues will not substantially increase unless and until more powerful, scalable, higher performing computers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 number of reasons, including but not limited to slowing demand for our QCS, increased competition, changes to technology, inability to scale up or improve performance of our technology, a decrease in the growth of the market, or our failure, for any reason, to continue to take advantage of growth opportunities.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success as a business ultimately relies upon fundamental research and development breakthroughs in the coming years. There is no certainty these research and development milestones will be achieved as quickly as hoped, or even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have a history of operating losses and expect to incur significant expenses and continuing losses for the foreseeable future.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incurred net losses of $75.1 million and $71.5 million for the years ended December 31, 2023 and December 31, 2022, respectively. As of December 31, 2023, we had an accumulated deficit of $353.8 million. We believe that we will continue to incur operating and net losses each quarter until at least the time we begin generating significant revenue from our narrow or broad quantum advantage quantum computers, which may never occur. Even with significant production, our services may never become profitable.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may incur significantly higher losses in future periods as we, among other things, continue to incur significant expenses in connection with the design, development and manufacturing of our quantum computers; and as we expand our research and development activities; invest in manufacturing capabilities; build up inventories of components for our quantum computers; increase our sales and marketing activities; develop our infrastructure; and increase our general and administrative functions to support our growing operations and our being a public company. 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adverse effect on our business, financial condition or results of operations. Our business model is unproven and may never allow us to cover our costs.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operating results may be adversely affected by unfavorable economic and market conditions. We have recorded a charge for goodwill impairment and may in the future be required to record significant charges for impairment of other assets or investments.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An adverse change in market conditions, including a sustained decline in our stock price, negative changes to the Company’s position in the market, or lack of growth in demand for our products and services could be considered to be an impairment triggering event. Such changes in the future could impact valuation assumptions relating to the recoverability of assets and may result in impairment charges to our long-lived assets, other assets or investments, which would negatively impact our operating results and harm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are inherent uncertainties in management’s estimates, judgments and assumptions used in assessing recoverability of goodwill, intangible, and other long-lived assets. Any material changes in key assumptions, including failure to meet business plans, a deterioration in the U.S. and global financial markets, an increase in interest rates or an 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long-lived assets is determined, which might have a materially adverse impact on our business operations and our financial position or results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example, in assessing our goodwill in connection with the preparation of the financial statements for the fourth quarter and fiscal year ended December 31, 2022, we concluded indicators of impairment were present due to the current macroeconomic conditions, including continued declines in our stock price. Based upon the results of the impairment test, we recorded a goodwill impairment charge of $5.4 million within the consolidated statement of operations for the year ended December 31, 2022.</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We may not be able to scale our business quickly enough to meet customer and market demand, which could result in lower profitability or cause us to fail to execute on our business strategies.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management as well as our financial and operational resources to:</w:t>
      </w:r>
    </w:p>
    <w:p>
      <w:pPr>
        <w:pStyle w:val="TextBody"/>
        <w:bidi w:val="0"/>
        <w:spacing w:before="0" w:after="240"/>
        <w:ind w:left="0" w:right="0" w:hanging="0"/>
        <w:jc w:val="both"/>
        <w:rPr/>
      </w:pPr>
      <w:r>
        <w:rPr/>
        <w:t>●</w:t>
      </w:r>
      <w:r>
        <w:rPr>
          <w:rFonts w:ascii="Times New Roman;Times;serif" w:hAnsi="Times New Roman;Times;serif"/>
          <w:sz w:val="20"/>
        </w:rPr>
        <w:t>attract new customers and grow our customer base;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r>
        <w:rPr>
          <w:rFonts w:ascii="Times New Roman;Times;serif" w:hAnsi="Times New Roman;Times;serif"/>
          <w:sz w:val="20"/>
        </w:rPr>
        <w:t>maintain and increase the rates at which existing customers use our platform, sell additional products and services to our existing customers, and reduce customer churn;</w:t>
      </w:r>
    </w:p>
    <w:p>
      <w:pPr>
        <w:pStyle w:val="TextBody"/>
        <w:bidi w:val="0"/>
        <w:spacing w:before="0" w:after="240"/>
        <w:ind w:left="0" w:right="0" w:hanging="0"/>
        <w:jc w:val="both"/>
        <w:rPr/>
      </w:pPr>
      <w:r>
        <w:rPr/>
        <w:t>●</w:t>
      </w:r>
      <w:r>
        <w:rPr>
          <w:rFonts w:ascii="Times New Roman;Times;serif" w:hAnsi="Times New Roman;Times;serif"/>
          <w:sz w:val="20"/>
        </w:rPr>
        <w:t>invest in our platform and product offerings;</w:t>
      </w:r>
    </w:p>
    <w:p>
      <w:pPr>
        <w:pStyle w:val="TextBody"/>
        <w:bidi w:val="0"/>
        <w:spacing w:before="0" w:after="240"/>
        <w:ind w:left="0" w:right="0" w:hanging="0"/>
        <w:jc w:val="both"/>
        <w:rPr/>
      </w:pPr>
      <w:r>
        <w:rPr/>
        <w:t>●</w:t>
      </w:r>
      <w:r>
        <w:rPr>
          <w:rFonts w:ascii="Times New Roman;Times;serif" w:hAnsi="Times New Roman;Times;serif"/>
          <w:sz w:val="20"/>
        </w:rPr>
        <w:t>effectively manage organizational change;</w:t>
      </w:r>
    </w:p>
    <w:p>
      <w:pPr>
        <w:pStyle w:val="TextBody"/>
        <w:bidi w:val="0"/>
        <w:spacing w:before="0" w:after="240"/>
        <w:ind w:left="0" w:right="0" w:hanging="0"/>
        <w:jc w:val="both"/>
        <w:rPr/>
      </w:pPr>
      <w:r>
        <w:rPr/>
        <w:t>●</w:t>
      </w:r>
      <w:r>
        <w:rPr>
          <w:rFonts w:ascii="Times New Roman;Times;serif" w:hAnsi="Times New Roman;Times;serif"/>
          <w:sz w:val="20"/>
        </w:rPr>
        <w:t>accelerate and/or refocus research and development activities;</w:t>
      </w:r>
    </w:p>
    <w:p>
      <w:pPr>
        <w:pStyle w:val="TextBody"/>
        <w:bidi w:val="0"/>
        <w:spacing w:before="0" w:after="240"/>
        <w:ind w:left="0" w:right="0" w:hanging="0"/>
        <w:jc w:val="both"/>
        <w:rPr/>
      </w:pPr>
      <w:r>
        <w:rPr/>
        <w:t>●</w:t>
      </w:r>
      <w:r>
        <w:rPr>
          <w:rFonts w:ascii="Times New Roman;Times;serif" w:hAnsi="Times New Roman;Times;serif"/>
          <w:sz w:val="20"/>
        </w:rPr>
        <w:t>expand manufacturing and supply chain capacity;</w:t>
      </w:r>
    </w:p>
    <w:p>
      <w:pPr>
        <w:pStyle w:val="TextBody"/>
        <w:bidi w:val="0"/>
        <w:spacing w:before="0" w:after="240"/>
        <w:ind w:left="0" w:right="0" w:hanging="0"/>
        <w:jc w:val="both"/>
        <w:rPr/>
      </w:pPr>
      <w:r>
        <w:rPr/>
        <w:t>●</w:t>
      </w:r>
      <w:r>
        <w:rPr>
          <w:rFonts w:ascii="Times New Roman;Times;serif" w:hAnsi="Times New Roman;Times;serif"/>
          <w:sz w:val="20"/>
        </w:rPr>
        <w:t>increase sales and marketing efforts;</w:t>
      </w:r>
    </w:p>
    <w:p>
      <w:pPr>
        <w:pStyle w:val="TextBody"/>
        <w:bidi w:val="0"/>
        <w:spacing w:before="0" w:after="240"/>
        <w:ind w:left="0" w:right="0" w:hanging="0"/>
        <w:jc w:val="both"/>
        <w:rPr/>
      </w:pPr>
      <w:r>
        <w:rPr/>
        <w:t>●</w:t>
      </w:r>
      <w:r>
        <w:rPr>
          <w:rFonts w:ascii="Times New Roman;Times;serif" w:hAnsi="Times New Roman;Times;serif"/>
          <w:sz w:val="20"/>
        </w:rPr>
        <w:t>broaden customer-support and services capabilities;</w:t>
      </w:r>
    </w:p>
    <w:p>
      <w:pPr>
        <w:pStyle w:val="TextBody"/>
        <w:bidi w:val="0"/>
        <w:spacing w:before="0" w:after="240"/>
        <w:ind w:left="0" w:right="0" w:hanging="0"/>
        <w:jc w:val="both"/>
        <w:rPr/>
      </w:pPr>
      <w:r>
        <w:rPr/>
        <w:t>●</w:t>
      </w:r>
      <w:r>
        <w:rPr>
          <w:rFonts w:ascii="Times New Roman;Times;serif" w:hAnsi="Times New Roman;Times;serif"/>
          <w:sz w:val="20"/>
        </w:rPr>
        <w:t>maintain or increase operational efficiencies;</w:t>
      </w:r>
    </w:p>
    <w:p>
      <w:pPr>
        <w:pStyle w:val="TextBody"/>
        <w:bidi w:val="0"/>
        <w:spacing w:before="0" w:after="240"/>
        <w:ind w:left="0" w:right="0" w:hanging="0"/>
        <w:jc w:val="both"/>
        <w:rPr/>
      </w:pPr>
      <w:r>
        <w:rPr/>
        <w:t>●</w:t>
      </w:r>
      <w:r>
        <w:rPr>
          <w:rFonts w:ascii="Times New Roman;Times;serif" w:hAnsi="Times New Roman;Times;serif"/>
          <w:sz w:val="20"/>
        </w:rPr>
        <w:t>implement appropriate operational and financial systems; and</w:t>
      </w:r>
    </w:p>
    <w:p>
      <w:pPr>
        <w:pStyle w:val="TextBody"/>
        <w:bidi w:val="0"/>
        <w:ind w:left="0" w:right="0" w:hanging="0"/>
        <w:jc w:val="both"/>
        <w:rPr/>
      </w:pPr>
      <w:r>
        <w:rPr/>
        <w:t>●</w:t>
      </w:r>
      <w:r>
        <w:rPr>
          <w:rFonts w:ascii="Times New Roman;Times;serif" w:hAnsi="Times New Roman;Times;serif"/>
          <w:sz w:val="20"/>
        </w:rPr>
        <w:t>establish and maintain effective financial disclosure controls and procedures and remediate material weaknesses thereof.</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Commercial traction of quantum computing technology may never occur. As noted above, there are significant technological challenges associated with developing, producing, marketing and selling services in the advanced technology industry, including our services, and we may not be able to resolve all of the difficulties that may arise in a timely or cost-effective manner, or at all. We may not be able to cost effectively manage production at a scale or quality consistent with customer demand in a timely or economical manner.</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ability to scale is dependent also upon components we must source from multiple industries including: from the electronics and semi-conductor industries with low-noise microwave components, CPUs, GPUs, FPGAs; from the cryogenic industry with dilution refrigerators and associated helium gas products; and from the semiconductor industry with silicon wafers and other specialty materials, tooling and measurement equipment. Shortages or supply interruptions in any of these components will have an adverse impact on our ability to deliver revenues.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 does not disrupt our services to our customers.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Even if the market in which we compete achieves its anticipated growth levels, our business could fail to grow at similar rates, if at all.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success will depend upon our ability to expand, scale our operations, and increase our sales and support capability. Even if the market in which we compete meets the size estimates and growth forecasted, our business could fail to grow at similar rates, if at all.</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growth is dependent upon our ability to successfully sell quantum computers, expand our solutions and services, retain customers, bring in new customers and retain critical talent. Unforeseen issues associated with scaling up and constructing quantum computing technology at commercially viable levels could negatively impact our business, financial condition and results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growth is dependent upon our ability to successfully market and sell our quantum computers, and quantum computing services and solutions. We do not have experience with the large-scale production and sale of quantum computing technology. Our growth and long-term success will depend upon the development of our sales and retention capabilities.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experience unforeseen issues with the reliability of our technology, we could overburden our servicing and support capabilities. Similarly, increasing the number of our products and services would require us to rapidly increase the availability of these services. Failure to adequately support and service our customers may inhibit our growth and ability to expand.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For example, our competitors may achieve certain narrow and/or broad quantum milestones faster than us, which may negatively impact our business and prospects. Failure to grow at rates similar to that of the quantum computing industry may adversely affect our operating results and ability to effectively compete within the industry.</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may not manage growth effectively, including with respect to our employee base, and managing our operations successfully.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For example, expansion of  and upgrades to our Fab 1 facility is continual and ongoing, and we may not complete the expansion and upgrades on terms originally anticipated, in a timely manner or at all, which could have a material impact on our business, financial condition or results of operations. Expansion and upgrades require significant cash investments and management resources and there is no guarantee that they will generate additional sales of our products or services, or that we will be able to avoid cost overruns or be able to hire additional personnel to support us. In addition, we also need to ensure our compliance with regulatory requirements in various jurisdictions applicable to the sale, installation and servicing of our products. To manage the growth of our operations and personnel, we must establish, and maintain appropriate and scalable operational and financial systems, procedures and controls and establish and maintain a qualified finance, administrative and operations staff.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reduction in workforce that we announced in February 2023 may impair our ability to manage growth and maintain operations effectively, due to factors such as loss of institutional knowledge and expertise, employee attrition beyond our intended reduction in force, and the risk that we may not achieve the benefits from the restructuring to the extent we anticipated, all of which may have a material adverse effect on our business, results of operations or financial condition. We may be unable to acquire the necessary capabilities and personnel required to manage growth or to identify, manage and exploit potential strategic relationships and market opportunities.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business plan and our 2023 workforce reduction may not have the anticipated benefits and we may incur additional costs or other difficulties.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plan and implemented a workforce reduction. The objective of these initiatives was to focus our organization and its resources on nearer-term strategic priorities. We believe these changes were needed to streamline our organization and reallocate our resources to better align with our current strategic goals.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However, the changes to our business strategy and the reduction in workforce may yield unintended consequences and costs, such as the loss of institutional knowledge and expertise, attrition beyond our intended reduction-in-force, and the risk that we may not achieve the anticipated benefits, all of which may have an adverse effect on our development activities, ability to progress our technology roadmap, and results of operations or financial condition. We may also incur other charges, costs, future cash expenditures or impairments not currently contemplated due to events that may occur as a result of, or in connection with, the revised business plan and reduction in workforce. In addition, we may be unsuccessful in distributing the duties and obligations of departed employees among our remaining employees. In addition, our management may need to divert a disproportionate amount of its attention away from our day-to-day strategic and operational activities and devote a substantial amount of time to managing these organizational changes.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may also discover that the reductions in workforce and cost cutting measures will make it difficult for us to pursue new opportunities and initiatives and require us to hire qualified replacement personnel, which may require us to incur additional and unanticipated costs and expenses. Moreover, there is no assurance we will be successful in our pursuit of any of our goals. Our failure to successfully accomplish any of the above activities and goals may have a material adverse impact on our business, financial condition, and results of operations.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have a credit facility secured by substantially all of our assets under which we have borrowed and may in the future borrow additional amounts; any indebtedness thereunder could adversely affect our financial position and our ability to raise additional capital and prevent us from fulfilling our obligations.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March 10, 2021, we entered into a Loan and Security Agreement (as amended from time to time, the “Loan Agreement”) with Trinity Capital Inc. (“Trinity”). The Loan Agreement had an available borrowing capacity of $32.0 million. As of December 31, 2023, we had total outstanding indebtedness of approximately $22.4 million consisting of outstanding borrowings under the Loan Agreement. Any future additional borrowings under this agreement are at the sole discretion of the lender. This and future indebtedness incurred under the Loan Agreement may:</w:t>
      </w:r>
    </w:p>
    <w:p>
      <w:pPr>
        <w:pStyle w:val="TextBody"/>
        <w:bidi w:val="0"/>
        <w:spacing w:before="0" w:after="240"/>
        <w:ind w:left="0" w:right="0" w:hanging="0"/>
        <w:jc w:val="both"/>
        <w:rPr/>
      </w:pPr>
      <w:r>
        <w:rPr/>
        <w:t>●</w:t>
      </w:r>
      <w:r>
        <w:rPr>
          <w:rFonts w:ascii="Times New Roman;Times;serif" w:hAnsi="Times New Roman;Times;serif"/>
          <w:sz w:val="20"/>
        </w:rPr>
        <w:t>limit our ability to borrow additional funds for working capital, capital expenditures, acquisitions, or other general business purposes;</w:t>
      </w:r>
    </w:p>
    <w:p>
      <w:pPr>
        <w:pStyle w:val="TextBody"/>
        <w:bidi w:val="0"/>
        <w:spacing w:before="0" w:after="240"/>
        <w:ind w:left="0" w:right="0" w:hanging="0"/>
        <w:jc w:val="both"/>
        <w:rPr/>
      </w:pPr>
      <w:r>
        <w:rPr/>
        <w:t>●</w:t>
      </w:r>
      <w:r>
        <w:rPr>
          <w:rFonts w:ascii="Times New Roman;Times;serif" w:hAnsi="Times New Roman;Times;serif"/>
          <w:sz w:val="20"/>
        </w:rPr>
        <w:t>require us to use a portion of our cash flow from operations to make debt service payments instead of other purposes, thereby reducing the amount of cash flow available for future working capital, capital expenditures, acquisitions, or other general business purposes;</w:t>
      </w:r>
    </w:p>
    <w:p>
      <w:pPr>
        <w:pStyle w:val="TextBody"/>
        <w:bidi w:val="0"/>
        <w:spacing w:before="0" w:after="240"/>
        <w:ind w:left="0" w:right="0" w:hanging="0"/>
        <w:jc w:val="both"/>
        <w:rPr/>
      </w:pPr>
      <w:r>
        <w:rPr/>
        <w:t>●</w:t>
      </w:r>
      <w:r>
        <w:rPr>
          <w:rFonts w:ascii="Times New Roman;Times;serif" w:hAnsi="Times New Roman;Times;serif"/>
          <w:sz w:val="20"/>
        </w:rPr>
        <w:t>expose us to the risk of increased interest rates and higher interest payments as borrowings under the Loan Agreement are subject to interest at the greater of (i) a floating per annum rate equal to 7.5% above the prime rate, or (ii) a fixed per annum rate equal to 11.0%, also paid on a monthly basis. Because of this provision, we paid more for interest expense in 2023 due to increases in interest rates throughout the year;</w:t>
      </w:r>
    </w:p>
    <w:p>
      <w:pPr>
        <w:pStyle w:val="TextBody"/>
        <w:bidi w:val="0"/>
        <w:spacing w:before="0" w:after="240"/>
        <w:ind w:left="0" w:right="0" w:hanging="0"/>
        <w:jc w:val="both"/>
        <w:rPr/>
      </w:pPr>
      <w:r>
        <w:rPr/>
        <w:t>●</w:t>
      </w:r>
      <w:r>
        <w:rPr>
          <w:rFonts w:ascii="Times New Roman;Times;serif" w:hAnsi="Times New Roman;Times;serif"/>
          <w:sz w:val="20"/>
        </w:rPr>
        <w:t>limit our flexibility to plan for, or react to, changes in our business and industry;</w:t>
      </w:r>
    </w:p>
    <w:p>
      <w:pPr>
        <w:pStyle w:val="TextBody"/>
        <w:bidi w:val="0"/>
        <w:spacing w:before="0" w:after="240"/>
        <w:ind w:left="0" w:right="0" w:hanging="0"/>
        <w:jc w:val="both"/>
        <w:rPr/>
      </w:pPr>
      <w:r>
        <w:rPr/>
        <w:t>●</w:t>
      </w:r>
      <w:r>
        <w:rPr>
          <w:rFonts w:ascii="Times New Roman;Times;serif" w:hAnsi="Times New Roman;Times;serif"/>
          <w:sz w:val="20"/>
        </w:rPr>
        <w:t>increase our vulnerability to the impact of adverse economic, competitive and industry conditions; and</w:t>
      </w:r>
    </w:p>
    <w:p>
      <w:pPr>
        <w:pStyle w:val="TextBody"/>
        <w:bidi w:val="0"/>
        <w:ind w:left="0" w:right="0" w:hanging="0"/>
        <w:jc w:val="both"/>
        <w:rPr/>
      </w:pPr>
      <w:r>
        <w:rPr/>
        <w:t>●</w:t>
      </w:r>
      <w:r>
        <w:rPr>
          <w:rFonts w:ascii="Times New Roman;Times;serif" w:hAnsi="Times New Roman;Times;serif"/>
          <w:sz w:val="20"/>
        </w:rPr>
        <w:t>increase our cost of borrowing.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Loan Agreement is secured by substantially all of our assets. In addition, the Loan Agreement contains, and the agreements governing our future indebtedness may contain, restrictive covenants that may limit our ability to engage in activities that may be in our long-term best interest. These restrictive covenants include, among others, financial reporting requirements and limitations on indebtedness, liens, mergers, consolidations, liquidations and dissolutions, sales of assets, dividends and other restricted payments, investments (including acquisitions) and transactions with affiliates. Our failure to comply with those covenants could result in an event of default which, if not cured or waived, could result in the acceleration of substantially all of our debt and potentially the foreclosure on our assets in the event we are unable to repay all amounts owed.</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ability to use net operating loss carryforwards and other tax attributes may be limited.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incurred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2023 we had U.S. federal net operating loss carryforwards of approximately $225.2 million.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Under current law, U.S. federal net operating loss carryforwards generated in taxable periods beginning after December 31, 2017, may be carried forward indefinitely, but the deductibility of such net operating loss carryforwards is limited to 80% of taxable income. It is uncertain if and to what extent various states will conform to current federal law.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under Sections 382 and 383 of the Internal Revenue Code of 1986, as amended (the “Code”), our federal net operating loss carryforwards, federal research and development tax credit carryforwards and other tax attributes are subject to annual limitations because of prior cumulative changes in our ownership and may be further limited in the future if additional ownership changes occur.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Similar rules apply under state tax laws. Our ability to utilize our federal net operating loss carryforwards, federal research and development tax credit carryforwards and other tax attributes to offset future taxable income or tax liabilities is limited because of prior ownership changes, including changes in connection with the Business Combination or other transactions, and may be further limited in the future if additional ownership changes occur. See Note 19 to our consolidated financial statements included elsewhere in this Annual Report on Form 10-K for information regarding our federal net operating loss carryforwards, federal research and development tax credit carryforwards and other tax attributes.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we earn taxable income, such limitations will most likely result in increased future income tax liability and have an adverse effect on our future cash flows. We have recorded a valuation allowance related to our net operating loss carryforwards and other deferred tax assets due to the uncertainty of the ultimate realization of the future benefits of those assets.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have not produced quantum computers with high qubit counts or at volume and we face significant barriers in our attempts to produce quantum computers, including the need to invent and develop new technology. If we cannot successfully overcome those barriers, our business will be negatively impacted and could fail.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Producing quantum computers is a difficult undertaking. There are significant engineering challenges that we must overcome to build our quantum computers. We are still in the development stage and face significant challenges in completing development of our quantum computers and in producing quantum computers in sufficient volumes.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Even if we complete development and achieve volume production of our quantum computers, if the cost, accuracy, performance characteristics or other specifications of the quantum computer fall short of our expectations, our business, financial condition and results of operations would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Any future generations of hardware and software developed to demonstrate narrow quantum advantage and broad quantum advantage, and the potential release of a 336 qubit system, each of which is an important anticipated milestone for our technology roadmap and commercialization, may not occur on our anticipated timeline or at all.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Our successful execution of our technology roadmap is based on the development of multiple generations of quantum computing systems, including hardware that demonstrates narrow quantum advantage and broad quantum advantage, and the potential release of a 336 qubit system, and the achievement of our targeted fidelities, each of which is an important anticipated milestone for our technology roadmap and commercialization. The future success of our technology roadmap will depend upon our ability to continue to increase the number of qubits and decrease error rates in each subsequent generation of our quantum computer.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we are unable to achieve the increase in the number of qubits or decrease in error rates on the timeframe that we anticipate, the availability of future generations of quantum computer systems may be materially delayed, or may never occur. In the past we have failed to meet publicly announced milestones and may fail to meet projected milestones in the future. If our technology roadmap is delayed or never achieved, this would have a material impact on our business, financial condition or results of operations. See “</w:t>
      </w:r>
      <w:r>
        <w:rPr>
          <w:rFonts w:ascii="Times New Roman;Times;serif" w:hAnsi="Times New Roman;Times;serif"/>
          <w:i/>
          <w:sz w:val="20"/>
        </w:rPr>
        <w:t>We are in our early stages and have a limited operating history, which makes it difficult to forecast our future results of operations</w:t>
      </w:r>
      <w:r>
        <w:rPr>
          <w:rFonts w:ascii="Times New Roman;Times;serif" w:hAnsi="Times New Roman;Times;serif"/>
          <w:sz w:val="20"/>
        </w:rPr>
        <w: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 xml:space="preserve">If our computers fail to achieve quantum advantage, our business, financial condition and future prospects may be harmed.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Quantum advantage refers to the moment when a quantum computer can compute faster than traditional computers, while quantum supremacy is achieved once quantum computers are powerful enough to complete calculations that traditional supercomputers cannot perform at all. Narrow quantum advantage is when a quantum computer is able to solve practical problems in production workloads with improved accuracy, speed or cost. Broad quantum advantage is when quantum advantage is seen in many applications and developers prefer quantum computers to a traditional computer. No current quantum computers, including our quantum hardware, have reached broad quantum advantage, and may never reach such advantage. Achieving narrow quantum advantage and broad quantum advantage will be critical to the success of any quantum computing company, including ours. However, achieving quantum advantage would not necessarily lead to commercial viability of the technology that accomplished such advantage, nor would it mean that such system could outperform classical computers in tasks other than the one used to determine a quantum advantage. In addition, the definitions and expectations with respect to what constitutes quantum advantage, including the anticipated stages of quantum technology maturation, may continue to evolve and may also diverge from others in the industry. Quantum computing technology, including narrow quantum advantage and broad quantum advantage, may take years or decades to be realized, if ever.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we cannot develop quantum computers that have quantum advantage, customers may not continue to purchase our products and services. If other companies’ quantum computers reach narrow quantum advantage or broad quantum advantage prior to the time we reach such capabilities, it could lead to a loss of customers. If any of these events occur, it could have a material adverse effect on our business, financial condition or results of operations.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Because we have limited financial and operational resources, we must prioritize our research and development for use of quantum computing within certain products, designs, sectors or investments. Correctly prioritizing our research and development activities is particularly important for us due to the breadth of companies building or seeking to build universal, gate-model quantum computing systems that can meet the requirements for solving commercial problems.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a result, we may forego or delay pursuit of opportunities in other products, designs, sectors or investments that later prove to have greater commercial potential and ability to achieve quantum advantage. For example, although we currently believe that quantum machine learning for finance is poised to be an early domain of quantum advantage through rapid value capture from quick integration, the risks associated with developing a product that can compute algorithms that scale efficiently to real-world size applications and will be applicable to multiple use cases and competition in creating such a product, among others, could outweigh the benefits. In addition, in February 2023, we announced an updated business strategy and revisions to our technology roadmap reflecting a nearer term reprioritization and focus on higher fidelities and lower qubit systems than our prior business strategy and technology roadmap. We may fail to capitalize on the products, designs, sectors, or investments we choose to pursue, and our resource allocation decisions may cause us to forego viable or more profitable products, designs, sectors or investments, which would have an adverse effect on our business, prospects and financial results.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The quantum computing industry is competitive on a global scale and we may not be successful in competing in this industry or establishing and maintaining confidence in our long-term business prospects among current and future partners and customers.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markets in which we operate are rapidly evolving and highly competitive. As the marketplace continues to mature and new technologies and competitors enter, we expect competition to intensify. Our current competitors include:</w:t>
      </w:r>
    </w:p>
    <w:p>
      <w:pPr>
        <w:pStyle w:val="TextBody"/>
        <w:bidi w:val="0"/>
        <w:spacing w:before="0" w:after="240"/>
        <w:ind w:left="0" w:right="0" w:hanging="0"/>
        <w:jc w:val="both"/>
        <w:rPr/>
      </w:pPr>
      <w:r>
        <w:rPr/>
        <w:t>●</w:t>
      </w:r>
      <w:r>
        <w:rPr>
          <w:rFonts w:ascii="Times New Roman;Times;serif" w:hAnsi="Times New Roman;Times;serif"/>
          <w:sz w:val="20"/>
        </w:rPr>
        <w:t>large, well-established tech companies that generally compete across our products, including Quantinuum, Google, Microsoft, Amazon, Intel and IBM;</w:t>
      </w:r>
    </w:p>
    <w:p>
      <w:pPr>
        <w:pStyle w:val="TextBody"/>
        <w:bidi w:val="0"/>
        <w:spacing w:before="0" w:after="240"/>
        <w:ind w:left="0" w:right="0" w:hanging="0"/>
        <w:jc w:val="both"/>
        <w:rPr/>
      </w:pPr>
      <w:r>
        <w:rPr/>
        <w:t>●</w:t>
      </w:r>
      <w:r>
        <w:rPr>
          <w:rFonts w:ascii="Times New Roman;Times;serif" w:hAnsi="Times New Roman;Times;serif"/>
          <w:sz w:val="20"/>
        </w:rPr>
        <w:t>large research organizations funded by sovereign nations such as China, Russia, Canada, Australia and the United Kingdom, and those in the European Union as of the date of this Annual Report on Form 10-K and we believe additional countries in the future;</w:t>
      </w:r>
    </w:p>
    <w:p>
      <w:pPr>
        <w:pStyle w:val="TextBody"/>
        <w:bidi w:val="0"/>
        <w:spacing w:before="0" w:after="240"/>
        <w:ind w:left="0" w:right="0" w:hanging="0"/>
        <w:jc w:val="both"/>
        <w:rPr/>
      </w:pPr>
      <w:r>
        <w:rPr/>
        <w:t>●</w:t>
      </w:r>
      <w:r>
        <w:rPr>
          <w:rFonts w:ascii="Times New Roman;Times;serif" w:hAnsi="Times New Roman;Times;serif"/>
          <w:sz w:val="20"/>
        </w:rPr>
        <w:t>less-established public and private companies with competing technology, including companies located outside the United States; and</w:t>
      </w:r>
    </w:p>
    <w:p>
      <w:pPr>
        <w:pStyle w:val="TextBody"/>
        <w:bidi w:val="0"/>
        <w:ind w:left="0" w:right="0" w:hanging="0"/>
        <w:jc w:val="both"/>
        <w:rPr/>
      </w:pPr>
      <w:r>
        <w:rPr/>
        <w:t>●</w:t>
      </w:r>
      <w:r>
        <w:rPr>
          <w:rFonts w:ascii="Times New Roman;Times;serif" w:hAnsi="Times New Roman;Times;serif"/>
          <w:sz w:val="20"/>
        </w:rPr>
        <w:t>new or emerging entrants seeking to develop competing technologies.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compete based on various factors, including technology, performance, multi-cloud availability,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Additionally, we must be able to achieve our objectives in a timely manner lest quantum computing lose ground to competitors, including competing technologies. For example, our competitors may achieve certain narrow and/or broad quantum milestones faster than us, which may negatively impact our business and prospects. 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all of these reasons, competition may negatively impact our ability to maintain and grow consumption of our platform or put downward pressure on our prices and gross margins, any of which could materially harm our reputation,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We depend on a limited number of customers for a significant percentage of our revenue and the loss or temporary loss of a major customer for any reason could harm our financial condition.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have historically generated most of our revenue from a limited number of customers. Revenue from U.S. government entities accounted for 80.9% and 81.3% of our total revenue for the years ended December 31, 2023, and December 31, 2022, respectively. Because of the concentrated nature of our customer base, our quarterly revenue and results of operations may fluctuate from quarter to quarter and are difficult to estimate, and any delay, reduction or cancellation of orders or services rendered or any acceleration or delay in anticipated purchases or grants and awards by our larger customers could materially affect our revenue and results of operations in any quarterly period. For further information regarding our customer concentration, refer to Note 18 of our audited consolidated financial statements for the years ended December 31, 2023, included elsewhere in this Annual Report on Form 10-K.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may be unable to sustain or increase our revenue from our larger customers, grow revenues with new or other existing customers, or offset the discontinuation of concentrated purchases by our larger customers with purchases by new or existing customers. These larger customers could also reduce or discontinue their purchases of our products and services in the event they transition to internally developed products and services or determine to divide their purchases of our products and services between us and a second source. We expect that such concentrated purchases will continue to contribute materially to our revenue for the foreseeable future and that our results of operations may fluctuate materially as a result of such larger customers’ buying patterns or funding cycles. The loss or temporary loss of such customers, or a significant delay or reduction in their purchases, could materially harm our business, financial condition, results of operations and prospects.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A significant portion of our revenue currently depends on contracts with the public sector, and our failure to receive and maintain government contracts or changes in the contracting or fiscal policies of the public sector could have a material adverse effect on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derive a significant portion of our revenue from contracts with U.S. federal and foreign governments and government agencies, and we believe that the success and growth of our business will continue to depend on our successful procurement of government contracts. We have historically derived, and expect to continue to derive, a significant portion of our revenue from contracts with agencies of the U.S. federal and foreign governments, either directly by us or through other government contractors. For the year ended December 31, 2023 and 2022, respectively,  sales to government entities comprised 80.9% and 81.3% of our total revenue,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Contracts with government agencies are subject to a number of challenges and risks. The bidding process for government contracts can be highly competitive, expensive, and time-consuming, often requiring significant upfront time and expense without any assurance that these efforts will generate revenue. We also must comply with laws and regulations relating to the formation, administration, and performance of contracts, which provide public sector customers with rights, many of which are not typically found in commercial contracts. In addition, our perceived relationship with the U.S. government could adversely affect our business prospects in certain non-U.S. geographies or with certain non-U.S. governments.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Accordingly, our business, financial condition, results of operations, and growth prospects may be adversely affected by certain events or activities, including, but not limited to:</w:t>
      </w:r>
    </w:p>
    <w:p>
      <w:pPr>
        <w:pStyle w:val="TextBody"/>
        <w:bidi w:val="0"/>
        <w:spacing w:before="0" w:after="240"/>
        <w:ind w:left="0" w:right="0" w:hanging="0"/>
        <w:jc w:val="both"/>
        <w:rPr/>
      </w:pPr>
      <w:r>
        <w:rPr/>
        <w:t>●</w:t>
      </w:r>
      <w:r>
        <w:rPr>
          <w:rFonts w:ascii="Times New Roman;Times;serif" w:hAnsi="Times New Roman;Times;serif"/>
          <w:sz w:val="20"/>
        </w:rPr>
        <w:t>Changes in government fiscal or procurement policies, or decreases in government funding available for procurement of goods and services generally, or for our federal government contracts specifically;</w:t>
      </w:r>
    </w:p>
    <w:p>
      <w:pPr>
        <w:pStyle w:val="TextBody"/>
        <w:bidi w:val="0"/>
        <w:spacing w:before="0" w:after="240"/>
        <w:ind w:left="0" w:right="0" w:hanging="0"/>
        <w:jc w:val="both"/>
        <w:rPr/>
      </w:pPr>
      <w:r>
        <w:rPr/>
        <w:t>●</w:t>
      </w:r>
      <w:r>
        <w:rPr>
          <w:rFonts w:ascii="Times New Roman;Times;serif" w:hAnsi="Times New Roman;Times;serif"/>
          <w:sz w:val="20"/>
        </w:rPr>
        <w:t>Changes in government programs or applicable requirements;</w:t>
      </w:r>
    </w:p>
    <w:p>
      <w:pPr>
        <w:pStyle w:val="TextBody"/>
        <w:bidi w:val="0"/>
        <w:spacing w:before="0" w:after="240"/>
        <w:ind w:left="0" w:right="0" w:hanging="0"/>
        <w:jc w:val="both"/>
        <w:rPr/>
      </w:pPr>
      <w:r>
        <w:rPr/>
        <w:t>●</w:t>
      </w:r>
      <w:r>
        <w:rPr>
          <w:rFonts w:ascii="Times New Roman;Times;serif" w:hAnsi="Times New Roman;Times;serif"/>
          <w:sz w:val="20"/>
        </w:rPr>
        <w:t>Restrictions in the grant of personnel security clearances to our employees;</w:t>
      </w:r>
    </w:p>
    <w:p>
      <w:pPr>
        <w:pStyle w:val="TextBody"/>
        <w:bidi w:val="0"/>
        <w:spacing w:before="0" w:after="240"/>
        <w:ind w:left="0" w:right="0" w:hanging="0"/>
        <w:jc w:val="both"/>
        <w:rPr/>
      </w:pPr>
      <w:r>
        <w:rPr/>
        <w:t>●</w:t>
      </w:r>
      <w:r>
        <w:rPr>
          <w:rFonts w:ascii="Times New Roman;Times;serif" w:hAnsi="Times New Roman;Times;serif"/>
          <w:sz w:val="20"/>
        </w:rPr>
        <w:t>Ability to maintain facility clearances required to perform on classified contracts for U.S. federal government and foreign government agencies;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r>
        <w:rPr>
          <w:rFonts w:ascii="Times New Roman;Times;serif" w:hAnsi="Times New Roman;Times;serif"/>
          <w:sz w:val="20"/>
        </w:rPr>
        <w:t>Changes in the political environment, including before or after a change to the leadership within the government administration, and any resulting uncertainty or changes in policy or priorities and resultant funding;</w:t>
      </w:r>
    </w:p>
    <w:p>
      <w:pPr>
        <w:pStyle w:val="TextBody"/>
        <w:bidi w:val="0"/>
        <w:spacing w:before="0" w:after="240"/>
        <w:ind w:left="0" w:right="0" w:hanging="0"/>
        <w:jc w:val="both"/>
        <w:rPr/>
      </w:pPr>
      <w:r>
        <w:rPr/>
        <w:t>●</w:t>
      </w:r>
      <w:r>
        <w:rPr>
          <w:rFonts w:ascii="Times New Roman;Times;serif" w:hAnsi="Times New Roman;Times;serif"/>
          <w:sz w:val="20"/>
        </w:rPr>
        <w:t>Changes in the government’s attitude towards the capabilities that we offer;</w:t>
      </w:r>
    </w:p>
    <w:p>
      <w:pPr>
        <w:pStyle w:val="TextBody"/>
        <w:bidi w:val="0"/>
        <w:spacing w:before="0" w:after="240"/>
        <w:ind w:left="0" w:right="0" w:hanging="0"/>
        <w:jc w:val="both"/>
        <w:rPr/>
      </w:pPr>
      <w:r>
        <w:rPr/>
        <w:t>●</w:t>
      </w:r>
      <w:r>
        <w:rPr>
          <w:rFonts w:ascii="Times New Roman;Times;serif" w:hAnsi="Times New Roman;Times;serif"/>
          <w:sz w:val="20"/>
        </w:rPr>
        <w:t>Changes in the government’s attitude towards us as a company or our platforms;</w:t>
      </w:r>
    </w:p>
    <w:p>
      <w:pPr>
        <w:pStyle w:val="TextBody"/>
        <w:bidi w:val="0"/>
        <w:spacing w:before="0" w:after="240"/>
        <w:ind w:left="0" w:right="0" w:hanging="0"/>
        <w:jc w:val="both"/>
        <w:rPr/>
      </w:pPr>
      <w:r>
        <w:rPr/>
        <w:t>●</w:t>
      </w:r>
      <w:r>
        <w:rPr>
          <w:rFonts w:ascii="Times New Roman;Times;serif" w:hAnsi="Times New Roman;Times;serif"/>
          <w:sz w:val="20"/>
        </w:rPr>
        <w:t>Appeals, disputes, or litigation relating to government procurement, including but not limited to bid protests by unsuccessful bidders on potential or actual awards of contracts to us or our partners by the government;</w:t>
      </w:r>
    </w:p>
    <w:p>
      <w:pPr>
        <w:pStyle w:val="TextBody"/>
        <w:bidi w:val="0"/>
        <w:spacing w:before="0" w:after="240"/>
        <w:ind w:left="0" w:right="0" w:hanging="0"/>
        <w:jc w:val="both"/>
        <w:rPr/>
      </w:pPr>
      <w:r>
        <w:rPr/>
        <w:t>●</w:t>
      </w:r>
      <w:r>
        <w:rPr>
          <w:rFonts w:ascii="Times New Roman;Times;serif" w:hAnsi="Times New Roman;Times;serif"/>
          <w:sz w:val="20"/>
        </w:rPr>
        <w:t>The adoption of new laws or regulations or changes to existing laws or regulations;</w:t>
      </w:r>
    </w:p>
    <w:p>
      <w:pPr>
        <w:pStyle w:val="TextBody"/>
        <w:bidi w:val="0"/>
        <w:spacing w:before="0" w:after="240"/>
        <w:ind w:left="0" w:right="0" w:hanging="0"/>
        <w:jc w:val="both"/>
        <w:rPr/>
      </w:pPr>
      <w:r>
        <w:rPr/>
        <w:t>●</w:t>
      </w:r>
      <w:r>
        <w:rPr>
          <w:rFonts w:ascii="Times New Roman;Times;serif" w:hAnsi="Times New Roman;Times;serif"/>
          <w:sz w:val="20"/>
        </w:rPr>
        <w:t>Budgetary constraints, including automatic reductions as a result of “sequestration” or similar measures and constraints imposed by any lapses in appropriations for the federal government or certain of its departments and agencies;</w:t>
      </w:r>
    </w:p>
    <w:p>
      <w:pPr>
        <w:pStyle w:val="TextBody"/>
        <w:bidi w:val="0"/>
        <w:spacing w:before="0" w:after="240"/>
        <w:ind w:left="0" w:right="0" w:hanging="0"/>
        <w:jc w:val="both"/>
        <w:rPr/>
      </w:pPr>
      <w:r>
        <w:rPr/>
        <w:t>●</w:t>
      </w:r>
      <w:r>
        <w:rPr>
          <w:rFonts w:ascii="Times New Roman;Times;serif" w:hAnsi="Times New Roman;Times;serif"/>
          <w:sz w:val="20"/>
        </w:rPr>
        <w:t>Influence by, or competition from, third parties with respect to pending, new, or existing contracts with government customers;</w:t>
      </w:r>
    </w:p>
    <w:p>
      <w:pPr>
        <w:pStyle w:val="TextBody"/>
        <w:bidi w:val="0"/>
        <w:spacing w:before="0" w:after="240"/>
        <w:ind w:left="0" w:right="0" w:hanging="0"/>
        <w:jc w:val="both"/>
        <w:rPr/>
      </w:pPr>
      <w:r>
        <w:rPr/>
        <w:t>●</w:t>
      </w:r>
      <w:r>
        <w:rPr>
          <w:rFonts w:ascii="Times New Roman;Times;serif" w:hAnsi="Times New Roman;Times;serif"/>
          <w:sz w:val="20"/>
        </w:rPr>
        <w:t>Changes in political or social attitudes with respect to security or data privacy issues;</w:t>
      </w:r>
    </w:p>
    <w:p>
      <w:pPr>
        <w:pStyle w:val="TextBody"/>
        <w:bidi w:val="0"/>
        <w:spacing w:before="0" w:after="240"/>
        <w:ind w:left="0" w:right="0" w:hanging="0"/>
        <w:jc w:val="both"/>
        <w:rPr/>
      </w:pPr>
      <w:r>
        <w:rPr/>
        <w:t>●</w:t>
      </w:r>
      <w:r>
        <w:rPr>
          <w:rFonts w:ascii="Times New Roman;Times;serif" w:hAnsi="Times New Roman;Times;serif"/>
          <w:sz w:val="20"/>
        </w:rPr>
        <w:t>Potential delays or changes in the government appropriations or procurement processes, including as a result of events such as war, incidents of terrorism, natural disasters, and public health concerns or epidemics, such as the coronavirus pandemic; and</w:t>
      </w:r>
    </w:p>
    <w:p>
      <w:pPr>
        <w:pStyle w:val="TextBody"/>
        <w:bidi w:val="0"/>
        <w:ind w:left="0" w:right="0" w:hanging="0"/>
        <w:jc w:val="both"/>
        <w:rPr/>
      </w:pPr>
      <w:r>
        <w:rPr/>
        <w:t>●</w:t>
      </w:r>
      <w:r>
        <w:rPr>
          <w:rFonts w:ascii="Times New Roman;Times;serif" w:hAnsi="Times New Roman;Times;serif"/>
          <w:sz w:val="20"/>
        </w:rPr>
        <w:t>Increased or unexpected costs or unanticipated delays caused by other factors outside of our control.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example, following the second quarter 2022, we experienced lower-than-expected new government contract opportunities and slower than anticipated timing of government funding and appropriations with respect to relevant projects in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Any such of the foregoing events or activities, among others, could cause governments and governmental agencies to delay or refrain from entering into contracts with us and/or purchasing our computers in the future, reduce the size or timing of payments with respect to our services to, or purchases from, existing or new government customers, or otherwise have an adverse effect on our business, results of operations, financial condition, and growth prospects.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business is currently dependent upon our relationship with our cloud providers. There are no assurances that we will be able to commercialize quantum computers from our relationships with cloud providers.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currently offer access to quantum computing as a service (“Quantum Computing as a Service” or “QCaaS”), both directly to our end users with our own Quantum Cloud Services and indirectly to end users through public cloud providers such as Amazon Braket and Microsoft Azure Quantum who integrate our QCS into their own quantum computing platforms. These public cloud partners operate a service in direct competition with our providing direct access to QCS. Currently, a majority of our QCaaS business is run through the AWS service, and we intend to partner with additional partners to provide access to our QCaaS. Cloud computing partnerships could be terminated, or not scale as anticipated, or even at all.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is risk that one or more of the public cloud providers, such as AWS and Azure,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Currently, our customer agreement with AWS remains in effect until (i) terminated for convenience, which we may do for any reason by providing AWS notice and closing our account and which AWS may do for any reason by providing us at least 30 days’ notice or (ii) terminated for cause, which either party may do if the other party has an uncured material breach and which AWS may do immediately upon notice. Although alternative data center providers could host our business on a substantially similar basis to AWS, transitioning the cloud infrastructure currently hosted by AWS to alternative providers could potentially be disruptive, and we could incur significant one-time costs. If we are unable to renew our agreement with AWS on commercially acceptable terms, our agreement with AWS is prematurely terminated, or it adds additional infrastructure providers, we may experience costs or downtime in connection with the transfer to, or the addition of, new data center providers. If AWS or other infrastructure providers increase the costs of their services, our business, financial condition, or results of operations could be materially and adversely affected.</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We rely on access to high performance third party classical computing through public clouds, high performance computing centers and on-premises computing infrastructure to deliver performant quantum solutions to customers. We may not be able to maintain high quality relationships and connectivity with these resources which could make it harder for us to reach customers or deliver solutions in a cost-effective manner.</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QCS incorporates high performance classical computing through public clouds to provide services to end users and our partners. These services are predominantly on AWS.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Any material change in our contractual and other business relationships with AWS or other cloud provider, could result in reduced use of our systems, increased expenses, including service credit obligations, and harm our brand and reputation, any of which could have a material adverse effect on our business, financial condition and results of operations.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buy our products and supplies from suppliers that manufacture and source products from the United States and abroad. We enter into agreements with many of our suppliers that provide us with exclusive or restrictive distribution rights, limiting our competitors’ ability to source materials from such suppliers. Our ability to identify and develop relationships with qualified suppliers and enter into exclusive or restrictive distribution rights agreements with suppliers who can satisfy our standards for quality and our need to access products and supplies in a timely and efficient manner is a significant challenge. Any failure to maintain our relationship with any of our top ten largest suppliers, or a failure to replace any such supplier that is lost, could have a material adverse effect on our business, financial position, results of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may be required to replace a supplier if their products do not meet our quality or safety standards. In addition, our suppliers could discontinue selling products at any time for reasons that may or may not be in our control or the suppliers’ control, including shortages of raw materials, environmental and social supply chain issues, pandemic, labor disputes or weather conditions. Disruptions in transportation lines or the ongoing military conflict involving Russia and Ukraine or the state of war between Israel and Hamas may also cause global supply chain issues that affect us or our suppliers. We generally have multiple sources of supply, however, in some cases, materials are provided by a single supplier. For example, our small and mid-size cryogenic refrigerators have been provided by a single supplier and we have begun to source from a second supplier.</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addition, we expect that larger cryogenic refrigerators required in connection with the potential development of systems greater than 100 qubits will be provided by a single supplier, at least for an initial period of time. We cannot assure you that any of our suppliers or potential suppliers will have the capacity to supply larger cryogenic refrigerators on the terms, timing or scale that we expect. The loss of, or substantial decrease in the availability of, products from our suppliers, or the loss of a key supplier, temporarily or permanently, could result in a material shortage of products, which could lead to price escalations that we may be unable to offset by our prices to our customers. When supply chain issues are later resolved and prices return to normal levels, we may be required to reduce the prices at which we sell our products to our customers in order to remain competitive. In addition, even where these risks do not materialize, we may incur costs as we prepare contingency plans to address such risks. Our operating results and inventory levels could suffer if we are unable to promptly replace a supplier who is unwilling or unable to satisfy our requirements with a supplier providing similar products. In addition, our suppliers’ ability to deliver products may also be affected by raw material and commodity cost volatility or financing constraints caused by credit market conditions, which could materially and negatively impact our net sales and operating costs, at least until alternate sources of supply are arranged. Any delay or unavailability of key products required for our development activities could delay or prevent us from further developing our systems and applications on our expected timelines or at all.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Additionally, our business, financial position, results of operations and cash flows could be materially and adversely affected by our inability to continue sourcing products from our suppliers. A weak or declining economy could strain our suppliers, possibly resulting in supply disruption. In addition, there is a risk that our current or future suppliers, service providers, manufacturers or other partners may not survive such difficult economic times, which could directly affect our ability to attain our operating goals on schedule and on budget. Although we seek to have alternate sources and recover increases in input costs through price increases in our products, shortages, supply chain interruptions or regulatory changes or other governmental actions could result in the need to change suppliers or incur cost increases that cannot, in the short term, or in some cases even in the long-term, be offset by our prices.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may face unknown supply chain issues that could delay the development or introduction of our products and negatively impact our business and operating results.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reliant on third-party suppliers for components necessary to develop and manufacture our quantum computing solutions. Any of the following factors (and others) could have an adverse impact on the availability of these components:</w:t>
      </w:r>
    </w:p>
    <w:p>
      <w:pPr>
        <w:pStyle w:val="TextBody"/>
        <w:bidi w:val="0"/>
        <w:spacing w:before="0" w:after="240"/>
        <w:ind w:left="0" w:right="0" w:hanging="0"/>
        <w:jc w:val="both"/>
        <w:rPr/>
      </w:pPr>
      <w:r>
        <w:rPr/>
        <w:t>●</w:t>
      </w:r>
      <w:r>
        <w:rPr>
          <w:rFonts w:ascii="Times New Roman;Times;serif" w:hAnsi="Times New Roman;Times;serif"/>
          <w:sz w:val="20"/>
        </w:rPr>
        <w:t>our inability to enter into agreements with suppliers on commercially reasonable terms, or at all;</w:t>
      </w:r>
    </w:p>
    <w:p>
      <w:pPr>
        <w:pStyle w:val="TextBody"/>
        <w:bidi w:val="0"/>
        <w:spacing w:before="0" w:after="240"/>
        <w:ind w:left="0" w:right="0" w:hanging="0"/>
        <w:jc w:val="both"/>
        <w:rPr/>
      </w:pPr>
      <w:r>
        <w:rPr/>
        <w:t>●</w:t>
      </w:r>
      <w:r>
        <w:rPr>
          <w:rFonts w:ascii="Times New Roman;Times;serif" w:hAnsi="Times New Roman;Times;serif"/>
          <w:sz w:val="20"/>
        </w:rPr>
        <w:t>difficulties of suppliers ramping up their supply of materials to meet our requirements;</w:t>
      </w:r>
    </w:p>
    <w:p>
      <w:pPr>
        <w:pStyle w:val="TextBody"/>
        <w:bidi w:val="0"/>
        <w:spacing w:before="0" w:after="240"/>
        <w:ind w:left="0" w:right="0" w:hanging="0"/>
        <w:jc w:val="both"/>
        <w:rPr/>
      </w:pPr>
      <w:r>
        <w:rPr/>
        <w:t>●</w:t>
      </w:r>
      <w:r>
        <w:rPr>
          <w:rFonts w:ascii="Times New Roman;Times;serif" w:hAnsi="Times New Roman;Times;serif"/>
          <w:sz w:val="20"/>
        </w:rPr>
        <w:t>a significant increase in the price of one or more components, including due to industry consolidation occurring within one or more component supplier markets or as a result of decreased production capacity at manufacturers;</w:t>
      </w:r>
    </w:p>
    <w:p>
      <w:pPr>
        <w:pStyle w:val="TextBody"/>
        <w:bidi w:val="0"/>
        <w:spacing w:before="0" w:after="240"/>
        <w:ind w:left="0" w:right="0" w:hanging="0"/>
        <w:jc w:val="both"/>
        <w:rPr/>
      </w:pPr>
      <w:r>
        <w:rPr/>
        <w:t>●</w:t>
      </w:r>
      <w:r>
        <w:rPr>
          <w:rFonts w:ascii="Times New Roman;Times;serif" w:hAnsi="Times New Roman;Times;serif"/>
          <w:sz w:val="20"/>
        </w:rPr>
        <w:t>any reductions or interruption in supply, including disruptions on our global supply chain as a result of the ongoing military conflict between Russia and Ukraine and sanctions related thereto and the state of war between Israel and Hamas and the potential larger regional conflict)  (including as a result of disruptions in global shipping, the transport of products, energy supply, cybersecurity incidents and banking systems as well as our ability to control input costs) or otherwise;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problems of either manufacturers or component suppliers;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significantly increased freight charges, raw material costs, rising electrical power costs and other expenses associated with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beyond our control or which we do not presently anticipate, could also affect our suppliers’ ability to deliver components to us on a timely basis;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develop our supply chain management capabilities and recruit and retain qualified professionals;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adequately authorize procurement of inventory by our contract manufacturers; or</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appropriately cancel, reschedule or adjust our requirements based on our business needs.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any of the aforementioned factors were to materialize, it could cause us to halt production of our quantum computing solutions and/or entail higher manufacturing costs, any of which could materially adversely affect our business, operating results, and financial condition and could materially damage customer relationships.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systems depend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are limited suppliers to sources of materials which may be necessary for the production of our technology. We are currently reliant on a single or small number of suppliers for certain resources. While we are currently looking to engage additional suppliers, there is no guarantee we will be able to establish or maintain relationships with such additional suppliers on terms satisfactory to us. Reliance on any single supplier increases the risks associated with being unable to obtain the necessary components because the supplier may have manufacturing constraints, can be subject to unanticipated shutdowns and/or may be affected by natural disasters and other catastrophic events. Some of these factors may be completely out of our and our suppliers’ control. Failure to acquire sufficient quantities of the necessary components in a timely or cost-effective manner could materially harm our business.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Even if we are successful in developing quantum computing systems and executing our strategy, competitors in the industry may achieve technological breakthroughs which render our quantum computing systems obsolete or inferior to other products.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continued growth and success depends on our ability to innovate and develop quantum computing technology in a timely manner and effectively market these products. Without timely innovation and development, our quantum computing solutions could be rendered obsolete or less competitive by changing customer preferences or because of the introduction of a competitor’s newer technologies. We believe that many competing technologies will require a technological breakthrough in one or more problems related to science, fundamental physics or manufacturing. While it is uncertain whether such technological breakthroughs will occur in the next several years, that does not preclude the possibility that such technological breakthroughs could eventually occur. Any technological breakthroughs which render our technology obsolete or inferior to other products, could have a material effect on our business,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We may be unable to reduce the cost of developing our quantum computers, which may prevent us from pricing our quantum systems competitively.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success of our business is dependent upon the cost per qubit decreasing over the next several years as our quantum computers advance, which is based on achieving anticipated economies of scale related to demand for our computer systems, technological innovation and negotiations with third-party parts suppliers. If we do not achieve economies of scale or if the anticipated cost savings do not materialize, we may be unable to achieve a lower cost per qubit, which would make our quantum computing solution less competitive than those produced by our competitors and could have a material adverse effect on our business, financial condition or results of operations. Due to macroeconomic headwinds, we have experienced and may continue to experience increased costs, including with respect to labor and products.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nascent market for quantum computers is still rapidly evolving, characterized by rapidly changing technologies, competitive pricing and competitive factors, evolving government regulation and industry standards, and changing customer demands and behaviors. If demand for quantum computers in general does not develop as expected, or develops more slowly than expected, our business, prospects, financial condition and operating results could be harmed.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our growth and future demand for our products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acceptance of our solution. Negative publicity concerning our solution or the quantum computing industry as a whole could limit acceptance of our solution. We believe quantum computing will solve many large-scale problems. However, such problems may never be solvable by quantum computing technology. If our clients and partners do not perceive the benefits of our solution, or if our solution does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could suffer disruptions, outages, defects and other performance and quality problems with our quantum computing systems, our production technology partners or with the public cloud, data centers and internet infrastructure on which we rely.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business depends on our quantum computing systems being available. We have experienced, and may in the future further experience, disruptions, outages, defects and other performance and quality problems with our systems. We have also experienced, and may in the future further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Any disruptions, outages, defects and other performance and quality problems with our quantum computing systems or with the public cloud and internet infrastructure on which we rely, could result in reduced use of our systems, increased expenses, including service credit obligations, and harm to our brand and reputation, any of which could have a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If we cannot successfully execute on our strategy, including in response to changing customer needs and new technologies and other market requirements, or achieve our objectives in a timely manner, our business, financial condition and results of operations could be harmed.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quantum computing market is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Our future success depends on our ability to continue to innovate and increase customer adoption of our quantum solutions. If we are unable to enhance our quantum computing system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failure could negatively impact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future success is highly dependent on our ability to attract and retain our executive officers, key employees and other qualified personnel. As we build our brand and become more well known, there is increased risk that competitors or other companies may seek to hire our personnel. The loss of the services provided by these individuals will adversely impact the achievement of our business strategy. These individuals could leave our employment at any time, as they are “at will” employees. A loss of a member of senior management, or an engineer or other key employee particularly to a competitor, could also place us at a competitive disadvantage. Effective succession planning is also important to our long-term success and may cause disruption to our business due to, among other things, diverting management’s attention away from the operations of the business or causing a deterioration to morale.  Failure to ensure effective transfer of knowledge and smooth transitions involving key employees could hinder our strategic planning and execution. For example, our former President and Chief Executive Officer, Dr. Chad Rigetti, resigned in the fourth quarter of 2022 and was replaced by our current President and Chief Executive Officer, Dr. Subodh Kulkarni, following a transition period with an interim President and Chief Executive Officer. In addition, in the first quarter of 2023, we announced the departure of our former Chief Financial Officer, Brian Sereda, and the appointment of Jeffrey Bertelsen as our current Chief Financial Officer.</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Furthermore, the reduction in workforce that we announced in February 2023 may yield unintended consequences and costs, such as the loss of institutional knowledge and expertise, employee attrition beyond our intended reduction in force, and the risk that we may not achieve the benefits from the restructuring to the extent or as quickly as we anticipate, all of which may have a material adverse effect on our business, results of operations or financial condition. In addition, we may discover that the workforce reduction and other restructuring efforts will make it difficult for us to pursue new opportunities and initiatives and require us to hire qualified replacement personnel, which may require us to incur additional and unanticipated costs and expenses.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is critical to our business and the development of our quantum computing systems.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computing technologies, the commercialization of our quantum computing technologies and the effective operation of our managerial and operating systems all depend upon our ability to attract, train and retain qualified personnel in the aforementioned specialties.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be otherwise unable to develop and grow our business as projected, or even at all.</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future growth and success depends on our ability to sell effectively to government entities and large enterprises.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potential customers tend to be government agencies and large enterprises. Therefore, our future success will depend on our ability to effectively sell our products to such customers. Sales to these end-customers involve risks that may not be present (or that are present to a lesser extent) with sales to non-governmental agencies or smaller customers. These risks include, but are not limited to, (i) increased purchasing power and leverage held by such customers in negotiating contractual arrangements with us and (ii) longer sales cycles and the associated risk that substantial time and resources may be spent on a potential end-customer that elects not to purchase our solutions. Sales to government agencies are typically under fixed fee development contracts, which involve additional risks. See “-</w:t>
      </w:r>
      <w:r>
        <w:rPr>
          <w:rFonts w:ascii="Times New Roman;Times;serif" w:hAnsi="Times New Roman;Times;serif"/>
          <w:i/>
          <w:sz w:val="20"/>
        </w:rPr>
        <w:t xml:space="preserve">If our cost and time estimates for fixed fee arrangements do not accurately anticipate the cost of servicing those arrangements, we could experience losses on these arrangements or our profitability could be reduced. </w:t>
      </w:r>
      <w:r>
        <w:rPr>
          <w:rFonts w:ascii="Times New Roman;Times;serif" w:hAnsi="Times New Roman;Times;serif"/>
          <w:sz w:val="20"/>
        </w:rPr>
        <w:t xml:space="preserv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government contracts generally include the ability of government agencies to terminate early which, if exercised, would result in a lower contract value and lower than anticipated revenues generated by such arrangement. See “</w:t>
      </w:r>
      <w:r>
        <w:rPr>
          <w:rFonts w:ascii="Times New Roman;Times;serif" w:hAnsi="Times New Roman;Times;serif"/>
          <w:i/>
          <w:sz w:val="20"/>
        </w:rPr>
        <w:t>Contracts with U.S. government entities subject us to risks including early termination, audits, investigations, sanctions and penalties</w:t>
      </w:r>
      <w:r>
        <w:rPr>
          <w:rFonts w:ascii="Times New Roman;Times;serif" w:hAnsi="Times New Roman;Times;serif"/>
          <w:sz w:val="20"/>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Government agencies and large organizations often undertake a significant evaluation process that results in a lengthy sales cycle.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may not be able to accurately estimate the future supply and demand for our quantum computers,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and related compute time to our potential customers could be delayed, which would harm our business,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quantum computing systems may not be compatible with some or all industry-standard software and hardware in the future, which could harm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focused our efforts on creating quantum computing hardware, the operating system for such hardware, a suite of low-level software programs that optimize execution of quantum algorithms on our hardware, application programing interfaces (“APIs”) to access our systems, software development kits (“SDKs”) for system and application developers, and quantum programming languages for low- and high-level application developers. The industry is rapidly evolving, and customers have many choices for programming languages, application libraries, APIs, and SDKs, some of which may not be compatible with our own languages, APIs or SDKs. Our quantum computing solutions are designed today to be compatible with most major quantum software development kits, including Qiskit, Cirq, and Open QASM, all of which are open source. If a proprietary (not open source) software toolset became the standard for quantum application development in the future by a competitor, usage of our hardware might be limited as a result which would have a negative impact on the Company. Similarly, if a piece of hardware became a necessary component for quantum computing (for instance, quantum networking) and we cannot integrate with it the result might have a negative impact on the Company.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our customers are unable to achieve compatibility between other software and hardware and our hardware, it could impact our relationships with such customers or with customers, generally, if the incompatibility is more widespread.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If we are unable to maintain our current strategic partnerships or we are unable to develop future collaborative partnerships, our future growth and development could be negatively impacted.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rely on our current collaborative partners and third parties and may rely heavily on future collaborative partners and third parties to develop key, relevant algorithms and programming to make our quantum systems commercially viable. We have entered into, and may enter into, strategic partnerships to develop and commercialize our current and future research and development programs with other companies to accomplish one or more of the following:</w:t>
      </w:r>
    </w:p>
    <w:tbl>
      <w:tblPr>
        <w:tblW w:w="1896" w:type="dxa"/>
        <w:jc w:val="left"/>
        <w:tblInd w:w="0" w:type="dxa"/>
        <w:tblLayout w:type="fixed"/>
        <w:tblCellMar>
          <w:top w:w="28" w:type="dxa"/>
          <w:left w:w="28" w:type="dxa"/>
          <w:bottom w:w="28" w:type="dxa"/>
          <w:right w:w="28" w:type="dxa"/>
        </w:tblCellMar>
      </w:tblPr>
      <w:tblGrid>
        <w:gridCol w:w="124"/>
        <w:gridCol w:w="256"/>
        <w:gridCol w:w="1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expertise;</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sales and marketing services or support;</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equipment and facilities;</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relationships with potential future customers; and</w:t>
            </w:r>
          </w:p>
        </w:tc>
      </w:tr>
    </w:tbl>
    <w:tbl>
      <w:tblPr>
        <w:tblW w:w="1956" w:type="dxa"/>
        <w:jc w:val="left"/>
        <w:tblInd w:w="0" w:type="dxa"/>
        <w:tblLayout w:type="fixed"/>
        <w:tblCellMar>
          <w:top w:w="28" w:type="dxa"/>
          <w:left w:w="28" w:type="dxa"/>
          <w:bottom w:w="28" w:type="dxa"/>
          <w:right w:w="28" w:type="dxa"/>
        </w:tblCellMar>
      </w:tblPr>
      <w:tblGrid>
        <w:gridCol w:w="124"/>
        <w:gridCol w:w="256"/>
        <w:gridCol w:w="1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 revenue.</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may not be successful in establishing or maintaining suitable partnerships, and we may not be able to negotiate collaboration agreements having terms satisfactory to the Company, or at all. Failure to make or maintain these arrangements or a delay or failure in a collaborative partner’s performance under any such arrangements could harm our business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Cyber-attacks, malicious internet-based activity, online and offline fraud, denial-of-service attacks, ransomware attacks, business email compromises, computer malware, viruses, and social engineering (including through deep fakes, which may be increasingly more difficult to identify as fake, and phishing attacks) and other similar activities threaten the confidentiality, integrity, and availability of our sensitive information and information technology systems, and those of the third parties upon which we rely. Such threats are prevalent in the technology industry and our customers’ industries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The techniques may be used to sabotage or to obtain unauthorized access to our platform, systems, networks, or physical facilities where our quantum computers are stored, and we may be unable to implement adequate preventative measures or stop security breaches while they are occurring. U.S. law enforcement agencies have indicated to us that quantum computing technology is of particular interest to certain malicious cyber threat actors. In addition, our cybersecurity risk could be increased as a result of the ongoing military conflict between Russia and Ukraine and the related sanctions imposed against Russia.</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In addition,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rely on third-party service providers and technologies to operate critical business systems to process sensitive information in a variety of contexts. Our platform is built to be accessed through third-party public cloud providers such as AWS. These providers may also experience breaches and attacks to their products which may impact our systems. Data security breaches may also result from non-technical means, such as actions by an employee with access to our systems.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While we and our third-party cloud providers have implemented security measures designed to protect against security breaches, can be of no assurance that these measures will be effective and these measures could fail or may be insufficient, resulting in the unauthorized disclosure, modification, misuse, destruction, or loss of sensitive or confidential information. We take steps designed to detect, mitigate, and remediate vulnerabilities, in our information systems (such as our hardware and/or software, including that of third parties upon which we rely),  but we may not be able to detect and remediate all vulnerabilities on a timely basis because the threats and techniques used to exploit the vulnerability change frequently and are often sophisticated in nature. Therefore, such vulnerabilities could be exploited but may not be detected until after a security incident has occurred. Any unremediated vulnerabilities pose material risks to our business. Further, we may experience delays in developing and deploying remedial measures designed to address any such identified vulnerabilities.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products , and services.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Certain data privacy and security obligations may require us to implement and maintain specific security measures or industry-standard or reasonable security measures to protect our information technology systems and sensitive information. In addition,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Actual or perceived breaches of our security measures or the accidental loss, inadvertent disclosure or unapproved dissemination of proprietary information or sensitive or confidential data about the Company, our partners, our customers or third parties could expose us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security breach in a timely manner, or a breach otherwise affects our customers, or if we suffer a cyber-attack that impacts our ability to operate our platform,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material damage to our reputation; monetary fund diversions; diversions of management attention; interruptions in our operations (including availability of data); financial loss; and other similar harms.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Security incidents and attendant consequences may cause customers to stop using our services, deter new customers from using our services, and negatively impact our ability to grow and operate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Unfavorable conditions in our industry or the global economy, could limit our ability to grow our business and negatively affect our results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results of operations have varied and may continue to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international trade relations, pandemics, political turmoil, natural catastrophes, warfare, and terrorist attacks on the United States or elsewhere, could cause a decrease in business investments, including the progress on development of quantum technologies, and negatively affect the growth of our business. In addition, in challenging economic times, our current or potential future customers may experience cash flow problems and as a result may modify, delay or cancel plans to purchase our products and services. Additionally, if our customers are not successful in generating sufficient revenue or are unable to secure financing, they may not be able to pay, or may delay payment of, accounts receivable due to it. Moreover, our key suppliers may reduce their output or become insolvent, thereby adversely impacting our ability to manufacture our products.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Government actions and regulations, such as tariffs and trade protection measures, may limit our ability to obtain products from our suppliers or sell our products and services to customers. Political challenges between the United States and countries in which our suppliers are located, and changes to trade policies, including tariff rates and customs duties, trade relations between the United States and those countries and other macroeconomic issues could adversely impact our business. The United States administration has announced tariffs on certain products imported into the United States, and some countries have imposed tariffs in response to the actions of the United States. There is also a possibility of future tariffs, trade protection measures or other restrictions imposed on our products or on our customers by the United States or other countries that could have a material adverse effect on our business. Our technology may be deemed a matter of national security and as such our customer base may be tightly restricted. We may accept government grants that place restrictions on the business’ ability to operate.</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Unstable market and economic conditions have had and may continue to have serious adverse consequences on our business, financial condition and share price.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bank failures and uncertainty about economic stability. For example, recent bank failures have resulted in volatility in the capital markets. Similarly, the ongoing military conflict between Russia and Ukraine, and the war between Israel and Hamas, have created extreme volatility in the global capital markets and is expected to have further global economic consequences, including disruptions of the global supply chain and energy markets. Any volatility and disruptions may have adverse consequences on us or the third parties on whom we rely. If general economic conditions were to deteriorate or remain uncertain for an extended period, our liquidity and ability to repay our outstanding debt may be harmed and the trading price of our Common Stock could decline. A significant decline of stock price has caused, and may cause in the future, a triggering event for impairment testing of fair-valued assets and long-lived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example, in assessing our goodwill in connection with the preparation of the financial statements for the fourth quarter and fiscal year ended December 31, 2022, we concluded indicators of impairment were present due to the current macroeconomic conditions, including continued declines in our stock price. Based upon the results of the impairment test, we recorded a goodwill impairment charge of $5.4 million within the consolidated statement of operations for the twelve months ended December 31, 2022. If the equity and credit markets further deteriorate, including as a result of political unrest or war, it may make any necessary financing more difficult to obtain in a timely manner or on favorable terms, more costly or more  dilutive, and we could be forced to delay, reduce or eliminate our research and development programs and other efforts. Increased inflation rates have and are expected to adversely affect us by increasing our costs, including labor and employee benefit costs, and costs for equipment and system components associated with system development. In addition, higher inflation could also increase our customers’ operating costs, which could result in reduced budgets for our customers and potentially less demand for our systems. Any significant increases in inflation and related increase in interest rates could have a material adverse effect on our business, results of operations and financial condition.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in the future a financial institution in which we hold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Further, these events may make financings more difficult to obtain, and additional financing might not be available on reasonable terms, if at all; difficulties obtaining financing could have a material adverse effect on our financial condition, as well as our ability to continue to grow our operations.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If our cost and time estimates for fixed fee arrangements do not accurately anticipate the cost of servicing those arrangements, we could experience losses on these arrangements and our profitability could be reduced.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development contracts are typically fixed fee arrangements invoiced on a milestone basis. If we underestimate the amount of effort required to deliver on a contract and/or the period of time required to achieve the milestone, our profitability could be reduced. If the actual costs of completing the contract exceed the agreed upon fixed price, we would incur a loss on the arrangement.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have identified material weaknesses in our internal control over financial reporting related to the lack of effective review controls over 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previously disclosed, 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error related to the Company not properly accounting for the liability associated with the warrants to purchase common stock issued to Trinity Capital Inc. that was subsequently cancelled and reissued for a new warrant in connection with an amendment to the Loan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addition, in connection with the preparation of the financial statements for the second quarter of 2022, we also identified and corrected an immaterial error related to the revaluation of the liability associated with the same warrants issued to Trinity Capital. The error was made in the previously issued unaudited condensed consolidated financial statements as of and for the period ended March 31, 2022. We corrected the immaterial error in our condensed consolidated financial statements as of and for the period ended June 30, 2022 and restated our financial statements for the quarters ended March 31, 2022 and June 30, 2022 as described below, and reversed such prior correction and instead reflected such correction in the restated financial statements for the quarter ended March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connection with the preparation of the financial statements for the third quarter of 2022, we discovered that the previously identified material weakness led to additional material errors related to the valuation of the Earn-out liabilities and the Private Warrant liability that affected the previously issued unaudited condensed consolidated financial statements as of and for the periods ended March 31, 2022 and June 30, 2022. These errors were corrected in the unaudited condensed consolidated financial statements as of and for the periods ended March 31, 2022 and June 30, 2022 through a restatement of previously filed financial statements for such periods.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management previously concluded that this material weakness in our internal control over financial reporting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these complex instruments. This material weakness continued to exist as of December 31, 2023 because the controls that were implemented as part of our plan to remediate this material weakness have not been operating for a sufficient period of time to allow management to conclude through testing that the controls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Additionally, in connection with the preparation of the financial statements for the year ended December 31, 2022, we identified a material weakness in our internal control over financial reporting related to the design and operation of our overall closing and financial reporting processes, including the timely preparation of account reconciliations, effective segregation of duties, particularly with respect to IT systems and a lack of timely review over the financial statement close process. We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 This material weakness continued to exist as of December 31, 2023 because the necessary controls to remediate the material weaknesses have only been partially implemented and have not yet been sufficiently tested. The material weaknesses will not be considered remediated until such time as management designs and implements effective controls that operate for a sufficient period of time and concludes through testing, that these controls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management will continue to monitor the effectiveness of our remediation plan and will make the changes it determines to be appropriate. Although we intend to complete this remediation process as quickly as practicable, we cannot at this time estimate how long it will take, and our initiatives may not prove to be successful in remediating the material weaknesses. Furthermore, we cannot ensure that the measures we have taken to date, and actions we may take in the future, will be sufficient to remediate in a timely manner or at all the control deficiencies that led to our material weaknesses in our internal controls over financial reporting or that they will prevent or avoid potential future material weaknesses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Any failure to remediate the material weaknesses or otherwise develop or maintain effective controls or any difficulties encountered in their implementation or improvement could limit our ability to prevent or detect a misstatement of our accounts or disclosures that could result in additional material misstatements of our annual or interim financial statements. In such a case, we may be unable to maintain compliance with securities law requirements regarding timely filing of periodic reports in addition to the listing requirements of the Nasdaq. In addition, we could be subject to sanctions or investigations by the SEC, the Nasdaq Stock Market or other regulatory authorities as well as shareholder litigation which would require additional financial and management resources, and investors may lose confidence in our financial reporting and our stock price may decline as a result.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a result, our ability to obtain any additional financing, or additional financing on favorable terms, could be materially and adversely affected, which in turn, could materially and adversely affect our business, financial condition and the market value of our common stock and require us to incur additional costs to improve our internal control systems and procedures. In addition, perceptions of the Company among customers, suppliers, lenders, investors, securities analysts and others could also be adversely affected.</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facilities or operations could be damaged or adversely affected as a result of prolonged power outages, natural disasters and other catastrophic events.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facilities or operations could be adversely affected by power outages as well as events outside of our control, such as natural disasters and other calamities. We cannot assure you that any backup systems will be adequate to protect us from the effects of fire, floods, typhoons, earthquakes, power loss resulting from such natural disasters,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 A significant power outage may disrupt our operations and could have a material adverse impact on our business, financial condition, results of operations and cash flows.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 xml:space="preserve">Risks Related to Our International Expansion </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Because our success depends, in part, on our ability to expand sales internationally, our business will be susceptible to risks associated with international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currently maintain offices and have sales personnel in the United States, the United Kingdom, Australia and Canada. In the years ended December 31, 2023 and December 31, 2022, our non-U.S. revenue was approximately 7.6% and 15.0% of our total revenue, respectively. Depending on customer opportunities and our ability to access quantum engineering talent, we may continue to expand our international operations, which may include opening offices in new jurisdictions. Any additional international expansion efforts that we are undertaking and may undertake may not be successful. In addition, conducting international operations subjects us to new risks, some of which we have not generally faced in the United States or other countries where we currently operate. These risks include,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costs and errors in the localization of our platform and solutions, including translation into foreign languages and adaptation for local culture, practices and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familiarity and burdens of complying with foreign laws, legal standards, privacy and cybersecurity standards, regulatory requirements, foreign export control rules, tariffs and other barriers, and the risk of penalties to our customers and individual members of management or employees if our practices are deemed to not be in compliance;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practical difficulties of enforcing intellectual property rights in countries with varying laws and standards and reduced or varied protection for intellectual property rights in some countries;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evolving legal framework and additional legal or regulatory requirements for data privacy and cybersecurity, which may necessitate the establishment of systems to maintain data in local markets, requiring us to invest in additional data centers and network infrastructure, and the implementation of additional employee data privacy documentation (including locally-compliant data privacy notice and policies), all of which may involve substantial expense and may cause us to need to divert resources from other aspects of our business, all of which may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regulatory requirements, taxes, trade laws, tariffs, export quotas, custom duties or other trade restrictions;</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managing systems integrators and technology partners;</w:t>
            </w:r>
          </w:p>
        </w:tc>
      </w:tr>
    </w:tbl>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technology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pricing environments, longer sales cycles, longer accounts receivable payment cycles and difficulties in collecting accounts receivable;</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financial accounting and reporting burdens and complexities;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managing and staffing international operations including the proper classification of independent contractors and other contingent workers, differing employer/employee relationships and local employment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 involved with recruiting and retaining an expanded employee population outside the United States through cash and equity-based incentive programs and unexpected legal costs and regulatory restrictions in issuing our shares to employees outside the United States;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political and regulatory changes that may lead to restrictions on immigration and travel for our employees;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exchange rates that may decrease the value of foreign-based revenue;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adverse tax consequences, including the complexities of foreign value added tax (or other tax) systems, restrictions on the repatriation of earnings, and transfer pricing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establishment risks and complexities in connection with international payroll, tax and social security requirements for international employees.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Compliance with laws and regulations applicable to our global operations also substantially increases the cost of doing business in foreign jurisdictions. We have limited experience in marketing, selling and supporting our platform outside of the United States.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international sales and operations subject us to additional risks and costs, including the ability to engage with customers in new geographies, exposure to foreign currency exchange rate fluctuations, that can adversely affect our business, financial condition, revenues, results of operations or cash flows.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derive a significant portion of revenue from our customers in the United States. We may expand our international operations if we are able to achieve narrow or broad quantum advantage. However, there are a variety of risks and costs associated with our international sales and operations, which may include making additional investments prior to the proven adoption of our solutions, the cost of conducting our business internationally and hiring and training international employees and the costs associated with complying with local law. Furthermore, we cannot predict the rate at which our platform and solutions will be accepted in international markets by potential customers.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currently have sales, customer support and engineering personnel outside the United States in the United Kingdom, Australia and Canada; however, our sales, support and engineering organization outside the United States is smaller than our U.S. sales organization. We believe our ability to attract new customers to purchase our QPUs or subscribe to our platform, or to attract existing customers to expand their purchase of our QPUs or to renew or expand their use of our platform is directly correlated to the level of engagement we obtain with the customer. To the extent we are unable to effectively engage with non-U.S. customers due to our limited sales force capacity, we may be unable to effectively grow in international markets.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Given our international presence, we are exposed to the effects of fluctuations in currency exchange rates. While we have primarily transacted with customers in U.S. dollars, we expect to continue to generate some revenues, denominated in foreign currencies. Additionally, fluctuations in the value of the U.S. dollar and foreign currencies may make our QPUs or subscriptions more expensive for international customers, which could harm our business. Additionally, we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international operations may subject us to greater than anticipated tax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amount of taxes we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Risks Related to Litigation and Government Regulation</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are subject to stringent and evolving U.S. state, federal and foreign laws, regulations and rules, contractual obligations, industry standards, policies and other obligations related to privacy, data use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otherwise could adversely affect us and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and intellectual property. We are, therefore, subject to numerous data privacy and security obligations, such as state and federal laws and regulations, guidance, industry standards, external and internal privacy and security policies, contractual requirements, and other obligations related to privacy, data use and security.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amended by the California Privacy Rights Act of 2020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Similar laws are being considered in several other states, as well as at the federal and local levels. These developments further complicate compliance efforts, and increase legal risk and compliance costs for us, and the third parties upon whom we rely.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Outside of the United States, foreign governments are raising similar privacy and data security concerns. In particular, the United Kingdom’s GDPR (“UK GDPR”) imposes strict requirements for processing personal data. For example, under the UK GDPR, companies may face temporary or definitive bans on data processing and other corrective actions; fines of up to 17.5 million pounds or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may apply to our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the ordinary course of business, we may transfer personal data from the United Kingdom (UK), Canada, Australia and other jurisdictions to the United States or other countries. The UK and other jurisdictions have enacted laws requiring data to be localized or limiting the transfer of personal data to other countries. In particular, the UK has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UK to the United States in compliance with law, such as the UK’s international data transfer addendum, these mechanisms are subject to legal challenges, and there is no assurance that we can satisfy or rely on these measures to lawfully transfer personal data to the United States.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there is no lawful manner for us to transfer personal data from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UK to other jurisdictions, particularly to the United States, are subject to increased scrutiny from regulators, individual litigants, and activist groups.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also bound by contractual obligations related to data privacy and security, and our efforts to comply with such obligations may not be successful. For example, certain privacy laws, such as the UK GDPR and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Contracts with U.S. government entities subject us to risks including early termination, audits, investigations, sanctions and penalties.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several contracts with various government entities, including contracts with NASA, the Defense Advanced Research Project Agency, and the Department of Energy, among others, and we may enter into additional contracts with U.S. government entities in the future, which subjects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government contracts normally contain additional requirements that may increase our costs of doing business, reduce our profits, and expose us to liability for failure to comply with these terms and conditions. These requirements include, for example:</w:t>
      </w:r>
    </w:p>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specialized disclosure and accounting requirements unique to government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disclosures of certain contract and company information;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socioeconomic compliance requirements, including labor requirements, non-discrimination and affirmative action programs and environmental compliance requirements.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or suspension could adversely affect our ability to operate our business and our financial results.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are subject to U.S. and foreign anti-corruption, anti-bribery and similar laws, and non-compliance with such laws can subject us to criminal or civil liability and harm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subject to the U.S. Foreign Corrupt Practices Act of 1977, as amended, the U.S. domestic bribery statute contained in 18 U.S.C. § 201, the U.S. Travel Act, and other anti-bribery, and anti-corruption laws in countries in which we conduct activities. Anti-corruption and anti-bribery laws have been enforced aggressively in recent years and are interpreted broadly to generally prohibit companies, their employees, and their third-party intermediaries from authorizing, promising, offering, providing, soliciting, or accepting, directly or indirectly, improper payments or benefits to or from any person whether in the public or private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We are subject to governmental export and import controls that could impair our ability to compete in international markets due to licensing requirements and subject us to liability if we are not in compliance with applicable laws.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products and technologies are subject to U.S. export control and import laws and regulations, including the U.S. Export Administration Regulations, U.S. Customs regulations, and various economic and trade sanctions regulations administered by the U.S. Treasury Department’s Office of Foreign Assets Controls. U.S. export control and economic sanctions laws include restrictions or prohibitions on the sale or supply of certain products, technologies, and services to U.S. Government embargoed or sanctioned countries, governments, persons and entities. In addition, certain products and technology may be subject to export licensing or approval requirements. Exports of our products and technology must be made in compliance with export control and sanctions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changes in our products or technologies or changes in applicable export or import laws and regulations may create delays in the introduction and sale of our products and technologies in international markets or, in some cases, prevent the export or import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export or sell our products and technologies to existing or potential customers. Any decreased use of our products and technologies or limitation on our ability to export or sell our products and technologies would likely adversely affect our business, financial condition and results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expect to incur significant costs in complying with these regulations. Regulations related to quantum computing are currently evolving and we face risks associated with changes to these regulations.</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Our business is exposed to risks associated with litigation, investigations and regulatory proceedings.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may in the future face legal, administrative and regulatory proceedings, claims, demands and/or investigations involving stockholder,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We may become subject to product liability claims, which could harm our financial condition and liquidity if we are not able to successfully defend or insure against such claims.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may become subject to product liability claims, even those without merit, which could harm our business prospects, operating results, and financial condition. We may face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are subject to requirements relating to environmental and safety regulations and environmental remediation matters which could adversely affect our business, results of operations and reputation.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Changes in tax laws or regulations that are applied adversely to us may have a material adverse effect on our business, cash flow, financial condition, or results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New tax laws, statutes, rules, regulations, or ordinances could be enacted at any time. For instance, the Inflation Reduction Act imposes, among other rules, a 15% minimum tax on the book income of certain large corporations and a 1% excise tax on certain corporate stock repurchases. Further, existing tax laws, statutes, rules, regulations, or ordinances could be interpreted differently, changed, repealed, or modified at any time. Any such enactment, interpretation, change, repeal, or modification could adversely affect us, possibly with retroactive effect. In particular, changes in corporate tax rates, the realization of our net deferred tax assets, the taxation of foreign earnings, and the deductibility of expenses under the Tax Cuts and Jobs Act, as amended by the Coronavirus Aid, Relief, and Economic Security Act or any future tax reform legislation, could have a material impact on the value of our deferred tax assets, result in significant one-time charges, and increase our future tax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Any failure to obtain, maintain and protect our intellectual property rights could impair our ability to protect and commercialize our proprietary products and technology and cause us to lose our competitive advantage.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However, we may not be able to prevent unauthorized use of our intellectual property. Our trade secrets may also be compromised, which could cause us to lose our competitive advantage. Third parties may attempt to copy or otherwise obtain, use or infringe our intellectual property.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Patent, copyright, trademark and trade secret laws vary significantly throughout the world.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inability to secure patent protection or enforce our patent rights could have a material adverse effect on our ability to prevent others from commercializing similar products or technology.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application and registration of patents involves complex legal and factual questions. As a result, we cannot be certain that the patent applications that we file will result in patents being issued, or that our patents and any future patents that do issue will afford protection against competitors with similar technology.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Numerous patents and pending patent applications owned by others exist in the fields in which we have developed and are developing our technology, and this may make it difficult for us to obtain certain patent coverage on our own.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 that are similar or that achieve results similar to ours.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patents issued to us may be infringed upon or designed around by others and others may obtain patents that it needs to license or design around, either of which would increase costs and may adversely affect our business, prospects, financial condition and operating results.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may face patent infringement and other intellectual property claims that could be costly to defend, result in injunctions and significant damage awards, or limit our ability to use certain key technologies in the future, all of which could harm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The strength of our defenses will depend on the rights asserted, the interpretation of these rights, and our ability to invalidate the asserted rights. However, we could be unsuccessful in advancing non-infringement and/or invalidity arguments in our defense.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 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our Common Stock.</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litigation to which we might become a party, or for which we are required to provide indemnification, regardless of the merit of the claim or our defenses, may require us to do one or more of the following: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selling or using solutions or services that incorporate the intellectual property rights that allegedly infringe, misappropriate or violate the intellectual property of a third party;</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substantial payments for legal fees, settlement payments or other costs or damages;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which may not be available on reasonable terms or at all, to sell or use the relevant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the allegedly infringing solutions to avoid infringement, misappropriation or violation, which could be costly, time-consuming or impossible; or</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indemnify third parties using our products or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rely on certain open-source software in our quantum systems. If licensing terms change, our business may be adversely affected.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platform utilizes software licensed to us by third-party authors under “open-source” licenses and we expect to continue to utilize open-source software in the future. The use of open-source software may entail greater risks than the use of third-party commercial software, as open-source licensors generally do not provide warranties or other contractual protections regarding infringement claims or the quality of the code. To the extent that our platform depends upon the successful operation of the open-source software we use, any undetected errors or defects in this open-source software could prevent the deployment or impair the functionality of our platform, delay new solution introductions, result in a failure of our platform and injure our reputation. For example, undetected errors or defects in open-source software could render us vulnerable to breaches or security attacks, and, in conjunction, make our systems more vulnerable to data breaches.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Furthermore, some open-source licenses require the release of proprietary source code combined with, linked to or distributed with such open-source software to be released to the public. If we combine, link or distribute our proprietary software with open-source software in a specific manner, we could, under some open-source licenses, be required to release the source code of our proprietary software to the public. This would allow our competitors to create similar solutions with lower development effort and time and ultimately put us at a competitive disadvantage.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Although we monitor our use of open-source software to avoid subjecting our platform to conditions we do not intend to attach to such platform or our proprietary code, we cannot assure you that our processes for controlling such use will be effective. If we are held to have breached the terms of an open-source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 This could allow our competitors to create similar solutions with lower development effort and time and ultimately put us at a competitive disadvantage.</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Some of our intellectual property has been or may be conceived or developed through government-funded research and thus may be subject to federal regulations providing for certain rights for the U.S. government or imposing certain obligations on us, such as a license to the U.S. government under such intellectual property, “march-in” rights, certain reporting requirements and a preference for U.S.-based companies, and compliance with such regulations may limit our exclusive rights and our ability to contract with non-U.S. manufacturers.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a result, the U.S. government may have certain rights to intellectual property embodied in our current or future product candidates pursuant to the Bayh-Dole Act of 1980, or the Patent and Trademark Law Amendments Act. These U.S. government rights include a non-exclusive, non-transferable, irrevocable worldwide license to use inventions for any governmental purpose.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some of our license agreements require that we comply with this requirement.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Risks related to an Investment in our Securities and other General Matters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The market price of our Common Stock and Public Warrants has been and may continue to be volatile, which could cause the value of your investment to decline.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price of our Common Stock and Public Warrants has been and may continue to be volatile and has and may fluctuate or decline significantly in response to numerous factors, some of which are beyond our control. The securities markets have experienced and continue to experience significant volatility. As a result of this volatility, investors in our common stock may not be able to sell their shares at or above the prices they paid. Further, as a result of this volatility it may be difficult for us to attract new investments, including additional offerings of our securities, on terms we consider reasonable, or at all.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the twelve-month period ended December 31, 2023, the market price of our Common Stock varied between a high of $3.25 on August 1, 2023 and a low of $0.375 on May 3, 2023 and the market price of our Public Warrants varied between a high of $0.53 on August 2, 2023 and a low of $0.05 on April 27, 2023. Market volatility, as well as general economic, market or political conditions, could reduce the market price of shares of our Common Stock or Public Warrants regardless of our operating performance. Our operating results could be below the expectations of public market analysts and investors due to a number of potential factors, including:</w:t>
      </w:r>
    </w:p>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technological milestones, including any delays;</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industries in which we and our customers operate;</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operating performance and the performance of our competitors in general;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and adverse impact of the ongoing military conflict between Russia and Ukraine and sanctions related thereto and the state of war between Israel and Hamas and the potential for larger regional conflict and the broader global economy;</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or annual operating results;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by securities analysts about us or our competitors or our industry;</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our other public announcements and our filings with the SEC;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or the failure of our competitors to meet analysts’ projections or guidance that we or our competitors may give to the market;</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the Company;</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shares of our Common Stock available for public sale, including the significant percentage of shares of our Common Stock that may be offered for resale;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response to press releases or other public announcements by us or third parties, including our filings with the SEC;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guidance, if any, that we provide to the public, any changes in this guidance or our failure to meet this guidance, including with respect to our technology roadmap;</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sustainability of an active trading market for our stock;</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institutional or activist stockholders;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recessions, increases in inflation and interest rates, disruptions to banking systems, foreign currency fluctuations, international tariffs, social, political and economic risks, natural disasters, acts of war (including the conflict involving Russia and Ukraine), terrorism or responses to such events.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market and industry factors may materially reduce the market price of our Common Stock and our Public Warrants regardless of the operating performance of the Company. In the past, following periods of market volatility, stockholders have instituted securities class action litigation. If we are involved in securities litigation, it could have a substantial cost and divert resources and the attention of executive management from our business regardless of the outcome of such litigation.</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may fail to comply with the rules that apply to public companies, including Section 404 of the Sarbanes-Oxley Act, which could result in sanctions or other penalties that would adversely impact our business.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a public company, and particularly after we are no longer an “emerging growth company,” we have and will continue to incur significant legal, accounting, and other expenses that we did not incur as a private company, including costs resulting from public company reporting obligations under the Securities Act or the Exchange Act, and regulations regarding corporate governance practices. The Sarbanes-Oxley Act, the Dodd-Frank Wall Street Reform and Consumer Protection Act, the rules of the SEC, the listing requirements of the Nasdaq, and other applicable securities rules and regulations impose various requirements on public companies, including establishment and maintenance of effective disclosure and financial controls and corporate governance practices. We hired, and plan to hire in the future, additional accounting, finance, and other personnel in connection with our becoming, and our efforts to comply with the requirements of being, a public company, and our management and other personnel devote a substantial amount of time towards maintaining compliance with these requirements. These requirements have increased our legal and financial compliance costs and made some activities more time-consuming and costly. Changes we have made and any changes we make in the future to comply with these obligations may not be sufficient to allow us to satisfy our obligations as a public company on a timely basis, or at all.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Pursuant to Sarbanes-Oxley Act Section 404, we are required to furnish a report by our management on our internal control over financial reporting in our Annual Reports on Form 10-K with the SEC. In order to achieve effective internal controls to support growth and public company requirements, we will need additional financial personnel, systems and resources. However, while we remain an emerging growth company, we are not required to include an attestation report on internal control over financial reporting issued by our independent registered public accounting firm.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To achieve compliance with Sarbanes-Oxley Act Section 404, we have engaged in a process to enhance our documentation and evaluate our internal control over financial reporting, which was both costly and challenging. Despite our efforts, we have not been able to conclude, and there is a risk that we will not be able to conclude in the future, that our internal control over financial reporting is effective as required by Sarbanes-Oxley Act Section 404. We have identified material weaknesses with respect to our internal control over financial reporting. In this regard, we will need to continue to dedicate internal and external resources, continue steps to improve control processes as appropriate, and validate through testing that controls are functioning as documented. See </w:t>
      </w:r>
      <w:r>
        <w:rPr>
          <w:rFonts w:ascii="Times New Roman;Times;serif" w:hAnsi="Times New Roman;Times;serif"/>
          <w:i/>
          <w:sz w:val="20"/>
        </w:rPr>
        <w:t>We have identified material weaknesses in our internal control over financial reporting related to the lack of effective review controls over 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r>
        <w:rPr>
          <w:rFonts w:ascii="Times New Roman;Times;serif" w:hAnsi="Times New Roman;Times;serif"/>
          <w:sz w:val="20"/>
        </w:rPr>
        <w: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have incurred and will continue to incur substantial costs as a result of operating as a public company, and our management will continue to devote substantial time to new compliance initiatives. In addition, key members of our management team have limited experience managing a public company.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public company, we incur substantial legal, accounting, and other expenses that we did not incur as a private company. For example, we are subject to the reporting requirements of the Exchange Act, the applicable requirements of the Sarbanes-Oxley Act, the Dodd-Frank Wall Street Reform and Consumer Protection Act, the rules and regulations of the SEC and the listing standards of Nasdaq. The Exchange Act requires, among other things, that we file annual, quarterly, and current reports with respect to our business, financial condition and results of operations. Compliance with these rules and regulations increase our legal and financial compliance costs and increase demand on our systems, particularly after we are no longer an emerging growth company. In addition, as a public company, we may be subject to shareholder activism, which can lead to additional substantial costs, distract management and impact the manner in which we operate our business in ways we cannot currently anticipate. As a result of disclosure of information in this Annual Report on Form 10-K and in filings required of a public company, our business and financial condition are more visible, which may result in threatened or actual litigation, including by competitors.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Certain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the business, which could adversely affect our business, financial condition, and results of operations.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Concentration of ownership among our executive officers, directors and their respective affiliates may limit other stockholders’ ability to influence corporate matters and delay or prevent a third party from acquiring control over us.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current executive officers and directors and their respective affiliates beneficially own, in the aggregate, approximately 16.3% of our outstanding Common Stock as of March 1, 2024. This significant concentration of ownership may have a negative impact on the trading price for our Common Stock because investors often perceive disadvantages in owning stock in companies where there is a concentration of ownership in a small number of stockholders. In addition, these stockholders will be able to exercise influence over all matters requiring stockholder approval, including the election of directors and approval of corporate transactions, such as a merger or other sale of us or our assets. This concentration of ownership could limit other stockholders’ ability to influence corporate matters and may have the effect of delaying or preventing a change in control, including a merger, consolidation or other business combination, or discouraging a potential acquirer from making a tender offer or otherwise attempting to obtain control, even if that change in control would benefit the other stockholders.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do not intend to pay cash dividends for the foreseeable future.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currently intend to retain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quarterly operating results have and may fluctuate significantly and could fall below the expectations of securities analysts and investors due to seasonality and other factors, some of which are beyond our control, resulting in a decline in our stock price.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quarterly operating results have and may fluctuate significantly because of several factors, including:</w:t>
      </w:r>
    </w:p>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availability and costs for hourly and management personnel;</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profitability of our products, especially in new markets and due to seasonal fluctuations;</w:t>
            </w:r>
          </w:p>
        </w:tc>
      </w:tr>
    </w:tbl>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both nationally and locally;</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relating to products we serve;</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competitive conditions; and</w:t>
            </w:r>
          </w:p>
        </w:tc>
      </w:tr>
    </w:tbl>
    <w:tbl>
      <w:tblPr>
        <w:tblW w:w="2676" w:type="dxa"/>
        <w:jc w:val="left"/>
        <w:tblInd w:w="0" w:type="dxa"/>
        <w:tblLayout w:type="fixed"/>
        <w:tblCellMar>
          <w:top w:w="28" w:type="dxa"/>
          <w:left w:w="28" w:type="dxa"/>
          <w:bottom w:w="28" w:type="dxa"/>
          <w:right w:w="28" w:type="dxa"/>
        </w:tblCellMar>
      </w:tblPr>
      <w:tblGrid>
        <w:gridCol w:w="124"/>
        <w:gridCol w:w="25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to new markets.</w:t>
            </w:r>
          </w:p>
        </w:tc>
      </w:tr>
    </w:tbl>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Reports published by analysts, including projections in those reports that differ from our actual results, could adversely affect the price and trading volume of our securities.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Securities research analysts have and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If analysts cease coverage of us, the market price and volume for our securities could be adversely affected.</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There can be no assurance that we will maintain compliance with the continued listing standards of Nasdaq. If we fail to maintain compliance with the listing requirements of the Nasdaq Capital Market or fail to cure any future deficiencies, we may be delisted and the price of our common stock and our ability to access the capital markets would be negatively impacted.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common stock is currently listed for quotation on the Nasdaq Capital Market. To maintain the listing of our common stock on the Nasdaq Capital Market, we are required to meet certain listing requirements, including, among others:</w:t>
      </w:r>
    </w:p>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minimum closing bid price of $1.00 per share,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value of publicly held shares (excluding shares held by our officers, directors and 10% or more stockholders) of at least $1.0 million.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above requirements, we must meet at least one of the following requirements:</w:t>
      </w:r>
    </w:p>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of at least $2.5 million; or</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value of listed securities of at least $35 million; or</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 of $500,000.</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January 2023 we received a letter from the Listing Qualifications Department of the Nasdaq Stock Market, LLC, indicating that, based on the closing bid price for the previous 30 days, the listing of our Common Stock was not in compliance with Nasdaq Listing Rule 5550(a)(2) to maintain a minimum bid price of $1.00 per share. While we regained compliance in July 2023, there can be no assurance that we will be able to maintain compliance with the Nasdaq Capital Market continued listing requirements in the future or regain compliance with respect to any future deficiencies. This could impair the liquidity and market price of our common stock. In addition, the delisting of our common stock from a national exchange would have a material adverse effect on our access to capital markets, and any limitation on market liquidity or reduction in the price of our common stock because of that delisting would adversely affect our ability to raise capital on terms acceptable to us, or at all. </w:t>
      </w:r>
    </w:p>
    <w:p>
      <w:pPr>
        <w:pStyle w:val="TextBody"/>
        <w:bidi w:val="0"/>
        <w:spacing w:before="0" w:after="240"/>
        <w:ind w:left="0" w:right="0" w:firstLine="540"/>
        <w:jc w:val="both"/>
        <w:rPr/>
      </w:pPr>
      <w:r>
        <w:rPr/>
        <w:t>“</w:t>
      </w:r>
      <w:r>
        <w:rPr>
          <w:rFonts w:ascii="Times New Roman;Times;serif" w:hAnsi="Times New Roman;Times;serif"/>
          <w:b/>
          <w:i/>
          <w:sz w:val="20"/>
        </w:rPr>
        <w:t>Penny stock” rules may make buying or selling our securities difficult which may make our stock less liquid and make it harder for investors to buy and sell our securities.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Trading in our securities is subject to the SEC’s “penny stock” rules and it is anticipated that trading in our securities will continue to be subject to the penny stock rules for the foreseeable future. The SEC has adopted regulations that generally define a penny stock to be any equity security that has a market price of less than $5.00 per share, subject to certain exceptions. These rules require that any broker-dealer who recommends our securities to persons other than prior customers and accredited investors must, prior to the sale, make a special written suitability determination for the purchaser and receive the purchaser’s written agreement to execute the transaction. Unless an exception is available, the regulations require the delivery, prior to any transaction involving a penny stock, of a disclosure schedule explaining the penny stock market and the risks associated with trading in the penny stock market. In addition, broker-dealers must disclose commissions payable to both the broker-dealer and the registered representative and current quotations for the securities they offer. The additional burdens imposed upon broker-dealers by these requirements may discourage broker-dealers from recommending transactions in our securities, which could severely limit the liquidity of our securities and consequently adversely affect the market price for our securities.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at a price that it deems appropriate. Resales of our securities may cause the market price of our securities to drop significantly, even if our business is doing well.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market price of our Common Stock could decline if holders of our shares sell them, including pursuant to the resale registration statements, or are perceived by the market as intending to sell them.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Pursuant to registration rights we have with certain holders of our securities, we filed a resale shelf registration statement covering the resale of up to an aggregate of 96,941,181 shares of our Common Stock. We also filed a resale registration statement covering the resale of 500,000 shares of our Common Stock that were issued upon exercise of the Ampere Warrant. As of March 1, 2024, the number of shares of our Common Stock that have been registered for resale by these holders represented approximately 54.6% of our shares outstanding (after giving effect to the issuance of shares upon exercise of outstanding Public Warrants, Private Warrants, the exercise or settlement of outstanding warrants, options or restricted stock units of Legacy Rigetti assumed in the Business Combination and the 500,000 Ampere Shares).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addition, on August 11, 2022, we entered into a Common Stock Purchase Agreement (the “Purchase Agreement”) and a Registration Rights Agreement (the “Registration Rights Agreement”) with B. Riley Principal Capital II, LLC (“B. Riley”). Pursuant to the Purchase Agreement, subject to the satisfaction of the conditions set forth in the Purchase Agreement, we had the right to sell shares of our common stock in an aggregate amount up to the lesser of (i) $75.0 million and (ii) an amount not to exceed 23,648,889 shares of our common stock, subject to certain limitations and conditions. As of February 15, 2024, we had sold the maximum 23,648,889 shares allowed under the Purchase Agreement (inclusive of 171,008 shares issued to B. Riley in 2022 as consideration for the Purchase Agreement) and received net proceeds of $33.4 million. Accordingly, there are no shares remaining to be sold under the Purchase Agreement; the agreement has terminated. We filed a registration statement to register the resale of shares of common stock sold pursuant to the Purchase Agreement. Given this substantial number of shares available for resale, the sale of shares by such holders, or the perception in the market that holders of a large number of shares intend to sell shares, could increase the volatility of the market price of our common stock or result in a significant decline in the public trading price of our common stock. Even if our trading price is significantly below $10.00, the offering price for the units offered in Supernova’s IPO, certain holders of our securities may still have an incentive to sell shares of our common stock because they purchased the shares at prices lower than the public investors or the current trading price of our common stock. In addition, B. Riley may resell all, some, or none of the shares purchased from us under our prior Purchase Agreement with B. Riley at any time or from time to time in its discretion. </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Future issuances of our securities may adversely affect us, including the price of our securities and may be dilutive to existing securities holders.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expect that significant additional capital will be needed in the near future to continue our planned operations. In the future, we may incur debt or issue equity ranking senior to our Common Stock. Those securities will generally have priority upon liquidation. Such securities also may be governed by an indenture or other instrument containing covenants restricting our operating flexibility.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Additionally, any convertible or exchangeable securities that we issue in the future may have rights, preferences and privileges more favorable than those of our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 In addition, our ability to raise additional capital through the sale of equity or convertible debt securities could be significantly impacted by the resale of shares of Common Stock by selling securityholders which could result in a significant decline in the trading price of our Common Stock and potentially hinder our ability to raise capital at terms that are acceptable to us or at all.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addition, we may issue additional shares of Common Stock from time to time, including under our equity incentive plans or employee stock purchase plan, or preferred stock. Common Stock reserved for future issuance under our equity incentive plans will become eligible for sale in the public market once those shares are issued, subject to provisions relating to various vesting agreements and, in some cases, limitations on volume and manner of sale applicable to affiliates under Rule 144, as applicable. We have filed registration statements on Form S-8 under the Securities Act registering the issuance of shares of Common Stock subject to options or other equity awards issued or reserved for future issuance under our equity incentive plans and employee stock purchase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addition, we have filed and may file in the future one or more registration statements on Form S-8 under the Securities Act to register additional shares of Common Stock or securities convertible into or exchangeable for shares of Common Stock issued pursuant to our equity incentive plans and employee stock purchase plan, including additional registration statements on Form S-8 to register additional shares of Common Stock pursuant to the “evergreen” provision thereunder. Shares registered under these registration statements on Form S-8 will be available for sale in the public market subject to vesting arrangements and exercise of options and the restrictions of Rule 144 in the case of our affiliates. Sales of a substantial number of shares of our Common Stock in the public market could occur at any time.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Any such issuances of additional shares of Common Stock or preferred stock:</w:t>
      </w:r>
    </w:p>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dilute the equity interests of our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Common Stock if preferred stock is issued with rights senior to those afforded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cause a change in control if a substantial number of shares of our Common Stock are issued, which may affect, among other things, our ability to use our net operating loss carry forwards, and could result in the resignation or removal of our present officers and directors; and</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adversely affect prevailing market prices for our securities.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Furthermore, we currently have on file with the SEC an effective shelf registration statement on Form S-3, which allows us to offer and sell up to an aggregate amount of $250.0 million of any combination of common stock, common stock or preferred stock upon conversion of debt securities, common stock upon conversion of preferred stock, or common stock, preferred stock or debt securities upon exercise of warrants from time to time, which may be dilutive to existing securities holders and could cause the price of our securities to decline.</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are currently an “emerging growth company” and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June 30, in which case we would no longer be an emerging growth company as of the following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Certificate of Incorporation and bylaws of the Company (the “Bylaws”) and the General Corporation Law of the State of Delaware (“DGCL”) contain provisions that could have the effect of rendering more difficult, delaying, or preventing an acquisition deemed undesirable by the board of directors of Rigetti (the “Board”) and therefore depress the trading price of our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the Certificate of Incorporation and Bylaws include provisions regarding:</w:t>
      </w:r>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for a classified board of directors with staggered, three-year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issue up to 10,000,000 shares of preferred stock, including “blank check” preferred stock, with any rights, preferences and privileges as they may designate, including the right to approve an acquisition or other change of control;</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the holders of any series of preferred stock, any individual director or directors may be removed only with cause by the affirmative vote of the holders of at least 66 2/3% of the voting power of all of the then-outstanding shares of our capital stock entitled to vote generally in the election of directors, voting together as a single class;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our stockholders must be effected at a duly called annual or special meeting of stockholders and not be taken by written consent or electronic transmission;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our stockholders may be called by the chairperson of the Board, the chief executive officer or by the Board pursuant to a resolution adopted by a majority of the total number of authorized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provisions, alone or together, could delay or prevent hostile takeovers and changes in control or changes in the Board or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The Certificate of Incorporation designates the Court of Chancery of the State of Delaware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Certificate of Incorporation provides that, unless we consent in writing to the selection of an alternative forum, the Court of Chancery of the State of Delaware shall be the sole and exclusive forum for state law claims for (i) any derivative action or proceeding brought on our behalf; (ii) any action asserting a claim of breach of a fiduciary duty owed by any current or former director, officer or other employee, or stockholder of Rigetti to Rigetti or our stockholders, (iii) any action or claim against the Company or any current or former director, officer or other employee or stockholder of the Company, arising out of or pursuant to any provision of the DGCL or the Certificate of Incorporation or the Bylaws, (iv) any action seeking to interpret, apply, enforce or determine the validity of the Certificate of Incorporation or the Bylaws; (v) any action or claim as to which the DGCL confers jurisdiction on the Court of Chancery of the State of Delaware; and (vi) any action against the Company or any current or former director, officer or other employee or stockholder of the Company, governed by the internal-affairs doctrine of the law of the State of Delaware, in all cases to the fullest extent permitted by law.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federal district courts will be the sole and exclusive forum for resolving any action asserting a claim arising under the Securities Act.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To prevent having to litigate claims in multiple jurisdictions and the threat of inconsistent or contrary rulings by different courts, among other considerations, the Certificate of Incorporation provides that, unless we consent in writing to the selection of an alternative forum, United States federal district courts shall be the exclusive forum for the resolution of any complaint asserting a cause of action arising under the Securities Act. There is uncertainty as to whether a court would enforce the forum provision with respect to claims under the federal securities laws.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Furthermore, investors cannot waive compliance with the federal securities laws and rules and regulations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Our warrants, including our Public Warrants, Private Warrants and other warrants we have issued, and our Sponsor Vesting Shares are accounted for as liabilities and the changes in value of our Warrants and Sponsor Vesting Shares could have a material effect on our financial results.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assets and liabilities at the date of the financial statements, as well as the reported expenses incurred during the reporting periods. We base our interpretations, estimates and judgments on our historical experience and on various other factors that we believe are reasonable under the circumstances, the results of which form the basis for the preparation of our financial statements. GAAP presentation is subject to interpretation by the SEC, the Financial Accounting Standards Board and various other bodies formed to interpret and create appropriate accounting principles and guidance. If one of these bodies disagrees with our accounting recognition, measurement or disclosure or any of our accounting interpretations, estimates or assumptions, it may have a significant effect on our reported results and may retroactively affect previously reported results.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8,625,000 Public Warrants and 4,450,000 Private Warrants and determined to classify the Warrants as derivative liabilities measured at fair value, with changes in fair value each period reported in earnings.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a result, included in our balance sheets as of December 31, 2023 and December 31, 2022 contained in this Annual Report on Form 10-K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statements of operations. As a result of the recurring fair value measurement, our financial statements and results of operations may fluctuate quarterly, based on factors which are outside of our control.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Due to the recurring fair value measurement, we expect that we will recognize non-cash gains or losses on our Warrants each reporting period and that the amount of such gains or losses could be material. The impact of changes in fair value on earnings may have an adverse effect on the market price of our securities.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No assurance can be given that additional guidance or new regulations or accounting principles and interpretations will not be released that would require a restatement of our financial statements with respect to treatment of the Warrants or the Sponsor Vesting Shares.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Any such restatement of our financial results could, among other potential adverse effects:</w:t>
      </w:r>
    </w:p>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us incurring substantial costs;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affect our ability to timely file our periodic reports until the restatement is completed;</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 the attention of our management and employees from managing our business;</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material changes to our historical and future financial results;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investors losing confidence in our operating results;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us to securities class action litigation; and</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our stock price to decline.</w:t>
            </w:r>
          </w:p>
        </w:tc>
      </w:tr>
    </w:tbl>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For example, in connection with the preparation of our Report on Form 10-Q for the quarterly period ended September 30, 2022, the audit committee of our board of directors, based on the recommendation of, and after consultation with, our management, and as discussed with our independent registered public accounting firm, concluded that our previously issued unaudited interim condensed consolidated financial statements for the quarters ended March 31, 2022 and June 30, 2022 could no longer be relied upon and require restatement in order to revise the volatility assumption in the valuation methodology with respect to Sponsor Vesting Shares, revise the fair value for our Private Warrants and correct an immaterial error related to the valuation of the warrant liability with respect to the warrants issued to Trinity Capital Inc., in addition to other matters. </w:t>
      </w:r>
    </w:p>
    <w:p>
      <w:pPr>
        <w:pStyle w:val="TextBody"/>
        <w:bidi w:val="0"/>
        <w:spacing w:before="0" w:after="0"/>
        <w:ind w:left="0" w:right="0" w:firstLine="540"/>
        <w:jc w:val="both"/>
        <w:rPr/>
      </w:pPr>
      <w:r>
        <w:rPr/>
        <w: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Our Warrants are exercisable for Common Stock, the exercise of which would increase the number of shares eligible for future resale in the public market and result in dilution to our stockholders.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being consummated, outstanding Warrants to purchase an aggregate of 13,074,972 shares of Common Stock became exercisable in accordance with the terms of the warrant agreement. These Warrants became exercisable on April 1, 2022. The exercise price of these Warrants is $11.50 per share, or approximately $150.4 million, assuming none of the Warrants are exercised through “cashless” exercise. To the extent such Warrants are exercised, additional shares of Common Stock will be issued, which will result in dilution to the holders of Common Stock and increase the number of shares eligible for resale in the public market. We believe the likelihood that warrant holders will exercise their Warrants, and therefore the amount of cash proceeds that we would receive, is dependent upon the trading price of our Common Stock. If the trading price for our Common Stock is less than $11.50 per share, we believe holders of our Public Warrants and Private Warrants will be unlikely to exercise their Warrants. On March 1, 2024, the last reported sales price of our Common Stock was $1.86 per share.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Sales of substantial numbers of such shares in the public market or the fact that such Warrants may be exercised could adversely affect the market price of Common Stock. However, there is no guarantee that the Public Warrants will ever be in the money prior to their expiration, and as such, the warrants may expire worthless. See “</w:t>
      </w:r>
      <w:r>
        <w:rPr>
          <w:rFonts w:ascii="Times New Roman;Times;serif" w:hAnsi="Times New Roman;Times;serif"/>
          <w:i/>
          <w:sz w:val="20"/>
        </w:rPr>
        <w:t>The warrants may never be in the money, and they may expire worthless and the terms of the Public Warrants may be amended in a manner adverse to a holder if holders of at least 50% of the then outstanding Public Warrants approve of such amendment</w:t>
      </w:r>
      <w:r>
        <w:rPr>
          <w:rFonts w:ascii="Times New Roman;Times;serif" w:hAnsi="Times New Roman;Times;serif"/>
          <w:sz w:val="20"/>
        </w:rPr>
        <w: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The Warrants may never be in the money, and they may expire worthless and the terms of the Public Warrants may be amended in a manner adverse to a holder if holders of at least 50% of the then outstanding Public Warrants approve of such amendment.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exercise price for our Warrants is $11.50 per share of Common Stock. We believe the likelihood that warrant holders will exercise their Public Warrants and Private Warrants, and therefore the amount of cash proceeds that we would receive, is dependent upon the trading price of our Common Stock. If the trading price for our Common Stock is less than $11.50 per share, we believe warrant holders will be unlikely to exercise their Warrants.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is no guarantee that the warrants will be in the money following the time they become exercisable and prior to their expiration, and as such, the Warrants may expire worthless. Our Warrants became exercisable on April 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Warrants were issued in registered form under a warrant agreement (the “warrant agreement”) between American Stock Transfer &amp; Trust Company, as warrant agent, and Supernova.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Warrants or any provision of the warrant agreement with respect to the Private Warrants, 50% of the number of the then outstanding Private Warrants.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may redeem your unexpired Warrants prior to their exercise at a time that is disadvantageous to the holder, thereby making such Warrants worthless.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the ability to redeem outstanding Warrants at any time after they become exercisable and prior to their expiration, at a price of $0.01 per warrant, provided that the last reported sales price of the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we may redeem your Warrants at any time after they become exercisable and prior to their expiration at a price of $0.10 per warrant upon a minimum of 30 days’ prior written notice of redemption provided that holders will be able to exercise their Warrants prior to redemption for a number of shares of Common Stock determined based on the redemption date and the fair market value of our Common Stock.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of Common Stock received is capped at 0.361 per share of Common Stock per warrant (subject to adjustment) irrespective of the remaining life of the warrants. None of the Private Warrants will be redeemable by us, subject to certain circumstances, so long as they are held by Supernova Partners II LLC (“Supernova Sponsor”) or its permitted transferees.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Under the warrant agreement, we also agree that we will waive any objection to such exclusive jurisdiction and that such courts represent an inconvenient forum.</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the Public Warrants or Private Warrants will be deemed to have notice of and to have consented to the forum provisions in our warrant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or Private Warrants, such holder will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We may be subject to securities litigation, which is expensive and could divert management attention.</w:t>
      </w:r>
    </w:p>
    <w:p>
      <w:pPr>
        <w:pStyle w:val="TextBody"/>
        <w:bidi w:val="0"/>
        <w:spacing w:before="0" w:after="240"/>
        <w:ind w:left="0" w:right="0" w:firstLine="630"/>
        <w:jc w:val="both"/>
        <w:rPr>
          <w:rFonts w:ascii="Times New Roman;Times;serif" w:hAnsi="Times New Roman;Times;serif"/>
          <w:sz w:val="20"/>
        </w:rPr>
      </w:pPr>
      <w:r>
        <w:rPr>
          <w:rFonts w:ascii="Times New Roman;Times;serif" w:hAnsi="Times New Roman;Times;serif"/>
          <w:sz w:val="20"/>
        </w:rPr>
        <w:t>The market price of our Common Stock is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pBdr/>
        <w:bidi w:val="0"/>
        <w:spacing w:before="0" w:after="240"/>
        <w:ind w:left="0" w:right="0" w:hanging="720"/>
        <w:jc w:val="left"/>
        <w:rPr>
          <w:rFonts w:ascii="Times New Roman;Times;serif" w:hAnsi="Times New Roman;Times;serif"/>
          <w:b/>
          <w:sz w:val="20"/>
        </w:rPr>
      </w:pPr>
      <w:bookmarkStart w:id="56" w:name="Item1BUnresolvedStaffComments_632747"/>
      <w:bookmarkStart w:id="57" w:name="_bbc66d5e_c169_4f01_ae91_2d0a055b4da2"/>
      <w:bookmarkEnd w:id="56"/>
      <w:bookmarkEnd w:id="57"/>
      <w:r>
        <w:rPr>
          <w:rFonts w:ascii="Times New Roman;Times;serif" w:hAnsi="Times New Roman;Times;serif"/>
          <w:b/>
          <w:sz w:val="20"/>
        </w:rPr>
        <w:t>ITEM 1B.          UNRESOLVED STAFF COMMENTS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240"/>
        <w:ind w:left="0" w:right="0" w:hanging="720"/>
        <w:jc w:val="left"/>
        <w:rPr>
          <w:rFonts w:ascii="Times New Roman;Times;serif" w:hAnsi="Times New Roman;Times;serif"/>
          <w:b/>
          <w:sz w:val="20"/>
        </w:rPr>
      </w:pPr>
      <w:bookmarkStart w:id="58" w:name="Item1C"/>
      <w:bookmarkStart w:id="59" w:name="_8642b1fb_06af_483e_9fd8_a99339055490"/>
      <w:bookmarkEnd w:id="58"/>
      <w:bookmarkEnd w:id="59"/>
      <w:r>
        <w:rPr>
          <w:rFonts w:ascii="Times New Roman;Times;serif" w:hAnsi="Times New Roman;Times;serif"/>
          <w:b/>
          <w:sz w:val="20"/>
        </w:rPr>
        <w:t>ITEM 1C.          CYBERSECURITY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and confidential information that is proprietary, strategic or competitive in nature, including information regarding our product architecture, software, algorithms, and applications (“Information Systems and Data”).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Our information security function is led by our Senior Director for Information Technology (IT) and supported by members of our legal team and a third party service provider, which helps identify, assess and manage the Company’s cybersecurity threats and risks, including through the use of the Company’s risk register. This team identifies and assesses risks from cybersecurity threats by monitoring and evaluating our threat environment and the Company’s risk profile using various methods including, for example: manual and automated tools; subscribing to and analyzing reports and services that identify cybersecurity threats; conducting scans of our threat environment; evaluating threats reported to us; conducting vulnerability assessments to identify vulnerabilities; and external threat intelligence feeds.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Depending on the environment, product, or system, we implement and maintain various technical, physical, and organizational measures, processes, standards and policies designed to manage and mitigate material risks from cybersecurity threats to our Information Systems and Data, including, for example: an incident response policy, vulnerability management processes, implementing certain security certificates for certain functions of our business; encrypting certain data, using network security controls; segregating data; maintaining access and physical security controls; managing, tracking, and disposing of assets; monitoring our systems; and maintaining cybersecurity insurance.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assessment and management of material risks from cybersecurity threats are integrated into the Company’s overall risk management processes.  For example,  (1) cybersecurity risk is addressed as a component of the Company’s enterprise risk management program and identified in the Company’s risk register;  (2)  our information security team works with management, including our Chief Technology Officer (“CTO”), to prioritize our risk management processes and mitigate cybersecurity threats that could more likely lead to a material impact to our business;  (3) our senior management/committee evaluates material risks from cybersecurity threats against our overall business objectives and reports to the cybersecurity subcommittee of the audit committee of the board of directors, with the cybersecurity subcommittee reporting to the audit committee of the board of directors  which evaluates and oversees our cybersecurity risk as part of our overall enterprise risk.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We use third-party service providers to assist us from time to time to identify, assess, and manage material risks from cybersecurity threats, including for example: professional service firms; threat intelligence service providers; cybersecurity consultants; and cybersecurity software and managed cybersecurity service providers. </w:t>
      </w:r>
    </w:p>
    <w:p>
      <w:pPr>
        <w:pStyle w:val="TextBody"/>
        <w:bidi w:val="0"/>
        <w:spacing w:before="0" w:after="120"/>
        <w:ind w:left="0" w:right="0" w:firstLine="540"/>
        <w:jc w:val="both"/>
        <w:rPr>
          <w:rFonts w:ascii="Times New Roman;Times;serif" w:hAnsi="Times New Roman;Times;serif"/>
          <w:sz w:val="20"/>
        </w:rPr>
      </w:pPr>
      <w:bookmarkStart w:id="60" w:name="_Hlk155362993"/>
      <w:bookmarkEnd w:id="60"/>
      <w:r>
        <w:rPr>
          <w:rFonts w:ascii="Times New Roman;Times;serif" w:hAnsi="Times New Roman;Times;serif"/>
          <w:sz w:val="20"/>
        </w:rPr>
        <w:t xml:space="preserve">We use third-party service providers to perform a variety of functions throughout our business, such as application providers and public cloud providers, as well as various third-party suppliers that support our manufacturing and development processes. We use certain vendor management processes to manage cybersecurity risks associated with our use of these providers, which includes reviewing the written information security programs of certain of our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For a description of the risks from cybersecurity threats that may materially affect the Company and how they may do so, see our risk factors under Part 1. Item 1A. Risk Factors in this Annual Report on Form 10-K, </w:t>
      </w:r>
      <w:r>
        <w:rPr>
          <w:rFonts w:ascii="Times New Roman;Times;serif" w:hAnsi="Times New Roman;Times;serif"/>
          <w:i/>
          <w:sz w:val="20"/>
        </w:rPr>
        <w:t>including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r>
        <w:rPr>
          <w:rFonts w:ascii="Times New Roman;Times;serif" w:hAnsi="Times New Roman;Times;serif"/>
          <w:sz w:val="20"/>
        </w:rPr>
        <w:t>.</w:t>
      </w:r>
    </w:p>
    <w:p>
      <w:pPr>
        <w:pStyle w:val="TextBody"/>
        <w:bidi w:val="0"/>
        <w:spacing w:lineRule="auto" w:line="343" w:before="0" w:after="120"/>
        <w:ind w:left="0" w:right="0" w:hanging="0"/>
        <w:jc w:val="both"/>
        <w:rPr>
          <w:rFonts w:ascii="Times New Roman;Times;serif" w:hAnsi="Times New Roman;Times;serif"/>
          <w:sz w:val="20"/>
        </w:rPr>
      </w:pPr>
      <w:r>
        <w:rPr>
          <w:rFonts w:ascii="Times New Roman;Times;serif" w:hAnsi="Times New Roman;Times;serif"/>
          <w:b/>
          <w:i/>
          <w:sz w:val="20"/>
        </w:rPr>
        <w:t>Governance</w:t>
      </w:r>
      <w:r>
        <w:rPr>
          <w:rFonts w:ascii="Times New Roman;Times;serif" w:hAnsi="Times New Roman;Times;serif"/>
          <w:sz w:val="20"/>
        </w:rPr>
        <w:t xml:space="preserve">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board of directors addresses the Company’s cybersecurity risk management as part of its general oversight function. The board of directors’ audit committee, and specifically the subcommittee for cybersecurity, is responsible for overseeing Company’s cybersecurity risk management processes, including oversight and mitigation of risks from cybersecurity threats.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Our cybersecurity risk assessment and management processes are implemented and maintained by certain Company management, including our Senior Director for IT, who has 25 years of leadership experience in information security, and various IT and security certifications, including certified information systems security professional (CISSP).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Senior Director for IT is responsible for hiring appropriate personnel, helping to integrate cybersecurity risk considerations into the Company’s overall risk management strategy, and communicating key priorities to relevant personnel. Our CTO is responsible for approving budgets, helping prepare for potential cybersecurity incidents, approving technical cybersecurity processes, and reviewing security assessments and other security-related reports.  </w:t>
      </w:r>
    </w:p>
    <w:p>
      <w:pPr>
        <w:pStyle w:val="TextBody"/>
        <w:bidi w:val="0"/>
        <w:spacing w:before="0" w:after="120"/>
        <w:ind w:left="0" w:right="0" w:firstLine="540"/>
        <w:jc w:val="both"/>
        <w:rPr>
          <w:rFonts w:ascii="Times New Roman;Times;serif" w:hAnsi="Times New Roman;Times;serif"/>
          <w:sz w:val="20"/>
        </w:rPr>
      </w:pPr>
      <w:bookmarkStart w:id="61" w:name="_Hlk155367187"/>
      <w:bookmarkEnd w:id="61"/>
      <w:r>
        <w:rPr>
          <w:rFonts w:ascii="Times New Roman;Times;serif" w:hAnsi="Times New Roman;Times;serif"/>
          <w:sz w:val="20"/>
        </w:rPr>
        <w:t xml:space="preserve">Our cybersecurity incident response and vulnerability management processes are designed to escalate certain cybersecurity incidents and vulnerabilities to members of management depending on the circumstances, including the CTO, CFO, CEO, and others. Our information security function, together with our CTO, works with the Company’s incident response team to help the Company mitigate and remediate cybersecurity incidents of which they are notified. In addition, the Company’s incident response and vulnerability management processes include reporting to the cybersecurity subcommittee of the board of directors’ audit committee for certain cybersecurity incidents.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cybersecurity subcommittee receives periodic reports from the Senior Director for IT or the CTO concerning the Company’s risk profile, including significant cybersecurity threats and risk and the processes the Company has implemented to address them.  The cybersecurity subcommittee of the audit committee also receives/has access to various reports, summaries and presentations related to cybersecurity threats, risk and mitigation.</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both"/>
        <w:rPr>
          <w:rFonts w:ascii="Times New Roman;Times;serif" w:hAnsi="Times New Roman;Times;serif"/>
          <w:b/>
          <w:sz w:val="20"/>
        </w:rPr>
      </w:pPr>
      <w:bookmarkStart w:id="62" w:name="Item2Properties_627814"/>
      <w:bookmarkStart w:id="63" w:name="_a5339286_7c14_460b_848d_956559e8527b"/>
      <w:bookmarkEnd w:id="62"/>
      <w:bookmarkEnd w:id="63"/>
      <w:r>
        <w:rPr>
          <w:rFonts w:ascii="Times New Roman;Times;serif" w:hAnsi="Times New Roman;Times;serif"/>
          <w:b/>
          <w:sz w:val="20"/>
        </w:rPr>
        <w:t>ITEM 2.             PROPERTIES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principal office is located in Berkeley, California, where we lease approximately 15,625 square feet pursuant to a lease that expires October 31, 2025. Our Fab-1 facility is located in Fremont, California, where the company leases approximately 53,800 square feet pursuant to a lease that expires September 30, 2029. We also have offices for our international operations in the United Kingdom and Australia. We believe that our existing facilities are adequate to meet our current requirements.  See Note 13 in the notes to our consolidated financial statements included elsewhere in this Annual Report on Form 10-K for more information about our lease commitments.</w:t>
      </w:r>
    </w:p>
    <w:p>
      <w:pPr>
        <w:pStyle w:val="TextBody"/>
        <w:bidi w:val="0"/>
        <w:spacing w:before="0" w:after="240"/>
        <w:ind w:left="0" w:right="0" w:hanging="0"/>
        <w:jc w:val="both"/>
        <w:rPr>
          <w:rFonts w:ascii="Times New Roman;Times;serif" w:hAnsi="Times New Roman;Times;serif"/>
          <w:b/>
          <w:sz w:val="20"/>
        </w:rPr>
      </w:pPr>
      <w:bookmarkStart w:id="64" w:name="Item3LegalProceedings_164510"/>
      <w:bookmarkStart w:id="65" w:name="_26285782_305a_4487_bb2f_6ed10eebfca2"/>
      <w:bookmarkEnd w:id="64"/>
      <w:bookmarkEnd w:id="65"/>
      <w:r>
        <w:rPr>
          <w:rFonts w:ascii="Times New Roman;Times;serif" w:hAnsi="Times New Roman;Times;serif"/>
          <w:b/>
          <w:sz w:val="20"/>
        </w:rPr>
        <w:t>ITEM 3.             LEGAL PROCEEDINGS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From time to time, we may be subject to actions, claims, suits and other legal proceedings arising in the ordinary course of business. Our management believes that while the results of any litigation or other legal proceedings are uncertain, we are not currently a party to any material legal proceedings that, if determined adversely to us, would have a material adverse effect on our business, financial position, results of operations or cash flows. </w:t>
      </w:r>
    </w:p>
    <w:p>
      <w:pPr>
        <w:pStyle w:val="TextBody"/>
        <w:bidi w:val="0"/>
        <w:spacing w:before="0" w:after="240"/>
        <w:ind w:left="0" w:right="0" w:hanging="0"/>
        <w:jc w:val="both"/>
        <w:rPr>
          <w:rFonts w:ascii="Times New Roman;Times;serif" w:hAnsi="Times New Roman;Times;serif"/>
          <w:b/>
          <w:sz w:val="20"/>
        </w:rPr>
      </w:pPr>
      <w:bookmarkStart w:id="66" w:name="Item4MineSafetyDisclosures_640268"/>
      <w:bookmarkStart w:id="67" w:name="_6ff72fa5_0642_44d3_8e66_377e36d4cf0b"/>
      <w:bookmarkEnd w:id="66"/>
      <w:bookmarkEnd w:id="67"/>
      <w:r>
        <w:rPr>
          <w:rFonts w:ascii="Times New Roman;Times;serif" w:hAnsi="Times New Roman;Times;serif"/>
          <w:b/>
          <w:sz w:val="20"/>
        </w:rPr>
        <w:t>ITEM 4.             MINE SAFETY DISCLOSURES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8" w:name="Item5"/>
      <w:bookmarkStart w:id="69" w:name="PARTII_753338"/>
      <w:bookmarkStart w:id="70" w:name="_bdefeaa2_2665_4600_9e97_27a40cb0b17d"/>
      <w:bookmarkEnd w:id="68"/>
      <w:bookmarkEnd w:id="69"/>
      <w:bookmarkEnd w:id="70"/>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71" w:name="ITEM5MARKETFOR"/>
      <w:bookmarkEnd w:id="71"/>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Information for Common Stock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March 2, 2022, our common stock and public warrants began trading on The Nasdaq Capital Market under the symbols “RGTI” and “RGTIW,”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Stockholders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March 1, 2024, there were approximately 168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pStyle w:val="TextBody"/>
        <w:bidi w:val="0"/>
        <w:spacing w:before="0" w:after="0"/>
        <w:ind w:left="0" w:right="0" w:hanging="0"/>
        <w:jc w:val="both"/>
        <w:rPr>
          <w:rFonts w:ascii="Times New Roman;Times;serif" w:hAnsi="Times New Roman;Times;serif"/>
          <w:b/>
          <w:sz w:val="20"/>
        </w:rPr>
      </w:pPr>
      <w:bookmarkStart w:id="72" w:name="ITEM6RESERVED_898388"/>
      <w:bookmarkStart w:id="73" w:name="_88414b99_d776_4219_93f9_d0730ee6d7b2"/>
      <w:bookmarkEnd w:id="72"/>
      <w:bookmarkEnd w:id="73"/>
      <w:r>
        <w:rPr>
          <w:rFonts w:ascii="Times New Roman;Times;serif" w:hAnsi="Times New Roman;Times;serif"/>
          <w:b/>
          <w:sz w:val="20"/>
        </w:rPr>
        <w:t>ITEM 6.             [RESERVED].</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4" w:name="Item7ManagementsDiscussionandAnalysisofF"/>
      <w:bookmarkStart w:id="75" w:name="_ae161dbe_8e92_47cd_a22d_5326550b0c4d"/>
      <w:bookmarkEnd w:id="74"/>
      <w:bookmarkEnd w:id="75"/>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consolidated financial statements and notes thereto included elsewhere in this Annual Report on Form 10-K.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“Cautionary Note Regarding Forward-Looking Statements”, “Risk Factors” and elsewhere in this Annual Report on Form 10-K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w:t>
      </w:r>
      <w:r>
        <w:rPr>
          <w:rFonts w:ascii="Times New Roman;Times;serif" w:hAnsi="Times New Roman;Times;serif"/>
          <w:i/>
          <w:sz w:val="20"/>
        </w:rPr>
        <w:t>.</w:t>
      </w:r>
    </w:p>
    <w:p>
      <w:pPr>
        <w:pStyle w:val="TextBody"/>
        <w:bidi w:val="0"/>
        <w:spacing w:before="0" w:after="240"/>
        <w:ind w:left="0" w:right="0" w:firstLine="540"/>
        <w:jc w:val="both"/>
        <w:rPr>
          <w:rFonts w:ascii="Times-Italic" w:hAnsi="Times-Italic"/>
          <w:sz w:val="20"/>
        </w:rPr>
      </w:pPr>
      <w:r>
        <w:rPr>
          <w:rFonts w:ascii="Times-Italic" w:hAnsi="Times-Italic"/>
          <w:sz w:val="20"/>
        </w:rPr>
        <w:t>For purposes of this discussion, “Rigetti,” “the Company,” “we,” “us” or “our” refer to Rigetti Computing, Inc. and its subsidiaries unless the context otherwise requires.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derived from development contracts, and we anticipate this market opportunity will continue to represent an important source of revenue for at least the next several years as we work to ramp up sales of QPUs and our QCaaS business. Additionally, we are working to further develop a revenue stream and forging important customer relationships by entering into technology development contracts with various partners.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pStyle w:val="TextBody"/>
        <w:bidi w:val="0"/>
        <w:spacing w:before="240" w:after="0"/>
        <w:ind w:left="0" w:right="0" w:firstLine="540"/>
        <w:jc w:val="both"/>
        <w:rPr>
          <w:rFonts w:ascii="Times New Roman;Times;serif" w:hAnsi="Times New Roman;Times;serif"/>
          <w:sz w:val="20"/>
        </w:rPr>
      </w:pPr>
      <w:r>
        <w:rPr>
          <w:rFonts w:ascii="Times New Roman;Times;serif" w:hAnsi="Times New Roman;Times;serif"/>
          <w:sz w:val="20"/>
        </w:rPr>
        <w:t>We have been generating revenue since 2018 through partnerships with government agencies and commercial organizations; however, we have not yet generated profits. We have incurred significant operating losses since inception. Our net losses were $75.1 million and $71.5 million for the years ended December 31, 2023 and December 31, 2022, respectively. We expect to continue to incur additional losses for the foreseeable future as we invest in research and development and infrastructure in line with our long-term business strategy. As of December 31, 2023, we had an accumulated deficit of $353.8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our existing cash, cash equivalents and marketable securities should be sufficient to meet our anticipated operating cash needs into early in the third quarter of 2025, based on our current business plan, and expectations and assumptions considering current macroeconomic conditions. Accordingly, based on our estimates and current business plan, we expect that we will need to obtain additional capital by early in the third quarter of 2025, in order to fund our research and development efforts and business objectives as currently planned. Our estimate does not assume any additional financing, and there is no assurance that additional financing will be available. If we are unable to raise additional funding when needed and on attractive terms, we may be required to delay, limit, or substantially reduce our quantum computing development efforts.</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 xml:space="preserve">In February 2023, we announced an updated business strategy, including revisions to our technology roadmap. In connection with this updated strategy, we implemented a workforce reduction beginning in February 2023 to focus the organization and our resources on nearer-term strategic priorities and our efforts to achieve narrow quantum advantage. </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Key achievements include the launch of the Ankaa 84- qubit Ankaa™-2 system to customers via Rigetti Quantum Cloud Services (QCS). The Ankaa-2 system achieved 98% median 2-qubit fidelity, which represents a 2.5x performance improvement compared to our previous QPUs.</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We continue to plan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working to improve the performance of our QPUs with the goal of reaching at least 99% 2-qubit gate fidelity on an anticipated Ankaa-3 84 qubit system by the end of 2024.</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above target is achieved, we plan to shift focus to scaling to develop Lyra, an anticipated 336-qubit system.</w:t>
            </w:r>
          </w:p>
        </w:tc>
      </w:tr>
    </w:tbl>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 xml:space="preserve">We also plan to pursue sales of </w:t>
      </w:r>
      <w:r>
        <w:rPr>
          <w:rFonts w:ascii="Times New Roman;Times;serif" w:hAnsi="Times New Roman;Times;serif"/>
          <w:sz w:val="20"/>
          <w:shd w:fill="FFFFFF" w:val="clear"/>
        </w:rPr>
        <w:t>Novera™</w:t>
      </w:r>
      <w:r>
        <w:rPr>
          <w:rFonts w:ascii="Times New Roman;Times;serif" w:hAnsi="Times New Roman;Times;serif"/>
          <w:sz w:val="20"/>
        </w:rPr>
        <w:t>, our first commercially available QPU launched in 2023, which features a 9-qubit chip, tunable couplers for fast 2-qubit operations and a 5-qubit chip for testing single-qubit operations.</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We believe that this business plan should enable us to concentrate our software application development strategy on what we believe to be the highest likelihood applications for demonstrating nearer term narrow quantum advantage.</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In February 2023, the reduction in the workforce impacted approximately 50 employees or 28% of our then workforce. We began implementing activities with respect to the revised business plan and reduction in workforce in February 2023. Affected employees were offered separation benefits, including severance payments and temporary healthcare coverage assistance. We incurred a $1.0 million restructuring charge in the three months ended March 31, 2023, for severance payments and temporary healthcare coverage for effected employees. In addition to the restructuring charge, we also incurred $1.0 million of expenses for contractual severance benefits related to executive officers of the Company that were terminated in the three months ended March 31, 2023.</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The Business Combination and PIPE Financing</w:t>
      </w:r>
    </w:p>
    <w:p>
      <w:pPr>
        <w:pStyle w:val="TextBody"/>
        <w:bidi w:val="0"/>
        <w:spacing w:before="240" w:after="0"/>
        <w:ind w:left="0" w:right="0" w:firstLine="540"/>
        <w:jc w:val="both"/>
        <w:rPr>
          <w:rFonts w:ascii="Times New Roman;Times;serif" w:hAnsi="Times New Roman;Times;serif"/>
          <w:sz w:val="20"/>
        </w:rPr>
      </w:pPr>
      <w:r>
        <w:rPr>
          <w:rFonts w:ascii="Times New Roman;Times;serif" w:hAnsi="Times New Roman;Times;serif"/>
          <w:sz w:val="20"/>
        </w:rPr>
        <w:t xml:space="preserve">On March 2, 2022 (the “Closing Date”), we consummated the transactions contemplated by that certain Agreement and Plan of Merger dated as of October 6, 2021, as amended on December 23, 2021 and January 10, 2022 (as amended, the “Merger Agreement”), by and among Supernova Partners Acquisition Company II, Ltd., a Cayman Islands exempted company (“Supernova”), Supernova Merger Sub, Inc., a Delaware corporation and a direct wholly owned subsidiary of Supernova (the “First Merger Sub”), Supernova Romeo Merger Sub, LLC, a Delaware limited liability company and a direct wholly owned subsidiary of Supernova (the “Second Merger Sub”), and Rigetti Holdings, Inc., a Delaware corporation (“Legacy Rigetti”). As contemplated by the Merger Agreement, on March 1, 2022 Supernova was domesticated as a Delaware corporation and changed its name to “Rigetti Computing, Inc.” (the “Domestication”).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the Closing Date, (i) First Merger Sub merged with and into Legacy Rigetti, the separate corporate existence of First Merger Sub ceased and Legacy Rigetti survived as a wholly owned subsidiary of Rigetti Computing, Inc. (the “Surviving Corporation” and, such merger, the “First Merger”), and (ii) immediately following the First Merger, the Surviving Corporation merged with and into the Second Merger Sub, the separate corporate existence of the Surviving Corporation ceased and Second Merger Sub survived as a wholly owned subsidiary of Rigetti Computing, Inc. and changed its name to “Rigetti Intermediate LLC” (such merger transaction, the “Second Merger” and, together with the First Merger, the “Merger”, and, collectively with the Domestication, the “PIPE Financing” (as defined below) and the other transactions contemplated by the Merger Agreement, the “Business Combination”). The closing of the Business Combination is herein referred to as “the Closing.”</w:t>
      </w:r>
    </w:p>
    <w:p>
      <w:pPr>
        <w:pStyle w:val="TextBody"/>
        <w:bidi w:val="0"/>
        <w:spacing w:before="240" w:after="0"/>
        <w:ind w:left="0" w:right="0" w:firstLine="540"/>
        <w:jc w:val="both"/>
        <w:rPr>
          <w:rFonts w:ascii="Times New Roman;Times;serif" w:hAnsi="Times New Roman;Times;serif"/>
          <w:sz w:val="20"/>
        </w:rPr>
      </w:pPr>
      <w:r>
        <w:rPr>
          <w:rFonts w:ascii="Times New Roman;Times;serif" w:hAnsi="Times New Roman;Times;serif"/>
          <w:sz w:val="20"/>
        </w:rPr>
        <w:t>While the legal acquirer in the Merger Agreement was Supernova, for financial accounting and reporting purposes under United States generally accepted accounting principles (“GAAP”), Rigetti was the accounting acquirer, and the Merger was accounted for as a “reverse recapitalization.” A reverse recapitalization does not result in a new basis of accounting, and the financial statements of Rigetti represent the continuation of the financial statements of Legacy Rigetti in many respects. Under this method of accounting, Supernova was treated as the “acquired” company for financial reporting purposes.</w:t>
      </w:r>
    </w:p>
    <w:p>
      <w:pPr>
        <w:pStyle w:val="TextBody"/>
        <w:bidi w:val="0"/>
        <w:spacing w:before="240" w:after="0"/>
        <w:ind w:left="0" w:right="0" w:firstLine="540"/>
        <w:jc w:val="both"/>
        <w:rPr>
          <w:rFonts w:ascii="Times New Roman;Times;serif" w:hAnsi="Times New Roman;Times;serif"/>
          <w:sz w:val="20"/>
        </w:rPr>
      </w:pPr>
      <w:r>
        <w:rPr>
          <w:rFonts w:ascii="Times New Roman;Times;serif" w:hAnsi="Times New Roman;Times;serif"/>
          <w:sz w:val="20"/>
        </w:rPr>
        <w:t>For accounting purposes, Rigetti was deemed to be the accounting acquirer in the transaction and, consequently, the transaction was treated as a recapitalization of Rigetti (i.e., a capital transaction involving the issuance of stock by Supernova for the stock of Rigetti). As a result of the Business Combination, all of the shares of Legacy Rigetti Common Stock outstanding immediately prior to the Closing (including Legacy Rigetti Common Stock resulting from the Legacy Rigetti preferred stock conversion) were converted into the right to receive an aggregate of 78,959,579 shares of our Common Stock, par value $0.0001 per share (“Common Stock”). Additionally, each issued and outstanding share of Supernova Class A and Class B Common Stock held by Supernova automatically converted to 20,209,462 shares of Common Stock (of which 3,059,273 shares are subject to vesting under certain conditions). Upon consummation of the Business Combination, the most significant change in our reported financial position and results of operations was an increase in cash of $205.0 million, including $225.6 million of proceeds from the Business Combination and PIPE Financing, net of transaction costs incurred by us of $20.6 million.</w:t>
      </w:r>
    </w:p>
    <w:p>
      <w:pPr>
        <w:pStyle w:val="TextBody"/>
        <w:bidi w:val="0"/>
        <w:spacing w:before="240" w:after="0"/>
        <w:ind w:left="0" w:right="0" w:firstLine="540"/>
        <w:jc w:val="both"/>
        <w:rPr>
          <w:rFonts w:ascii="Times New Roman;Times;serif" w:hAnsi="Times New Roman;Times;serif"/>
          <w:sz w:val="20"/>
        </w:rPr>
      </w:pPr>
      <w:r>
        <w:rPr>
          <w:rFonts w:ascii="Times New Roman;Times;serif" w:hAnsi="Times New Roman;Times;serif"/>
          <w:sz w:val="20"/>
        </w:rPr>
        <w:t>Additional direct and incremental transaction costs were also incurred by Rigetti in connection with the Business Combination. Generally, costs (e.g., SPAC shares) are recorded as a reduction to additional paid-in capital. Costs allocated to liability-classified instruments that are subsequently measured at fair value through earnings (e.g., certain SPAC warrants) are expensed. Rigetti’s transaction costs totaled $20.6 million, of which $19.7 million was allocated to equity-classified instruments and recorded as a reduction to additional paid-in capital, and the remaining $0.9 million was allocated to liability-classified instruments that are subsequently measured at fair value through earnings and recognized as expense in the consolidated statements of operations.</w:t>
      </w:r>
    </w:p>
    <w:p>
      <w:pPr>
        <w:pStyle w:val="TextBody"/>
        <w:bidi w:val="0"/>
        <w:spacing w:before="240" w:after="24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we became subject to the reporting requirements under the Securities Exchange Act of 1934, as amended, and listing standards of the Nasdaq Capital Market, which has and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future results of consolidated operations and financial position may not be comparable to historical results for a variety of reasons, including as a result of the Business Combination.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Unfavorable conditions in the economy in the United States and abroad may negatively affect the growth of our business and have affected our results of operations. For example, macroeconomic events, including rising inflation, the U.S. Federal Reserve raising interest rates, recent and potential bank failures, the ongoing military conflict involving Russia and Ukraine and sanctions related thereto, the state of war between Israel and Hamas and the related risk of a larger regional conflict have led to economic uncertainty globally. The effect of macroeconomic conditions may not be fully reflected in the results of operations until future periods. If, however, economic uncertainty increases or the global economy worsens, our business, financial condition and results of operations may be harmed. </w:t>
      </w:r>
      <w:r>
        <w:rPr>
          <w:rFonts w:ascii="Times-Roman" w:hAnsi="Times-Roman"/>
          <w:sz w:val="20"/>
        </w:rPr>
        <w:t xml:space="preserve">For further discussion of the potential impacts of macroeconomic events on our business, financial condition, and operating results, see the section titled “Risk Factors,” including the risk factor titled </w:t>
      </w:r>
      <w:r>
        <w:rPr>
          <w:rFonts w:ascii="Times New Roman;Times;serif" w:hAnsi="Times New Roman;Times;serif"/>
          <w:sz w:val="20"/>
        </w:rPr>
        <w:t>“</w:t>
      </w:r>
      <w:r>
        <w:rPr>
          <w:rFonts w:ascii="Times-Italic" w:hAnsi="Times-Italic"/>
          <w:i/>
          <w:sz w:val="20"/>
        </w:rPr>
        <w:t>Unstable market and economic conditions have had and may continue to have serious adverse consequences on our business, financial condition and share price.”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have experienced and may experience further increases in the cost of raw materials, component parts, and labor, which we largely attribute to inflation, the U.S. Federal Reserve raising interest rates, high demand, and supply chain restraints. Rising costs and supply chain constraints have been further exacerbated by the ongoing military conflict involving Russia and Ukraine and sanctions related thereto, the state of war between Israel and Hamas and the related risk of a larger regional conflict. We expect these increased costs will persist for the foreseeable future and may increase. Additionally,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increases in interest rates.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It is not possible at this time to estimate the long-term impact that these and related events could have on our business, as the impact will depend on future developments, which are highly uncertain and cannot be predicted.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 other efforts. However, like many other companies, we are taking actions to monitor our operations to account for the increases in the cost of capital. Specifically, this includes efforts to enhance our operational efficiency, including with respect to capital expenditures, maximize our R&amp;D productivity spend through strategic collaborations, and being highly selective in hiring top-tier talent.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generate revenue through our development contracts, as well as from our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firstLine="540"/>
        <w:jc w:val="both"/>
        <w:rPr>
          <w:rFonts w:ascii="Liberation Serif" w:hAnsi="Liberation Serif"/>
          <w:sz w:val="20"/>
          <w:shd w:fill="FFFFFF" w:val="clear"/>
        </w:rPr>
      </w:pPr>
      <w:r>
        <w:rPr>
          <w:rFonts w:ascii="Liberation Serif" w:hAnsi="Liberation Serif"/>
          <w:sz w:val="20"/>
          <w:shd w:fill="FFFFFF" w:val="clear"/>
        </w:rPr>
        <w:t>Cost of revenue consists primarily of all direct and indirect costs associated with sales of QPUs,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operating expenses primarily consist of research and development, and selling, general and administrative expenses. Sales and marketing expenses became less significant following the reduction in workforce and strategic realignment we announced in February 2023. For this reason, sales and marketing and general administrative expenses have been combined and are now reported as selling, general and administrative. Related amounts for all prior periods have been reclassified to conform with this presentation.</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0"/>
        <w:ind w:left="540" w:right="0" w:hanging="0"/>
        <w:jc w:val="both"/>
        <w:rPr/>
      </w:pPr>
      <w: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0" w:right="0" w:firstLine="540"/>
        <w:jc w:val="both"/>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include compensation, employee benefits, stock-based compensation, insurance, facility costs, professional service fees, and other general overhead costs other than those associated with sales of QPUs and providing development contracts, QCaaS offerings and other services. We expect selling, general and administrative expenses to increase as we grow our business, particularly </w:t>
      </w:r>
      <w:r>
        <w:rPr>
          <w:rFonts w:ascii="Times-Roman" w:hAnsi="Times-Roman"/>
          <w:sz w:val="20"/>
        </w:rPr>
        <w:t>to the extent we achieve narrow and broad quantum advantage, and subsequently enhance our product and service offerings, expand our customer base, and implement new marketing strategies.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Restructuring</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in order to focus the organization and its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Comparison of the years ended December 31, 2023 and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tables set forth our results of operations for the years indicated (in thousands):</w:t>
      </w:r>
    </w:p>
    <w:tbl>
      <w:tblPr>
        <w:tblW w:w="10058" w:type="dxa"/>
        <w:jc w:val="left"/>
        <w:tblInd w:w="0" w:type="dxa"/>
        <w:tblLayout w:type="fixed"/>
        <w:tblCellMar>
          <w:top w:w="0" w:type="dxa"/>
          <w:left w:w="0" w:type="dxa"/>
          <w:bottom w:w="0" w:type="dxa"/>
          <w:right w:w="0" w:type="dxa"/>
        </w:tblCellMar>
      </w:tblPr>
      <w:tblGrid>
        <w:gridCol w:w="4321"/>
        <w:gridCol w:w="326"/>
        <w:gridCol w:w="211"/>
        <w:gridCol w:w="796"/>
        <w:gridCol w:w="326"/>
        <w:gridCol w:w="211"/>
        <w:gridCol w:w="901"/>
        <w:gridCol w:w="326"/>
        <w:gridCol w:w="211"/>
        <w:gridCol w:w="796"/>
        <w:gridCol w:w="326"/>
        <w:gridCol w:w="991"/>
        <w:gridCol w:w="31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743835" cy="175260"/>
                      <wp:effectExtent l="0" t="0" r="0" b="0"/>
                      <wp:wrapNone/>
                      <wp:docPr id="4"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05460" cy="175260"/>
                      <wp:effectExtent l="0" t="0" r="0" b="0"/>
                      <wp:wrapNone/>
                      <wp:docPr id="7" name="Frame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72135" cy="175260"/>
                      <wp:effectExtent l="0" t="0" r="0" b="0"/>
                      <wp:wrapNone/>
                      <wp:docPr id="10" name="Frame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5460" cy="175260"/>
                      <wp:effectExtent l="0" t="0" r="0" b="0"/>
                      <wp:wrapNone/>
                      <wp:docPr id="13" name="Frame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29285" cy="175260"/>
                      <wp:effectExtent l="0" t="0" r="0" b="0"/>
                      <wp:wrapNone/>
                      <wp:docPr id="15" name="Frame1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0660" cy="175260"/>
                      <wp:effectExtent l="0" t="0" r="0" b="0"/>
                      <wp:wrapNone/>
                      <wp:docPr id="16" name="Frame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4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4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232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 vs. 2022</w:t>
            </w:r>
          </w:p>
        </w:tc>
        <w:tc>
          <w:tcPr>
            <w:tcW w:w="316" w:type="dxa"/>
            <w:tcBorders/>
            <w:vAlign w:val="center"/>
          </w:tcPr>
          <w:p>
            <w:pPr>
              <w:pStyle w:val="TableContents"/>
              <w:bidi w:val="0"/>
              <w:spacing w:before="0" w:after="1"/>
              <w:ind w:left="0" w:right="0" w:hanging="0"/>
              <w:jc w:val="center"/>
              <w:rPr/>
            </w:pPr>
            <w:r>
              <w:rPr/>
              <w:t>​</w:t>
            </w:r>
          </w:p>
        </w:tc>
      </w:tr>
      <w:tr>
        <w:trPr/>
        <w:tc>
          <w:tcPr>
            <w:tcW w:w="43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16"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(26,236)</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(5,377)</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Restructuring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(37,806)</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36,785</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2,643</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(23,292)</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(20,156)</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(40,371)</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(3,586)</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(3,586)</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Revenue decreased by $1.1 million for the year ended December 31, 2023 compared to the year ended  December 31, 2022. </w:t>
      </w:r>
      <w:r>
        <w:rPr>
          <w:rFonts w:ascii="Times New Roman;Times;serif" w:hAnsi="Times New Roman;Times;serif"/>
          <w:sz w:val="20"/>
          <w:shd w:fill="FFFFFF" w:val="clear"/>
        </w:rPr>
        <w:t> Our development contracts are typically fixed price milestone or cost share-based contracts and the timing and amounts of revenue recognized in any given period will vary significantly based on the delivery of the associated milestones and/or the work performed. The timing and delivery of QPU sales will also vary and impact revenue in any given quarterly or annual period. The decrease in revenue during the year ended December 31, 2023 reflects typical variability in the timing of revenue recognition from development contracts. Revenue from development contracts and QPU sales is expected to vary in terms of timing and size, resulting in significant fluctuations in revenue levels in future periods.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and sales of QPUs.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Cost of revenue decreased by $0.1 million for the year ended December 31, 2023 compared to the year ended  December 31, 2022. </w:t>
      </w:r>
      <w:r>
        <w:rPr>
          <w:rFonts w:ascii="Times New Roman;Times;serif" w:hAnsi="Times New Roman;Times;serif"/>
          <w:sz w:val="20"/>
          <w:shd w:fill="FFFFFF" w:val="clear"/>
        </w:rPr>
        <w:t>The decrease in </w:t>
      </w:r>
      <w:r>
        <w:rPr>
          <w:rFonts w:ascii="Times New Roman;Times;serif" w:hAnsi="Times New Roman;Times;serif"/>
          <w:sz w:val="20"/>
        </w:rPr>
        <w:t>cost of revenue during the year ended December 31, 2023 is primarily due to lower revenue levels, changes in the composition of our revenue and variability in the pricing and terms of our development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in future quarterly and annual periods due to changes in the composition of our revenue and variability in the pricing and terms of our development contracts.</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Research and development expenses decreased by $7.2 million for the year ended December 31, 2023 compared to the year ended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Salaries and employee benefit expenses decreased by $2.5 million and stock-based compensation decreased by $4.7 million for the year ended December 31, 2023 compared to the year ended  December 31, 2022. The decreases in employee wages and benefit expenses and stock-based compensation primarily resulted from our February 2023 reduction in workforce. A $1.3 million out-of-period adjustment for electricity usage for the year ended December 31, 2022 also contributed to the decrease in research and development expenses for the year ended December 31, 2023. A $1.6 million charge for deferred stock-based compensation expense related to the closing of the Business Combination for the year ended December 31, 2022 contributed to the decrease in stock-based compensation for the year ended December 31,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decreases were partially offset by a $0.5 million increase in depreciation expense for the year ended December 31, 2023 due to purchases of property and equipment, compared to the year ended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anticipate that R&amp;D expenditures will grow in the future as we continue to focus on our technology roadmap and long-term goal of achieving broad quantum advantage.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Selling, general and administrative expenses decreased by $26.2 million for the year ended December 31, 2023 compared to the year ended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decreases for the year ended December 31, 2023 are primarily due to a reduction in stock-based compensation of $27.8 million, partially offset by unfavorable fluctuations in the fair value of the Ampere Forward Agreement of $8.0 million. The closing of the Business Combination in 2022 resulted in lower stock-based compensation, bonus expenses and professional fees in 2023 compared to 2022. Stock-based compensation and bonus expenses for the year ended December 31, 2022 include $7.3 million of deferred stock-based compensation and $1.8 million of transaction bonuses that were recognized in connection with the closing of the Business Combination. The remaining differences are due to lower wage costs, primarily resulting from our February 2023 reduction in workforce, and lower insurance costs.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expect selling, general and administrative expenses to increase as we grow our business, particularly </w:t>
      </w:r>
      <w:r>
        <w:rPr>
          <w:rFonts w:ascii="Times-Roman" w:hAnsi="Times-Roman"/>
          <w:sz w:val="20"/>
        </w:rPr>
        <w:t>to the extent we achieve narrow and broad quantum advantage, and subsequently enhance our product and service offerings, expand our customer base, and implement new marketing strategies.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Goodwill Impairment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Goodwill impairment decreased by $5.4 million for the year ended December 31, 2023 compared to the year ended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When assessing goodwill for possible impairment, we first consider qualitative factors, including but not limited to macroeconomic conditions, industry and market considerations, our overall performance and events directly affecting us. It was noted during our 2022 annual goodwill impairment assessment on November 1, 2022 that the Company had experienced a sustained decline in stock price, however, we determined at that time that our goodwill was not impaired. Subsequently, our stock price continued to decline, resulting in a triggering event that required us to evaluate goodwill for possible impairment as of December 31, 2022. After adjusting the Company’s stock market capitalization for a control premium based on market comparable transactions, we determined that the fair value of the Company was less than its carrying value or stockholder’s equity, resulting in a non-cash goodwill impairment charge of $5.4 million for the year ended December 31,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Restructuring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in order to focus the organization and our resources on nearer-term strategic priorities. The reduction in workforce impacted approximately 50 employees or approximately 28% of our then workforce. Affected employees were offered separation benefits, including severance payments and temporary healthcare coverage assistance.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began implementing activities with respect to our revised business plan, updated technology roadmap and reduction in workforce in February 2023, resulting in a $1.0 million restructuring charge for the year ended December 31, 2023. No further restructuring charges related to this action are expected.</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 net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outstanding debt carries a variable rate of interest. Interest expenses increased by $0.5 million for the year ended December 31, 2023 when compared to the year ended December 31, 2022. We paid a higher rate of interest on our debt in 2023 due to the increases in the prime interest rate that occurred throughout 2023 and 2022. The impact of higher interest rates on interest expenses was partially offset by the impact of lower outstanding principal balances throughout the year due to principal repayments.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Interest income was $5.1 million for the year ended December 31, 2023 compared to $2.4 million for the year ended December 31, 2022. </w:t>
      </w:r>
      <w:r>
        <w:rPr>
          <w:rFonts w:ascii="Times New Roman;Times;serif" w:hAnsi="Times New Roman;Times;serif"/>
          <w:sz w:val="20"/>
          <w:shd w:fill="FFFFFF" w:val="clear"/>
        </w:rPr>
        <w:t>The increase in interest income is due to higher rates of interest earned on our investments, including cash equivalents and available-for-sale securities. We anticipate that interest income will decline in future periods due to our expected use of cash, cash equivalents and available-for-sale securities to fund our operating expenses, including research and development initiatives and investment in our technology roadmap.</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discussion of the change in the fair value of warrant liabilities is included in Note 11 to our consolidated financial statements for the year ended December 31, 2023, included elsewhere in this Annual Report on Form 10-K.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change in fair value of warrant liabilities for the year ended December 31, 2023, was a loss of $1.2 million, compared to a gain of $22.1 million for the year ended December 31, 2022. The increase in loss for the year ended December 31, 2023 was primarily due to the change in our stock price and related share price volatility.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earn-out liabilities is included in Note 12 to our consolidated financial statements for the year ended December 31, 2023, included elsewhere in this Annual Report on Form 10-K.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change in fair value of our earn-out liabilities for the year ended December 31, 2023 was a loss of $0.9 million, compared a gain of $19.2 million for the year ended December 31, 2022. The increase in loss for the year ended December 31, 2023 was primarily due to the change in our stock price and related share price volatility.</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Costs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Transaction costs allocated to liability-classified instruments must be expensed as incurred. Changes in these instruments are subsequently measured at fair value through earnings. During the year ended December 31, 2022, transaction costs allocated to liability-classified instruments arising from the Business Combination totaled $0.9 million. No transaction costs were incurred during the year ended December 31,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did not record income tax expense during the years ended December 31, 2023 or December 31, 2022 due to the Company’s loss position and full valuation allowance.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have incurred net losses and negative cash flows from operations since inception. Prior to the Business Combination, we financed our operations primarily through the issuance of preferred stock, warrants, convertible notes, venture backed debt and revenues. During the years ended December 31, 2023 and December 31, 2022, we incurred net losses of $75.1 million and $71.5 million, respectively. As of December 31, 2023, we had an accumulated deficit of $353.8 million, and we expect to incur additional losses for the foreseeable future.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connection with the closing of the Business Combination on March 2, 2022, we received net proceeds of $225.6 million. In addition, we received net proceeds of $20.5 million in 2023 and $12.8 million in 2024 from the sale of 23,648,889 shares of our common stock (inclusive of 171,008 shares issued to B. Riley in 2022 as consideration for the Purchase Agreement) pursuant to our prior Purchase Agreement with B. Riley. As of February 15, 2024 there are no remaining shares available for sale under our prior Purchase Agreement with B. Riley, the agreement has terminated. We believe that our existing balances of cash, cash equivalents and available-for-sale investments should be sufficient to meet our anticipated operating cash needs into early in the third quarter of 2025, based on our current business plan, and expectations and assumptions considering current macroeconomic conditions. Based on our estimates and current business plan, we expect that we will need to obtain additional capital by early in the third quarter of 2025, to fund our research and development efforts and business objectives as currently planned. Our estimate does not assume any additional financing, and there is no assurance that additional financing will be available. If we are unable to raise additional funding when needed and on attractive terms, we may be required to delay, limit, or substantially reduce our quantum computing development efforts.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Annual Report on Form 10-K.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ongoing military conflict involving Russia and Ukraine and sanctions related thereto, the state of war between Israel and Hamas and the related risk of a larger regional conflict.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we are unable to raise capital when needed and on attractive terms, we would be forced to delay, reduce or eliminate our research and development programs and/or other efforts. A recession or additional market corrections resulting from the impact of difficult macroeconomic conditions or disruptions in the banking system could materially affect our business and the value of our securities.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require a significant amount of cash for expenditure as we invest in ongoing research and development and business operations. Until such time as we can generate significant revenue from sales of QPUs, our development contracts and other services, including our QCaaS offering, we expect to finance our cash needs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titled “Risk Factors” in this Annual Report on Form 10-K. Furthermore, we currently have on file with the SEC an effective shelf registration statement on Form S-3, which allows us to offer and sell up to an aggregate amount of $250.0 million of any combination of common stock, common stock or preferred stock upon conversion of debt securities, common stock upon conversion of preferred stock, or common stock, preferred stock or debt securities upon exercise of warrants from time to time.</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and Security Agreement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January 2022, we entered into the Third Amendment to the Loan Agreement with Trinity to increase the debt commitment by $5.0 million to $32.0 million thereunder. The amendment allowed us to draw an additional $5.0 million immediately with an additional $8.0 million to be drawn at the sole discretion of the lender. We drew the additional $5.0 million upon signing the amendment. The Third Amendment also included an extension of the requirement to raise an additional $75.0 million of equity which was satisfied through the Business Combination and a defined exit fee for the additional $5.0 million to be at 20% of the advanced funds under the Third Amendment. In conjunction with the amendment, we also guaranteed payment of all monetary amounts owed and performance of all covenants, obligations and liabilities. As of December 31, 2023, the total principal amount outstanding under the Loan Agreement was $22.4 million. Principal and interest under the Loan Agreement is payable monthly. The Loan Agreement is secured by a first-priority security interest in substantially all of our assets. As of the date of this Annual Report on Form 10-K, we are in compliance with all covenants under the Loan Agreement.</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547"/>
        <w:jc w:val="both"/>
        <w:rPr>
          <w:rFonts w:ascii="Times New Roman;Times;serif" w:hAnsi="Times New Roman;Times;serif"/>
          <w:sz w:val="20"/>
        </w:rPr>
      </w:pPr>
      <w:r>
        <w:rPr>
          <w:rFonts w:ascii="Times New Roman;Times;serif" w:hAnsi="Times New Roman;Times;serif"/>
          <w:sz w:val="20"/>
        </w:rPr>
        <w:t>Our cash commitments as of December 31, 2023 for financing and operating lease obligations  were primarily as follows (in thousands):</w:t>
      </w:r>
    </w:p>
    <w:p>
      <w:pPr>
        <w:pStyle w:val="TextBody"/>
        <w:bidi w:val="0"/>
        <w:spacing w:before="0" w:after="240"/>
        <w:ind w:left="0" w:right="0" w:hanging="0"/>
        <w:jc w:val="both"/>
        <w:rPr/>
      </w:pPr>
      <w:r>
        <w:rPr/>
        <w:t>​</w:t>
      </w:r>
    </w:p>
    <w:tbl>
      <w:tblPr>
        <w:tblW w:w="7809" w:type="dxa"/>
        <w:jc w:val="left"/>
        <w:tblInd w:w="0" w:type="dxa"/>
        <w:tblLayout w:type="fixed"/>
        <w:tblCellMar>
          <w:top w:w="0" w:type="dxa"/>
          <w:left w:w="0" w:type="dxa"/>
          <w:bottom w:w="0" w:type="dxa"/>
          <w:right w:w="0" w:type="dxa"/>
        </w:tblCellMar>
      </w:tblPr>
      <w:tblGrid>
        <w:gridCol w:w="4036"/>
        <w:gridCol w:w="326"/>
        <w:gridCol w:w="211"/>
        <w:gridCol w:w="676"/>
        <w:gridCol w:w="326"/>
        <w:gridCol w:w="217"/>
        <w:gridCol w:w="699"/>
        <w:gridCol w:w="326"/>
        <w:gridCol w:w="211"/>
        <w:gridCol w:w="78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562860" cy="175260"/>
                      <wp:effectExtent l="0" t="0" r="0" b="0"/>
                      <wp:wrapNone/>
                      <wp:docPr id="17" name="Frame14"/>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6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20" name="Frame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7795" cy="175260"/>
                      <wp:effectExtent l="0" t="0" r="0" b="0"/>
                      <wp:wrapNone/>
                      <wp:docPr id="22" name="Frame1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43865" cy="175260"/>
                      <wp:effectExtent l="0" t="0" r="0" b="0"/>
                      <wp:wrapNone/>
                      <wp:docPr id="23" name="Frame2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95935" cy="175260"/>
                      <wp:effectExtent l="0" t="0" r="0" b="0"/>
                      <wp:wrapNone/>
                      <wp:docPr id="26" name="Frame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Short-term</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Long-term</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22,376</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9,445</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cash interest on financing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37,035</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19,162</w:t>
            </w:r>
          </w:p>
        </w:tc>
      </w:tr>
    </w:tbl>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Financing obligations consist of payments related to the Loan and Security Agreement. Operating lease obligations consist of obligations under non-cancelable operating leases for our offices, facilities and equipment. The table above does not include amounts owed for purchases of capital equipment; supplies; materials; or fixed or minimum services under non-cancelable contracts.</w:t>
      </w:r>
    </w:p>
    <w:p>
      <w:pPr>
        <w:pStyle w:val="TextBody"/>
        <w:bidi w:val="0"/>
        <w:spacing w:before="0" w:after="0"/>
        <w:ind w:left="0" w:right="0" w:firstLine="540"/>
        <w:jc w:val="both"/>
        <w:rPr/>
      </w:pPr>
      <w:r>
        <w:rPr/>
        <w:t>​</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year ended December 31, 2023 was $50.6 million, primarily resulting from our net loss of $75.1 million, partially offset by non-cash expenses totaling $25.0 million. Changes in operating assets and liabilities had a minimal impact on net cash used in operating activities for the year ended December 31, 2023.</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Net cash used in operating activities during the year ended December 31, 2022 was $62.7 million, primarily resulting from our net loss of $71.5 million, partially offset by non-cash expenses totaling $11.2 million. Changes in operating assets and liabilities had a minimal impact on net cash used in operating activities during the year ended December 31, 2022.</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Cash used in operating activities was reduced by $12.1 million to $50.6 million during the year ended December 31, 2023, from $62.7 million during the year ended December 31, 2022. Our net loss increased by $3.6 million to $75.1 million during the year ended December 31, 2023. Non-cash charges impacting our net loss increased by $13.8 million to $25.0 million during the year ended December 31, 2023, from $11.2 million during the year ended December 31, 2022. Changes in operating assets and liabilities had a minimal impact on the change in cash used in operating activities during the year ended December 31, 2023, compared to the year ended December 31,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Provided by (Used in) Investing Activities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Cash provided by investing activities during </w:t>
      </w:r>
      <w:r>
        <w:rPr>
          <w:rFonts w:ascii="Times New Roman;Times;serif" w:hAnsi="Times New Roman;Times;serif"/>
          <w:sz w:val="20"/>
          <w:shd w:fill="FFFFFF" w:val="clear"/>
        </w:rPr>
        <w:t>the year ended December 31</w:t>
      </w:r>
      <w:r>
        <w:rPr>
          <w:rFonts w:ascii="Times New Roman;Times;serif" w:hAnsi="Times New Roman;Times;serif"/>
          <w:sz w:val="20"/>
        </w:rPr>
        <w:t xml:space="preserve"> 2023 totaled $0.8 million, resulting from $119.1 million of maturities of available-for -sale securities, partially offset by $9.1 million of purchases of property and equipment and $109.3 million of purchases of available-for-sale securities.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Cash used in investing activities during the year ended December 31, 2022 totaled $107.0 million, resulting from purchases of $22.7 million of property and equipment and $84.3 million of available-for-sale securities.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refrigerators, and development tools for our chip fabrication facility.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shd w:fill="FFFFFF" w:val="clear"/>
        </w:rPr>
        <w:t>Net cash provided by investing activities during the year ended December 31, 2023 improved by $107.8 million when compared to the year ended December 31, 2022, due to maturities of available-for-sale securities and decreased purchases</w:t>
      </w:r>
      <w:r>
        <w:rPr>
          <w:rFonts w:ascii="Times New Roman;Times;serif" w:hAnsi="Times New Roman;Times;serif"/>
          <w:sz w:val="20"/>
        </w:rPr>
        <w:t> of property and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financing activities during </w:t>
      </w:r>
      <w:r>
        <w:rPr>
          <w:rFonts w:ascii="Times New Roman;Times;serif" w:hAnsi="Times New Roman;Times;serif"/>
          <w:sz w:val="20"/>
          <w:shd w:fill="FFFFFF" w:val="clear"/>
        </w:rPr>
        <w:t>the year ended December 31</w:t>
      </w:r>
      <w:r>
        <w:rPr>
          <w:rFonts w:ascii="Times New Roman;Times;serif" w:hAnsi="Times New Roman;Times;serif"/>
          <w:sz w:val="20"/>
        </w:rPr>
        <w:t>, 2023 totaled $13.2 million, reflecting $20.5 million of proceeds, net of commissions, from the sale of 13.4 million shares of common stock to B. Riley through our prior Purchase Agreement with B. Riley, and $1.1 million of proceeds from the exercise of stock options and warrants, offset in part by principal payments of $8.3 million under the Loan Agreement and payments of $0.1 million for deferred financing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shd w:fill="FFFFFF" w:val="clear"/>
        </w:rPr>
        <w:t>ash provided by financing activities during the year ended December 31, 2022 totaled $215.5 million, reflecting $225.6 million of proceeds from the Business Combination and PIPE Investment, net of transaction costs, and offset by Rigetti transaction costs of $18.8 million, additional proceeds from the issuance of debt and warrants of $5.0 million associated with the Third Amendment to the Loan Agreement, proceeds from the exercise of stock options and warrants of $6.1 million, offset in part by payment of principal on notes payable of $1.3 million and payment of debt issuance costs and exit fees totaling $1.1 million.</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Net cash provided by financing activities during </w:t>
      </w:r>
      <w:r>
        <w:rPr>
          <w:rFonts w:ascii="Times New Roman;Times;serif" w:hAnsi="Times New Roman;Times;serif"/>
          <w:sz w:val="20"/>
          <w:shd w:fill="FFFFFF" w:val="clear"/>
        </w:rPr>
        <w:t>the year ended December 31</w:t>
      </w:r>
      <w:r>
        <w:rPr>
          <w:rFonts w:ascii="Times New Roman;Times;serif" w:hAnsi="Times New Roman;Times;serif"/>
          <w:sz w:val="20"/>
        </w:rPr>
        <w:t xml:space="preserve">, 2023 decreased by $202.2 million when compared to </w:t>
      </w:r>
      <w:r>
        <w:rPr>
          <w:rFonts w:ascii="Times New Roman;Times;serif" w:hAnsi="Times New Roman;Times;serif"/>
          <w:sz w:val="20"/>
          <w:shd w:fill="FFFFFF" w:val="clear"/>
        </w:rPr>
        <w:t>the year ended December 31</w:t>
      </w:r>
      <w:r>
        <w:rPr>
          <w:rFonts w:ascii="Times New Roman;Times;serif" w:hAnsi="Times New Roman;Times;serif"/>
          <w:sz w:val="20"/>
        </w:rPr>
        <w:t xml:space="preserve">, 2022, largely due to the close of the Business Combination and PIPE Investment, net of transaction costs, during </w:t>
      </w:r>
      <w:r>
        <w:rPr>
          <w:rFonts w:ascii="Times New Roman;Times;serif" w:hAnsi="Times New Roman;Times;serif"/>
          <w:sz w:val="20"/>
          <w:shd w:fill="FFFFFF" w:val="clear"/>
        </w:rPr>
        <w:t>the year ended December 31</w:t>
      </w:r>
      <w:r>
        <w:rPr>
          <w:rFonts w:ascii="Times New Roman;Times;serif" w:hAnsi="Times New Roman;Times;serif"/>
          <w:sz w:val="20"/>
        </w:rPr>
        <w:t>, 2022. We expect to continue to finance our cash needs primarily through cash, cash equivalents and available-for-sale investments, potential securities financings or other capital sources.</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This Management’s Discussion and Analysis of Financial Condition and Results of Operations is based on our consolidated financial statements included in this Annual Report on Form 10-K, which have been prepared in accordance with GAAP.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Preparation of these financial statements requires us to make estimates and assumptions that affect the reported amounts of assets and liabilities and the disclosure of contingent assets and liabilities. We also make estimates and assumptions that affect revenue and expenses during the reporting periods. Our estimates are based on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While our significant accounting policies are described in the Notes to our consolidated financial statements for the year ended December 31, 2023, included elsewhere in this Annual Report on Form 10-K, we believe the following critical accounting policies and estimates are most important to understanding and evaluating our reported financial results.</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and Private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Prior to the Business Combination, SNII issued 4,450,000 private placement warrants (“Private Warrants”) and 8,625,000 public warrants (“Public Warrants” and collectively, “Warrants”). As of </w:t>
      </w:r>
      <w:r>
        <w:rPr>
          <w:rFonts w:ascii="Times New Roman;Times;serif" w:hAnsi="Times New Roman;Times;serif"/>
          <w:sz w:val="20"/>
          <w:shd w:fill="FFFFFF" w:val="clear"/>
        </w:rPr>
        <w:t>December 31</w:t>
      </w:r>
      <w:r>
        <w:rPr>
          <w:rFonts w:ascii="Times New Roman;Times;serif" w:hAnsi="Times New Roman;Times;serif"/>
          <w:sz w:val="20"/>
        </w:rPr>
        <w:t xml:space="preserve"> 2023, there were 13,074,972 Warrants outstanding, consisting of 3,272,834 Private Warrants and 9,802,138 Public Warrants. Each whole warrant entitles the holder to purchase one share of our Common Stock at a price of $11.50 per share, subject to adjustments and will expire five years after the Merger or earlier upon redemption or liquidation.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our stock and should be classified as a liability.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Since the Private Warrants meet the definition of a derivative, we recorded the Private Warrants as liabilities in the consolidated balance sheet at fair value upon the closing of the Business Combination, with subsequent changes in the fair value recognized in the consolidated statements of operations at each reporting date. The fair value of the Private Warrants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was measured using the Black-Scholes option-pricing model at each measurement date. The Public Warrants also fail to meet the indexation guidance in ASC 815 and are accounted for as liabilities as the Public Warrants include a provision whereby in a scenario in which there is not an effective registration statement, the warrant holders have a cap, 0.361 shares of Common Stock per warrant (subject to adjustment), on the issuable number of shares in a cashless exercise.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Subsequent to the separate listing and trading of the Public Warrants, the fair value of the Public Warrants has been measured based on the observable listed prices for such warrants and the fair value of the Private Warrants are measured using a Monte Carlo Pricing Model.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the consummation of the Business Combination, we recorded a liability related to the Private Warrants of $9.6 million, with an offsetting entry to additional paid-in capital. As of December 31, 2023, the fair value of the Private Warrants decreased to $1.6 million, with the change in fair value of the derivative warrant liabilities recorded in the consolidated statements of operations each reporting period.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Similarly, on the consummation of the Business Combination, we recorded a liability related to the Public Warrants of $16.3 million, with an offsetting entry to additional paid-in capital. As of December 31, 2023, the fair value of the Public Warrants decreased to $1.3 million with the change in fair value of derivative warrant liabilities recorded in the consolidated statements of operations each reporting period.</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Derivative Warrant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currently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815, “Derivatives and Hedging” (“ASC 815”) at the initial recognition date.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Other than the Public Warrants and Private Warrants noted above, we also issued a total of 783,129 Trinity Warrants in conjunction with the Loan Agreement in 2021. We utilized the Black-Scholes model to determine the inception date fair value of the Trinity Warrants of approximately $2.7 million which was recorded as part of Debt Issuance Cost. The outstanding Trinity Warrants were subsequently remeasured at each reporting period using the Black-Scholes model until they were exercised, with the change in fair value recorded as a component of other income in the consolidated statements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June 2, 2022, the 783,129 Trinity Warrants were exercised and the $6.4 million warrant liability was reclassified to equity. We recorded a loss of $2.0 million from the change in the fair value of the warrant liability for the year ended December 31,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Earn-Out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At Business Combination Closing, Supernova Sponsor subjected certain shares (“Sponsor Vesting Shares”) of Common Stock held by Supernova Sponsor and its permitted transferees (the “Sponsor Holders”) to forfeiture and vesting as of the Closing if thresholds related to the weighted average price of Common Stock are not met for the duration of various specified consecutive day trading periods during the five-year period following the Closing (the “Earn-out Triggering Events”). Any such shares held by the Sponsor Holders that remain unvested after the fifth anniversary of the Closing will be forfeited.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Sponsor Vesting Shares are accounted for as liability classified instruments because the Earn-Out Triggering Events that determine the number of Sponsor Vesting Shares to be earned back by the Sponsor Holders include outcomes that are not solely indexed to our Common Stock. The aggregate fair value of the Sponsor Vesting Shares at the time of the Business Combination Closing was estimated using a Monte Carlo simulation model and was determined to be $20.4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December 31, 2023, the Earn-Out Triggering Events were not achieved for any of the tranches, and as such, the Company adjusted the carrying amount of the liability to its estimated fair value of $2.2 million with the change in fair value of the earn-out liabilities recorded in the consolidated statements of operations each reporting period.</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Warrant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connection with the execution of the Merger Agreement in October 2021, we entered into the Forward Warrant Agreement with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Ampere and us. The collaboration agreement was entered into in January 2022. Ampere was required to pay $5.0 million to us no later than the later of (i) the Closing and (ii) June 30, 2022.</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June 30, 2022, pursuant to the Forward Warrant Agreement, we issued the warrant to Ampere upon receipt of an aggregate of $5.0 million (including the exercise price), and upon such payment and issuance, 500,000 shares of our Common Stock vested under the warrant and was immediately exercised by Ampere pursuant to the terms of the warrant. Ampere was required to pay an additional $5.0 million to us no later than the closing date of the listing of Ampere’s capital stock on a stock exchange, provided that if the listing had not occurred by the second anniversary of the Forward Warrant Agreement (October 6, 2023), Ampere was not obligated to make the additional payment and we were not obligated to issue the remaining shares underlying the warrants. Ampere’s obligation to make the additional $5.0 million payment has now expired. We filed a registration statement, pursuant to a Registration Rights Agreement with Ampere, registering the resale of the initial 500,000 shares issued under the warrant which was declared effective during the year ended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evaluated the Forward Warrant Agreement as a derivative in accordance with the guidance of ASC 480, “Distinguishing Liabilities from Equity”. We calculated the fair value of the Forward Warrant Agreement by using the Forward Contract Pricing methodology at inception. The fair value of the Forward Warrant Agreement was estimated based on the following key inputs and assumptions 1) Assumed holding period 2) Related risk-free rate and 3) Likelihood of the outcome of the various contingencies specified in the agreement. Based on these inputs and assumptions, we calculated the fair value of the Forward Warrant Agreement to be $2.2 million as of December 31, 2022 and we included the derivative as a forward contract asset in the accompanying consolidated balance sheet as of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the year ended December 31, 2023, we reduced the value of the Forward Warrant Agreement to zero because Ampere’s obligation to make the additional payment under the Forward Warrant Agreement expired without taking effect.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change in the fair value of the Forward Warrant Agreement was recorded as part of selling, general and administrative expenses in our consolidated statements of operations each reporting period until it expired.</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Revenue consists primarily of our contracts that provide access to Rigetti quantum computing systems, collaborative research services, professional services, and the sale of QPUs and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six months to two years. Revenue related to usage-based access to Rigetti quantum computing systems is recognized over time as the systems are accessed using an output method based on compute credit hours expended. Revenue related to collaborative research services and professional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Revenue related to cost share contracts is recognized as the reimbursable costs are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For fixed price milestone-based contracts, revenue is recognized based on the input measure explained above as control is expected to transfer over the time period a milestone is completed. Revenue related to the sale of QPUs and custom quantum computing components is recognized at a point in time, and upon customer acceptance for custom quantum computing components.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fixed fee development contracts vary in term from one to five years, with the majority of such contracts having a term of 18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 As a result of the quarterly reviews, revisions in the estimated effort to complete the contract are reflected in the period in which the change is identified. These revisions may impact the overall progress related to transfer of control and therefore result in either increases or decreases in revenues as well as increases or decreases in fulfillment costs and contract margins. In accordance, with ASC No. 250, Accounting Changes and Error Corrections, any changes in estimates are reflected in our consolidated statements of operations in the period in which the circumstances that give rise to the revision become known to management. To date, we have not experienced any changes in estimates that have had a material impact on our results from operations or financial position.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there were no significant material rights provided to our customers requiring separate recognition.</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 Impairment Review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December 2022, we tested our goodwill for impairment. See Note 8 – Goodwill of our consolidated financial statements for the year ended December 31, 2023 included elsewhere in this Annual Report on Form 10-K for additional information on how the impairment was measured. We have determined that the Company is a single reporting unit. As such, management estimated the fair value of the Company based on its market capitalization as of December 31, 2022, as adjusted for a control premium based on recent market comparable transactions.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Based on our analysis, we determined that the carrying value of the Company (stockholder’s equity) exceeded its fair value. As a result, we recorded a non-tax-deductible goodwill impairment charge of $5.4 million for the year ended December 31, 2022. No goodwill impairment charges were recorded for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consolidated financial statements for the year ended December 31, 2023 included elsewhere in this Annual Report on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remain an emerging growth company under the JOBS Act until the earliest of (a) December 31, 2026, the last day of our first fiscal year following the fifth anniversary of the completion of SNII’s initial public offering, (b) the last date of our fiscal year in which we have total annual gross revenue of at least $1.24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0" w:after="240"/>
        <w:ind w:left="0" w:right="0" w:hanging="0"/>
        <w:jc w:val="both"/>
        <w:rPr>
          <w:rFonts w:ascii="Times New Roman;Times;serif" w:hAnsi="Times New Roman;Times;serif"/>
          <w:b/>
          <w:sz w:val="20"/>
        </w:rPr>
      </w:pPr>
      <w:bookmarkStart w:id="76" w:name="Item7AQuantitativeandQualitativeDisclosu"/>
      <w:bookmarkStart w:id="77" w:name="_8f82c4eb_530c_4f25_97c2_a86f4a0202af"/>
      <w:bookmarkEnd w:id="76"/>
      <w:bookmarkEnd w:id="77"/>
      <w:r>
        <w:rPr>
          <w:rFonts w:ascii="Times New Roman;Times;serif" w:hAnsi="Times New Roman;Times;serif"/>
          <w:b/>
          <w:sz w:val="20"/>
        </w:rPr>
        <w:t>ITEM 7A.             Quantitative and Qualitative Disclosures About Market Risk.</w:t>
      </w:r>
    </w:p>
    <w:p>
      <w:pPr>
        <w:pStyle w:val="TextBody"/>
        <w:bidi w:val="0"/>
        <w:spacing w:before="0" w:after="240"/>
        <w:ind w:left="0" w:right="0" w:firstLine="630"/>
        <w:jc w:val="both"/>
        <w:rPr>
          <w:rFonts w:ascii="Times New Roman;Times;serif" w:hAnsi="Times New Roman;Times;serif"/>
          <w:sz w:val="20"/>
        </w:rPr>
      </w:pPr>
      <w:r>
        <w:rPr>
          <w:rFonts w:ascii="Times New Roman;Times;serif" w:hAnsi="Times New Roman;Times;serif"/>
          <w:sz w:val="20"/>
        </w:rPr>
        <w:t>We are a smaller reporting company as defined by Rule12b-2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8" w:name="Item8FinancialStatementsandSupplementary"/>
      <w:bookmarkStart w:id="79" w:name="_051eb98a_1dd4_4615_a799_bc3049f8d05d"/>
      <w:bookmarkEnd w:id="78"/>
      <w:bookmarkEnd w:id="79"/>
      <w:r>
        <w:rPr>
          <w:rFonts w:ascii="Times New Roman;Times;serif" w:hAnsi="Times New Roman;Times;serif"/>
          <w:b/>
          <w:sz w:val="20"/>
        </w:rPr>
        <w:t>ITEM 8.               CONSOLIDATED FINANCIAL STATEMENTS AND SUPPLEMENTARY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p>
      <w:pPr>
        <w:pStyle w:val="TextBody"/>
        <w:bidi w:val="0"/>
        <w:spacing w:before="0" w:after="240"/>
        <w:ind w:left="0" w:right="0" w:hanging="0"/>
        <w:jc w:val="both"/>
        <w:rPr/>
      </w:pPr>
      <w:r>
        <w:rPr/>
        <w:t>​</w:t>
      </w:r>
    </w:p>
    <w:tbl>
      <w:tblPr>
        <w:tblW w:w="9373" w:type="dxa"/>
        <w:jc w:val="left"/>
        <w:tblInd w:w="0" w:type="dxa"/>
        <w:tblLayout w:type="fixed"/>
        <w:tblCellMar>
          <w:top w:w="0" w:type="dxa"/>
          <w:left w:w="0" w:type="dxa"/>
          <w:bottom w:w="0" w:type="dxa"/>
          <w:right w:w="0" w:type="dxa"/>
        </w:tblCellMar>
      </w:tblPr>
      <w:tblGrid>
        <w:gridCol w:w="8581"/>
        <w:gridCol w:w="326"/>
        <w:gridCol w:w="466"/>
      </w:tblGrid>
      <w:tr>
        <w:trPr/>
        <w:tc>
          <w:tcPr>
            <w:tcW w:w="858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858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8581" w:type="dxa"/>
            <w:tcBorders/>
            <w:vAlign w:val="center"/>
          </w:tcPr>
          <w:p>
            <w:pPr>
              <w:pStyle w:val="TableContents"/>
              <w:pBdr/>
              <w:bidi w:val="0"/>
              <w:spacing w:before="0" w:after="0"/>
              <w:ind w:left="0" w:right="0" w:hanging="0"/>
              <w:jc w:val="both"/>
              <w:rPr/>
            </w:pPr>
            <w:hyperlink w:anchor="Report">
              <w:r>
                <w:rPr>
                  <w:rStyle w:val="InternetLink"/>
                  <w:rFonts w:ascii="Times New Roman;Times;serif" w:hAnsi="Times New Roman;Times;serif"/>
                  <w:b w:val="false"/>
                  <w:i w:val="false"/>
                  <w:caps w:val="false"/>
                  <w:smallCaps w:val="false"/>
                  <w:sz w:val="20"/>
                </w:rPr>
                <w:t>Report of Independent Registered Public Accounting Firm (</w:t>
              </w:r>
            </w:hyperlink>
            <w:r>
              <w:rPr>
                <w:rFonts w:ascii="Times New Roman;Times;serif" w:hAnsi="Times New Roman;Times;serif"/>
                <w:sz w:val="20"/>
              </w:rPr>
              <w:t>PCAOB ID #243)</w:t>
            </w:r>
          </w:p>
        </w:tc>
        <w:tc>
          <w:tcPr>
            <w:tcW w:w="326"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94</w:t>
            </w:r>
          </w:p>
        </w:tc>
      </w:tr>
      <w:tr>
        <w:trPr/>
        <w:tc>
          <w:tcPr>
            <w:tcW w:w="8581"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Consolidated Financial Statements</w:t>
            </w:r>
          </w:p>
        </w:tc>
        <w:tc>
          <w:tcPr>
            <w:tcW w:w="326"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pPr>
            <w:r>
              <w:rPr/>
              <w:t>​</w:t>
            </w:r>
          </w:p>
        </w:tc>
      </w:tr>
      <w:tr>
        <w:trPr/>
        <w:tc>
          <w:tcPr>
            <w:tcW w:w="8581" w:type="dxa"/>
            <w:tcBorders/>
            <w:vAlign w:val="center"/>
          </w:tcPr>
          <w:p>
            <w:pPr>
              <w:pStyle w:val="TableContents"/>
              <w:pBdr/>
              <w:bidi w:val="0"/>
              <w:spacing w:before="0" w:after="0"/>
              <w:ind w:left="0" w:right="0" w:hanging="0"/>
              <w:jc w:val="both"/>
              <w:rPr/>
            </w:pPr>
            <w:hyperlink w:anchor="BalanceSheet">
              <w:r>
                <w:rPr>
                  <w:rStyle w:val="InternetLink"/>
                  <w:rFonts w:ascii="Times New Roman;Times;serif" w:hAnsi="Times New Roman;Times;serif"/>
                  <w:b w:val="false"/>
                  <w:i w:val="false"/>
                  <w:caps w:val="false"/>
                  <w:smallCaps w:val="false"/>
                  <w:sz w:val="20"/>
                </w:rPr>
                <w:t xml:space="preserve">Consolidated Balance Sheets </w:t>
              </w:r>
            </w:hyperlink>
          </w:p>
        </w:tc>
        <w:tc>
          <w:tcPr>
            <w:tcW w:w="326"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95</w:t>
            </w:r>
          </w:p>
        </w:tc>
      </w:tr>
      <w:tr>
        <w:trPr/>
        <w:tc>
          <w:tcPr>
            <w:tcW w:w="8581" w:type="dxa"/>
            <w:tcBorders/>
            <w:vAlign w:val="center"/>
          </w:tcPr>
          <w:p>
            <w:pPr>
              <w:pStyle w:val="TableContents"/>
              <w:pBdr/>
              <w:bidi w:val="0"/>
              <w:spacing w:before="0" w:after="0"/>
              <w:ind w:left="0" w:right="0" w:hanging="0"/>
              <w:jc w:val="both"/>
              <w:rPr/>
            </w:pPr>
            <w:hyperlink w:anchor="StatementsofOperations">
              <w:r>
                <w:rPr>
                  <w:rStyle w:val="InternetLink"/>
                  <w:rFonts w:ascii="Times New Roman;Times;serif" w:hAnsi="Times New Roman;Times;serif"/>
                  <w:b w:val="false"/>
                  <w:i w:val="false"/>
                  <w:caps w:val="false"/>
                  <w:smallCaps w:val="false"/>
                  <w:sz w:val="20"/>
                </w:rPr>
                <w:t xml:space="preserve">Consolidated Statements of Operations </w:t>
              </w:r>
            </w:hyperlink>
          </w:p>
        </w:tc>
        <w:tc>
          <w:tcPr>
            <w:tcW w:w="326"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96</w:t>
            </w:r>
          </w:p>
        </w:tc>
      </w:tr>
      <w:tr>
        <w:trPr/>
        <w:tc>
          <w:tcPr>
            <w:tcW w:w="8581" w:type="dxa"/>
            <w:tcBorders/>
            <w:vAlign w:val="center"/>
          </w:tcPr>
          <w:p>
            <w:pPr>
              <w:pStyle w:val="TableContents"/>
              <w:pBdr/>
              <w:bidi w:val="0"/>
              <w:spacing w:before="0" w:after="0"/>
              <w:ind w:left="0" w:right="0" w:hanging="0"/>
              <w:jc w:val="both"/>
              <w:rPr/>
            </w:pPr>
            <w:hyperlink w:anchor="StatementsofOperations">
              <w:r>
                <w:rPr>
                  <w:rStyle w:val="InternetLink"/>
                  <w:rFonts w:ascii="Times New Roman;Times;serif" w:hAnsi="Times New Roman;Times;serif"/>
                  <w:b w:val="false"/>
                  <w:i w:val="false"/>
                  <w:caps w:val="false"/>
                  <w:smallCaps w:val="false"/>
                  <w:sz w:val="20"/>
                </w:rPr>
                <w:t xml:space="preserve">Consolidated Statements of Comprehensive Loss </w:t>
              </w:r>
            </w:hyperlink>
          </w:p>
        </w:tc>
        <w:tc>
          <w:tcPr>
            <w:tcW w:w="326"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97</w:t>
            </w:r>
          </w:p>
        </w:tc>
      </w:tr>
      <w:tr>
        <w:trPr/>
        <w:tc>
          <w:tcPr>
            <w:tcW w:w="8581" w:type="dxa"/>
            <w:tcBorders/>
            <w:vAlign w:val="center"/>
          </w:tcPr>
          <w:p>
            <w:pPr>
              <w:pStyle w:val="TableContents"/>
              <w:pBdr/>
              <w:bidi w:val="0"/>
              <w:spacing w:before="0" w:after="0"/>
              <w:ind w:left="0" w:right="0" w:hanging="0"/>
              <w:jc w:val="both"/>
              <w:rPr/>
            </w:pPr>
            <w:hyperlink w:anchor="Equity">
              <w:r>
                <w:rPr>
                  <w:rStyle w:val="InternetLink"/>
                  <w:rFonts w:ascii="Times New Roman;Times;serif" w:hAnsi="Times New Roman;Times;serif"/>
                  <w:b w:val="false"/>
                  <w:i w:val="false"/>
                  <w:caps w:val="false"/>
                  <w:smallCaps w:val="false"/>
                  <w:sz w:val="20"/>
                </w:rPr>
                <w:t xml:space="preserve">Consolidated Statements of Redeemable Convertible Preferred Stock and Stockholders’ Equity (Deficit) </w:t>
              </w:r>
            </w:hyperlink>
          </w:p>
        </w:tc>
        <w:tc>
          <w:tcPr>
            <w:tcW w:w="326"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98</w:t>
            </w:r>
          </w:p>
        </w:tc>
      </w:tr>
      <w:tr>
        <w:trPr/>
        <w:tc>
          <w:tcPr>
            <w:tcW w:w="8581" w:type="dxa"/>
            <w:tcBorders/>
            <w:vAlign w:val="center"/>
          </w:tcPr>
          <w:p>
            <w:pPr>
              <w:pStyle w:val="TableContents"/>
              <w:pBdr/>
              <w:bidi w:val="0"/>
              <w:spacing w:before="0" w:after="0"/>
              <w:ind w:left="0" w:right="0" w:hanging="0"/>
              <w:jc w:val="both"/>
              <w:rPr/>
            </w:pPr>
            <w:hyperlink w:anchor="Cashflows">
              <w:r>
                <w:rPr>
                  <w:rStyle w:val="InternetLink"/>
                  <w:rFonts w:ascii="Times New Roman;Times;serif" w:hAnsi="Times New Roman;Times;serif"/>
                  <w:b w:val="false"/>
                  <w:i w:val="false"/>
                  <w:caps w:val="false"/>
                  <w:smallCaps w:val="false"/>
                  <w:sz w:val="20"/>
                </w:rPr>
                <w:t xml:space="preserve">Consolidated Statements of Cash Flows </w:t>
              </w:r>
            </w:hyperlink>
          </w:p>
        </w:tc>
        <w:tc>
          <w:tcPr>
            <w:tcW w:w="326"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99</w:t>
            </w:r>
          </w:p>
        </w:tc>
      </w:tr>
      <w:tr>
        <w:trPr/>
        <w:tc>
          <w:tcPr>
            <w:tcW w:w="8581" w:type="dxa"/>
            <w:tcBorders/>
            <w:vAlign w:val="center"/>
          </w:tcPr>
          <w:p>
            <w:pPr>
              <w:pStyle w:val="TableContents"/>
              <w:pBdr/>
              <w:bidi w:val="0"/>
              <w:spacing w:before="0" w:after="0"/>
              <w:ind w:left="0" w:right="0" w:hanging="0"/>
              <w:jc w:val="both"/>
              <w:rPr/>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0" w:name="Report"/>
      <w:bookmarkStart w:id="81" w:name="ReportofIndependentRegisteredPublicAccou"/>
      <w:bookmarkStart w:id="82" w:name="_b3a55b82_a8ea_4730_bf7a_35f229da09e2"/>
      <w:bookmarkEnd w:id="80"/>
      <w:bookmarkEnd w:id="81"/>
      <w:bookmarkEnd w:id="82"/>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and Board of Directors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Berkeley, California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the Consolidated Financial Statements</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Rigetti Computing, Inc. (the “Company”) as of December 31, 2023 and 2022, the related consolidated statements of operations, comprehensive loss, redeemable convertible preferred stock and stockholders’ equity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years then ended, in conformity with accounting principles generally accepted in the United States of America.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240" w:after="94"/>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94"/>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BDO USA, P.C.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Spokane, Washington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14, 2024</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3" w:name="BalanceSheet"/>
      <w:bookmarkStart w:id="84" w:name="_60c8ed9c_7a1d_4793_96e1_9a10ae3d2966"/>
      <w:bookmarkEnd w:id="83"/>
      <w:bookmarkEnd w:id="84"/>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85" w:name="BALANCESHEETS_335761"/>
      <w:bookmarkEnd w:id="85"/>
      <w:r>
        <w:rPr>
          <w:rFonts w:ascii="Times New Roman;Times;serif" w:hAnsi="Times New Roman;Times;serif"/>
          <w:b/>
          <w:sz w:val="20"/>
        </w:rPr>
        <w:t>CONSOLIDATED BALANCE SHEETS</w:t>
      </w:r>
    </w:p>
    <w:p>
      <w:pPr>
        <w:pStyle w:val="TextBody"/>
        <w:bidi w:val="0"/>
        <w:spacing w:before="0" w:after="200"/>
        <w:ind w:left="0" w:right="0" w:hanging="0"/>
        <w:jc w:val="center"/>
        <w:rPr>
          <w:rFonts w:ascii="Times New Roman;Times;serif" w:hAnsi="Times New Roman;Times;serif"/>
          <w:i/>
          <w:sz w:val="20"/>
        </w:rPr>
      </w:pPr>
      <w:r>
        <w:rPr>
          <w:rFonts w:ascii="Times New Roman;Times;serif" w:hAnsi="Times New Roman;Times;serif"/>
          <w:i/>
          <w:sz w:val="20"/>
        </w:rPr>
        <w:t>(in thousands, except share and per share amounts)</w:t>
      </w:r>
    </w:p>
    <w:p>
      <w:pPr>
        <w:pStyle w:val="Normal"/>
        <w:bidi w:val="0"/>
        <w:spacing w:before="0" w:after="0"/>
        <w:jc w:val="left"/>
        <w:rPr>
          <w:sz w:val="4"/>
          <w:szCs w:val="4"/>
        </w:rPr>
      </w:pPr>
      <w:r>
        <w:rPr>
          <w:sz w:val="4"/>
          <w:szCs w:val="4"/>
        </w:rPr>
      </w:r>
      <w:bookmarkStart w:id="86" w:name="Tc_X1dz11q8hk6s_v64kJzBhA_38_5"/>
      <w:bookmarkStart w:id="87" w:name="Tc_bD5rzHfR1UGVGblROzUuyg_38_2"/>
      <w:bookmarkStart w:id="88" w:name="Tc_-gnzbA0U-UiftDP21sj7-w_38_0"/>
      <w:bookmarkStart w:id="89" w:name="Tc_79hLcynnIkSntX0-1R3W4w_37_0"/>
      <w:bookmarkStart w:id="90" w:name="Tc_ZxNeYmZz-Ey8lulFXrnfuw_36_0"/>
      <w:bookmarkStart w:id="91" w:name="Tc_HgIZjDa1uU2Gq2AqLi9ywg_35_0"/>
      <w:bookmarkStart w:id="92" w:name="Tc_vPqUs2WOdUCJ6gjMsrrizA_34_0"/>
      <w:bookmarkStart w:id="93" w:name="Tc_bsn-KSr7RUSHAnSzaCH3nQ_33_0"/>
      <w:bookmarkStart w:id="94" w:name="Tc_L7hQ41tVK063bh5qPaODQg_32_0"/>
      <w:bookmarkStart w:id="95" w:name="Tc_tKEszawIRU2sLjldY-Ek7w_31_0"/>
      <w:bookmarkStart w:id="96" w:name="Tc_jz9GQIZCEE2aQMgQbCFj5A_30_0"/>
      <w:bookmarkStart w:id="97" w:name="Tc_xAZbhE_l4Ee5UII4MnaaxQ_29_0"/>
      <w:bookmarkStart w:id="98" w:name="Tc_9_H4bZgqKU2bXsyYOr9pNA_28_0"/>
      <w:bookmarkStart w:id="99" w:name="Tc_SQ7MpIL9_k2mFjMBD2Akjg_27_0"/>
      <w:bookmarkStart w:id="100" w:name="Tc_f7KIJBbnoE60fLcgKJZeDQ_26_0"/>
      <w:bookmarkStart w:id="101" w:name="Tc_AfFNCvHezEevG13c3WUscQ_25_0"/>
      <w:bookmarkStart w:id="102" w:name="Tc_QrERWQ03Wk-L0Z9cCResJA_24_0"/>
      <w:bookmarkStart w:id="103" w:name="Tc_7M9iJvTQlUKpiqhD61yAcA_23_0"/>
      <w:bookmarkStart w:id="104" w:name="Tc_bHTSwCExEk2FrV4rG_sUsg_22_0"/>
      <w:bookmarkStart w:id="105" w:name="Tc_Orr5Bh7oTkWUFc0Gnx9Khg_21_0"/>
      <w:bookmarkStart w:id="106" w:name="Tc_1wqPt1yrZk6m57q0c0Aqqw_20_0"/>
      <w:bookmarkStart w:id="107" w:name="Tc_UBV0MFK0Qkum07-r5Z7vDg_19_5"/>
      <w:bookmarkStart w:id="108" w:name="Tc_qSpr4DfeWUS0_B8EqlxYFw_19_2"/>
      <w:bookmarkStart w:id="109" w:name="Tc_vwZQa6kEZUmQLgMn85QDHA_19_0"/>
      <w:bookmarkStart w:id="110" w:name="Tc_ZYovwv1MlE6Y5LgnbiESMg_18_0"/>
      <w:bookmarkStart w:id="111" w:name="Tc_XTqn8cCU90OiXDmcUZE-9Q_17_0"/>
      <w:bookmarkStart w:id="112" w:name="Tc_d4JmOy3PREa927-f9ilGUw_15_5"/>
      <w:bookmarkStart w:id="113" w:name="Tc_QhbyJofI8EaBrvWDPZRcTw_15_2"/>
      <w:bookmarkStart w:id="114" w:name="Tc_-HrkMOqRu06vdLxTVMIoiw_15_0"/>
      <w:bookmarkStart w:id="115" w:name="Tc_yLAgt6qAQE6kA5eOKsNR2g_14_0"/>
      <w:bookmarkStart w:id="116" w:name="Tc_V2s9qXA3K0qjGrZlvP0BQg_13_0"/>
      <w:bookmarkStart w:id="117" w:name="Tc_Rhqj1OUlok2khEfMwzByXA_12_0"/>
      <w:bookmarkStart w:id="118" w:name="Tc_oVlG31GKdEa4MFJu1cmpmg_11_0"/>
      <w:bookmarkStart w:id="119" w:name="Tc_iMiPD3CyjUqhAQBjbPNUVw_10_0"/>
      <w:bookmarkStart w:id="120" w:name="Tc_izFR5sZC1ESZlkjJTJVcWA_9_0"/>
      <w:bookmarkStart w:id="121" w:name="Tc_hTXCG3PpeUmF7N_nfBtpZA_8_0"/>
      <w:bookmarkStart w:id="122" w:name="Tc_rUUkozOOFkq8lz8yLjNknA_7_0"/>
      <w:bookmarkStart w:id="123" w:name="Tc_FtJuABezUEuFk1cg57VCEA_6_0"/>
      <w:bookmarkStart w:id="124" w:name="Tc_0zgKj3I_OEOjXUzCYb3-lQ_5_5"/>
      <w:bookmarkStart w:id="125" w:name="Tc_8tebZzNZkkSqYG-6z2l8FQ_5_2"/>
      <w:bookmarkStart w:id="126" w:name="Tc_-fL1XdcjA0S0vUb7E4b-Rg_5_0"/>
      <w:bookmarkStart w:id="127" w:name="Tc_OZhN_tyfaE-inlx4pcj_eg_4_0"/>
      <w:bookmarkStart w:id="128" w:name="Tc_sXkDtY_5T0KMD5lYoBfiew_3_0"/>
      <w:bookmarkStart w:id="129" w:name="Tc_7GQzw7qpC0OYRDY35YEuhA_2_5"/>
      <w:bookmarkStart w:id="130" w:name="Tc_59FLVKJMX0WFKEagTV0Scw_2_2"/>
      <w:bookmarkStart w:id="131" w:name="Tc_vPhf5HXU6EOCj4BknLc4tQ_1_2"/>
      <w:bookmarkStart w:id="132" w:name="_0d0b4b2d_eda4_42ad_b757_b962bd7c104c"/>
      <w:bookmarkStart w:id="133" w:name="Tc_X1dz11q8hk6s_v64kJzBhA_38_5"/>
      <w:bookmarkStart w:id="134" w:name="Tc_bD5rzHfR1UGVGblROzUuyg_38_2"/>
      <w:bookmarkStart w:id="135" w:name="Tc_-gnzbA0U-UiftDP21sj7-w_38_0"/>
      <w:bookmarkStart w:id="136" w:name="Tc_79hLcynnIkSntX0-1R3W4w_37_0"/>
      <w:bookmarkStart w:id="137" w:name="Tc_ZxNeYmZz-Ey8lulFXrnfuw_36_0"/>
      <w:bookmarkStart w:id="138" w:name="Tc_HgIZjDa1uU2Gq2AqLi9ywg_35_0"/>
      <w:bookmarkStart w:id="139" w:name="Tc_vPqUs2WOdUCJ6gjMsrrizA_34_0"/>
      <w:bookmarkStart w:id="140" w:name="Tc_bsn-KSr7RUSHAnSzaCH3nQ_33_0"/>
      <w:bookmarkStart w:id="141" w:name="Tc_L7hQ41tVK063bh5qPaODQg_32_0"/>
      <w:bookmarkStart w:id="142" w:name="Tc_tKEszawIRU2sLjldY-Ek7w_31_0"/>
      <w:bookmarkStart w:id="143" w:name="Tc_jz9GQIZCEE2aQMgQbCFj5A_30_0"/>
      <w:bookmarkStart w:id="144" w:name="Tc_xAZbhE_l4Ee5UII4MnaaxQ_29_0"/>
      <w:bookmarkStart w:id="145" w:name="Tc_9_H4bZgqKU2bXsyYOr9pNA_28_0"/>
      <w:bookmarkStart w:id="146" w:name="Tc_SQ7MpIL9_k2mFjMBD2Akjg_27_0"/>
      <w:bookmarkStart w:id="147" w:name="Tc_f7KIJBbnoE60fLcgKJZeDQ_26_0"/>
      <w:bookmarkStart w:id="148" w:name="Tc_AfFNCvHezEevG13c3WUscQ_25_0"/>
      <w:bookmarkStart w:id="149" w:name="Tc_QrERWQ03Wk-L0Z9cCResJA_24_0"/>
      <w:bookmarkStart w:id="150" w:name="Tc_7M9iJvTQlUKpiqhD61yAcA_23_0"/>
      <w:bookmarkStart w:id="151" w:name="Tc_bHTSwCExEk2FrV4rG_sUsg_22_0"/>
      <w:bookmarkStart w:id="152" w:name="Tc_Orr5Bh7oTkWUFc0Gnx9Khg_21_0"/>
      <w:bookmarkStart w:id="153" w:name="Tc_1wqPt1yrZk6m57q0c0Aqqw_20_0"/>
      <w:bookmarkStart w:id="154" w:name="Tc_UBV0MFK0Qkum07-r5Z7vDg_19_5"/>
      <w:bookmarkStart w:id="155" w:name="Tc_qSpr4DfeWUS0_B8EqlxYFw_19_2"/>
      <w:bookmarkStart w:id="156" w:name="Tc_vwZQa6kEZUmQLgMn85QDHA_19_0"/>
      <w:bookmarkStart w:id="157" w:name="Tc_ZYovwv1MlE6Y5LgnbiESMg_18_0"/>
      <w:bookmarkStart w:id="158" w:name="Tc_XTqn8cCU90OiXDmcUZE-9Q_17_0"/>
      <w:bookmarkStart w:id="159" w:name="Tc_d4JmOy3PREa927-f9ilGUw_15_5"/>
      <w:bookmarkStart w:id="160" w:name="Tc_QhbyJofI8EaBrvWDPZRcTw_15_2"/>
      <w:bookmarkStart w:id="161" w:name="Tc_-HrkMOqRu06vdLxTVMIoiw_15_0"/>
      <w:bookmarkStart w:id="162" w:name="Tc_yLAgt6qAQE6kA5eOKsNR2g_14_0"/>
      <w:bookmarkStart w:id="163" w:name="Tc_V2s9qXA3K0qjGrZlvP0BQg_13_0"/>
      <w:bookmarkStart w:id="164" w:name="Tc_Rhqj1OUlok2khEfMwzByXA_12_0"/>
      <w:bookmarkStart w:id="165" w:name="Tc_oVlG31GKdEa4MFJu1cmpmg_11_0"/>
      <w:bookmarkStart w:id="166" w:name="Tc_iMiPD3CyjUqhAQBjbPNUVw_10_0"/>
      <w:bookmarkStart w:id="167" w:name="Tc_izFR5sZC1ESZlkjJTJVcWA_9_0"/>
      <w:bookmarkStart w:id="168" w:name="Tc_hTXCG3PpeUmF7N_nfBtpZA_8_0"/>
      <w:bookmarkStart w:id="169" w:name="Tc_rUUkozOOFkq8lz8yLjNknA_7_0"/>
      <w:bookmarkStart w:id="170" w:name="Tc_FtJuABezUEuFk1cg57VCEA_6_0"/>
      <w:bookmarkStart w:id="171" w:name="Tc_0zgKj3I_OEOjXUzCYb3-lQ_5_5"/>
      <w:bookmarkStart w:id="172" w:name="Tc_8tebZzNZkkSqYG-6z2l8FQ_5_2"/>
      <w:bookmarkStart w:id="173" w:name="Tc_-fL1XdcjA0S0vUb7E4b-Rg_5_0"/>
      <w:bookmarkStart w:id="174" w:name="Tc_OZhN_tyfaE-inlx4pcj_eg_4_0"/>
      <w:bookmarkStart w:id="175" w:name="Tc_sXkDtY_5T0KMD5lYoBfiew_3_0"/>
      <w:bookmarkStart w:id="176" w:name="Tc_7GQzw7qpC0OYRDY35YEuhA_2_5"/>
      <w:bookmarkStart w:id="177" w:name="Tc_59FLVKJMX0WFKEagTV0Scw_2_2"/>
      <w:bookmarkStart w:id="178" w:name="Tc_vPhf5HXU6EOCj4BknLc4tQ_1_2"/>
      <w:bookmarkStart w:id="179" w:name="_0d0b4b2d_eda4_42ad_b757_b962bd7c104c"/>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W w:w="10205" w:type="dxa"/>
        <w:jc w:val="left"/>
        <w:tblInd w:w="0" w:type="dxa"/>
        <w:tblLayout w:type="fixed"/>
        <w:tblCellMar>
          <w:top w:w="0" w:type="dxa"/>
          <w:left w:w="0" w:type="dxa"/>
          <w:bottom w:w="0" w:type="dxa"/>
          <w:right w:w="0" w:type="dxa"/>
        </w:tblCellMar>
      </w:tblPr>
      <w:tblGrid>
        <w:gridCol w:w="7361"/>
        <w:gridCol w:w="326"/>
        <w:gridCol w:w="211"/>
        <w:gridCol w:w="862"/>
        <w:gridCol w:w="326"/>
        <w:gridCol w:w="211"/>
        <w:gridCol w:w="908"/>
      </w:tblGrid>
      <w:tr>
        <w:trPr/>
        <w:tc>
          <w:tcPr>
            <w:tcW w:w="7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47370" cy="175260"/>
                      <wp:effectExtent l="0" t="0" r="0" b="0"/>
                      <wp:wrapNone/>
                      <wp:docPr id="29" name="Frame26"/>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76580" cy="175260"/>
                      <wp:effectExtent l="0" t="0" r="0" b="0"/>
                      <wp:wrapNone/>
                      <wp:docPr id="32" name="Frame29"/>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57,888</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84,923</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6,235</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2,450</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contract—assets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154,467</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39,530</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203,442</w:t>
            </w:r>
          </w:p>
        </w:tc>
      </w:tr>
      <w:tr>
        <w:trPr/>
        <w:tc>
          <w:tcPr>
            <w:tcW w:w="7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  </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8,205</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8,303</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62"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21,752</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less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20,635</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7,858</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w:t>
            </w:r>
          </w:p>
        </w:tc>
        <w:tc>
          <w:tcPr>
            <w:tcW w:w="86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53,218</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  </w:t>
            </w:r>
          </w:p>
        </w:tc>
      </w:tr>
      <w:tr>
        <w:trPr/>
        <w:tc>
          <w:tcPr>
            <w:tcW w:w="736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par value $0.0001 per share, 1,000,000,000 shares authorized, 147,066,336 shares issued and outstanding at December 31, 2023 and 125,257,233 shares issued and outstanding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429,025</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(353,759)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(278,652)</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150,224</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203,442</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 accompanying notes to consolidated financial</w:t>
      </w:r>
      <w:r>
        <w:rPr>
          <w:rFonts w:ascii="Times New Roman;Times;serif" w:hAnsi="Times New Roman;Times;serif"/>
          <w:sz w:val="20"/>
        </w:rPr>
        <w:t xml:space="preserve"> </w:t>
      </w:r>
      <w:r>
        <w:rPr>
          <w:rFonts w:ascii="Times New Roman;Times;serif" w:hAnsi="Times New Roman;Times;serif"/>
          <w:i/>
          <w:sz w:val="20"/>
        </w:rPr>
        <w:t>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0" w:name="StatementsofOperations"/>
      <w:bookmarkStart w:id="181" w:name="_3b8df676_f865_4362_b8ab_d2dba6278104"/>
      <w:bookmarkEnd w:id="180"/>
      <w:bookmarkEnd w:id="181"/>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82" w:name="STATEMENTSOFOPERATIONS_959966"/>
      <w:bookmarkEnd w:id="182"/>
      <w:r>
        <w:rPr>
          <w:rFonts w:ascii="Times New Roman;Times;serif" w:hAnsi="Times New Roman;Times;serif"/>
          <w:b/>
          <w:sz w:val="20"/>
        </w:rPr>
        <w:t>CONSOLIDATED STATEMENTS OF OPERATIONS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(in thousands, except for per share data)</w:t>
      </w:r>
    </w:p>
    <w:p>
      <w:pPr>
        <w:pStyle w:val="Normal"/>
        <w:bidi w:val="0"/>
        <w:spacing w:before="0" w:after="0"/>
        <w:jc w:val="left"/>
        <w:rPr>
          <w:sz w:val="4"/>
          <w:szCs w:val="4"/>
        </w:rPr>
      </w:pPr>
      <w:r>
        <w:rPr>
          <w:sz w:val="4"/>
          <w:szCs w:val="4"/>
        </w:rPr>
      </w:r>
      <w:bookmarkStart w:id="183" w:name="Tc_xS5vQ6gAKUeyBgg1iPjkgQ_25_0"/>
      <w:bookmarkStart w:id="184" w:name="Tc_mYJ-tNtQVkWz4s6goUcZAg_24_5"/>
      <w:bookmarkStart w:id="185" w:name="Tc_1diWo340gEOJ8DhdtubVWg_24_2"/>
      <w:bookmarkStart w:id="186" w:name="Tc_SYi-iVRXH0SSZLkDRcfDBg_24_0"/>
      <w:bookmarkStart w:id="187" w:name="Tc_pgfzECdJckyyl7qggZ9mHg_23_5"/>
      <w:bookmarkStart w:id="188" w:name="Tc_j-ZUW-wS8EKJsF2VWEEOsA_23_2"/>
      <w:bookmarkStart w:id="189" w:name="Tc_FUHayh7JkUyJz7MGyBuiEQ_23_0"/>
      <w:bookmarkStart w:id="190" w:name="Tc_UmFQHxm67UySFSca2mN9JA_22_3"/>
      <w:bookmarkStart w:id="191" w:name="Tc_6LtMN4bDMUu8XC-vh_g-jg_22_0"/>
      <w:bookmarkStart w:id="192" w:name="Tc_1KTjN4U8YE-LNlOGHSCGoQ_21_0"/>
      <w:bookmarkStart w:id="193" w:name="Tc_vrlCkuNWXkGMJckLukCLMg_20_0"/>
      <w:bookmarkStart w:id="194" w:name="Tc_WOUt_OvQoUao8R5WKj7qPQ_19_3"/>
      <w:bookmarkStart w:id="195" w:name="Tc_hRlTrwOXCkWOxXBByyFM6w_19_0"/>
      <w:bookmarkStart w:id="196" w:name="Tc_X7vg-LQ07EybR7JSDn_60Q_18_0"/>
      <w:bookmarkStart w:id="197" w:name="Tc_gmjsvFaPSUW56D9fWcJDFA_17_0"/>
      <w:bookmarkStart w:id="198" w:name="Tc_103dHqCGaUCgre-hr0x3ZA_16_0"/>
      <w:bookmarkStart w:id="199" w:name="Tc_6mvEJIWvJUCruj3Lq6Irng_15_0"/>
      <w:bookmarkStart w:id="200" w:name="Tc_qGjeTgQsQkymiDvrisg6qw_14_0"/>
      <w:bookmarkStart w:id="201" w:name="Tc_KFLAKfT9ZUaAmHbfQocRdg_13_0"/>
      <w:bookmarkStart w:id="202" w:name="Tc_gBsRIgdmJ0Ooi3BHc-oehw_12_0"/>
      <w:bookmarkStart w:id="203" w:name="Tc_tG9kOTJl-0C8KNzofUvACg_11_0"/>
      <w:bookmarkStart w:id="204" w:name="Tc_ylsxPh5vHkOEwm3wZlrJ9Q_10_3"/>
      <w:bookmarkStart w:id="205" w:name="Tc_XsCcao5fokmZvLfDAB6_EA_10_0"/>
      <w:bookmarkStart w:id="206" w:name="Tc_w8qTcfGFpkOMWwiqveNUrA_9_0"/>
      <w:bookmarkStart w:id="207" w:name="Tc_zM2OGVpTAkq2Q8tmfzfZeg_8_0"/>
      <w:bookmarkStart w:id="208" w:name="Tc_0Ilvg6Uqo0GUoM3HIW2_ag_7_0"/>
      <w:bookmarkStart w:id="209" w:name="Tc_ijqxaU6D0kq801thwR-ylA_6_0"/>
      <w:bookmarkStart w:id="210" w:name="Tc_FitVwOhmNkaYsne_qNFP9g_5_0"/>
      <w:bookmarkStart w:id="211" w:name="Tc_awtoS3XjW0W6jMB49Lj2Qg_4_5"/>
      <w:bookmarkStart w:id="212" w:name="Tc_7zd0Ynd47UqdmLbOmInWlw_4_2"/>
      <w:bookmarkStart w:id="213" w:name="Tc_6T1P2QiqRE-D-1LSMx-wtA_4_0"/>
      <w:bookmarkStart w:id="214" w:name="Tc_zkGZA10EeUCoTmbHPpq22w_3_5"/>
      <w:bookmarkStart w:id="215" w:name="Tc_Eg09CBtIZESpbhgSzE0jtg_3_2"/>
      <w:bookmarkStart w:id="216" w:name="Tc_fHijnX9eG022lNSunBI1MA_2_2"/>
      <w:bookmarkStart w:id="217" w:name="_f7131c1a_6a12_48d7_b85b_5f841f74e404"/>
      <w:bookmarkStart w:id="218" w:name="_a3cf82f4_3f44_4a38_8809_947274e20b84"/>
      <w:bookmarkStart w:id="219" w:name="Tc_xS5vQ6gAKUeyBgg1iPjkgQ_25_0"/>
      <w:bookmarkStart w:id="220" w:name="Tc_mYJ-tNtQVkWz4s6goUcZAg_24_5"/>
      <w:bookmarkStart w:id="221" w:name="Tc_1diWo340gEOJ8DhdtubVWg_24_2"/>
      <w:bookmarkStart w:id="222" w:name="Tc_SYi-iVRXH0SSZLkDRcfDBg_24_0"/>
      <w:bookmarkStart w:id="223" w:name="Tc_pgfzECdJckyyl7qggZ9mHg_23_5"/>
      <w:bookmarkStart w:id="224" w:name="Tc_j-ZUW-wS8EKJsF2VWEEOsA_23_2"/>
      <w:bookmarkStart w:id="225" w:name="Tc_FUHayh7JkUyJz7MGyBuiEQ_23_0"/>
      <w:bookmarkStart w:id="226" w:name="Tc_UmFQHxm67UySFSca2mN9JA_22_3"/>
      <w:bookmarkStart w:id="227" w:name="Tc_6LtMN4bDMUu8XC-vh_g-jg_22_0"/>
      <w:bookmarkStart w:id="228" w:name="Tc_1KTjN4U8YE-LNlOGHSCGoQ_21_0"/>
      <w:bookmarkStart w:id="229" w:name="Tc_vrlCkuNWXkGMJckLukCLMg_20_0"/>
      <w:bookmarkStart w:id="230" w:name="Tc_WOUt_OvQoUao8R5WKj7qPQ_19_3"/>
      <w:bookmarkStart w:id="231" w:name="Tc_hRlTrwOXCkWOxXBByyFM6w_19_0"/>
      <w:bookmarkStart w:id="232" w:name="Tc_X7vg-LQ07EybR7JSDn_60Q_18_0"/>
      <w:bookmarkStart w:id="233" w:name="Tc_gmjsvFaPSUW56D9fWcJDFA_17_0"/>
      <w:bookmarkStart w:id="234" w:name="Tc_103dHqCGaUCgre-hr0x3ZA_16_0"/>
      <w:bookmarkStart w:id="235" w:name="Tc_6mvEJIWvJUCruj3Lq6Irng_15_0"/>
      <w:bookmarkStart w:id="236" w:name="Tc_qGjeTgQsQkymiDvrisg6qw_14_0"/>
      <w:bookmarkStart w:id="237" w:name="Tc_KFLAKfT9ZUaAmHbfQocRdg_13_0"/>
      <w:bookmarkStart w:id="238" w:name="Tc_gBsRIgdmJ0Ooi3BHc-oehw_12_0"/>
      <w:bookmarkStart w:id="239" w:name="Tc_tG9kOTJl-0C8KNzofUvACg_11_0"/>
      <w:bookmarkStart w:id="240" w:name="Tc_ylsxPh5vHkOEwm3wZlrJ9Q_10_3"/>
      <w:bookmarkStart w:id="241" w:name="Tc_XsCcao5fokmZvLfDAB6_EA_10_0"/>
      <w:bookmarkStart w:id="242" w:name="Tc_w8qTcfGFpkOMWwiqveNUrA_9_0"/>
      <w:bookmarkStart w:id="243" w:name="Tc_zM2OGVpTAkq2Q8tmfzfZeg_8_0"/>
      <w:bookmarkStart w:id="244" w:name="Tc_0Ilvg6Uqo0GUoM3HIW2_ag_7_0"/>
      <w:bookmarkStart w:id="245" w:name="Tc_ijqxaU6D0kq801thwR-ylA_6_0"/>
      <w:bookmarkStart w:id="246" w:name="Tc_FitVwOhmNkaYsne_qNFP9g_5_0"/>
      <w:bookmarkStart w:id="247" w:name="Tc_awtoS3XjW0W6jMB49Lj2Qg_4_5"/>
      <w:bookmarkStart w:id="248" w:name="Tc_7zd0Ynd47UqdmLbOmInWlw_4_2"/>
      <w:bookmarkStart w:id="249" w:name="Tc_6T1P2QiqRE-D-1LSMx-wtA_4_0"/>
      <w:bookmarkStart w:id="250" w:name="Tc_zkGZA10EeUCoTmbHPpq22w_3_5"/>
      <w:bookmarkStart w:id="251" w:name="Tc_Eg09CBtIZESpbhgSzE0jtg_3_2"/>
      <w:bookmarkStart w:id="252" w:name="Tc_fHijnX9eG022lNSunBI1MA_2_2"/>
      <w:bookmarkStart w:id="253" w:name="_f7131c1a_6a12_48d7_b85b_5f841f74e404"/>
      <w:bookmarkStart w:id="254" w:name="_a3cf82f4_3f44_4a38_8809_947274e20b84"/>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10205" w:type="dxa"/>
        <w:jc w:val="left"/>
        <w:tblInd w:w="0" w:type="dxa"/>
        <w:tblLayout w:type="fixed"/>
        <w:tblCellMar>
          <w:top w:w="0" w:type="dxa"/>
          <w:left w:w="0" w:type="dxa"/>
          <w:bottom w:w="0" w:type="dxa"/>
          <w:right w:w="0" w:type="dxa"/>
        </w:tblCellMar>
      </w:tblPr>
      <w:tblGrid>
        <w:gridCol w:w="7410"/>
        <w:gridCol w:w="326"/>
        <w:gridCol w:w="211"/>
        <w:gridCol w:w="791"/>
        <w:gridCol w:w="326"/>
        <w:gridCol w:w="211"/>
        <w:gridCol w:w="930"/>
      </w:tblGrid>
      <w:tr>
        <w:trPr/>
        <w:tc>
          <w:tcPr>
            <w:tcW w:w="74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02285" cy="175260"/>
                      <wp:effectExtent l="0" t="0" r="0" b="0"/>
                      <wp:wrapNone/>
                      <wp:docPr id="35" name="Frame3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90550" cy="175260"/>
                      <wp:effectExtent l="0" t="0" r="0" b="0"/>
                      <wp:wrapNone/>
                      <wp:docPr id="38" name="Frame35"/>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left"/>
              <w:rPr/>
            </w:pPr>
            <w:r>
              <w:rPr/>
              <w:t>​</w:t>
            </w:r>
          </w:p>
        </w:tc>
      </w:tr>
      <w:tr>
        <w:trPr/>
        <w:tc>
          <w:tcPr>
            <w:tcW w:w="74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r>
      <w:tr>
        <w:trPr/>
        <w:tc>
          <w:tcPr>
            <w:tcW w:w="74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13,102</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2,873</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10,229</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pPr>
            <w:r>
              <w:rPr/>
              <w:t>  </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59,952</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53,980</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5,377</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Restructuring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119,309</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(109,080)</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pPr>
            <w:r>
              <w:rPr/>
              <w:t>  </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(5,286)</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2,433</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22,132</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19,207</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37,559</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(71,521)</w:t>
            </w:r>
          </w:p>
        </w:tc>
      </w:tr>
      <w:tr>
        <w:trPr/>
        <w:tc>
          <w:tcPr>
            <w:tcW w:w="7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4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(71,521)</w:t>
            </w:r>
          </w:p>
        </w:tc>
      </w:tr>
      <w:tr>
        <w:trPr/>
        <w:tc>
          <w:tcPr>
            <w:tcW w:w="741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 attributable to common stockholders -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r>
      <w:tr>
        <w:trPr/>
        <w:tc>
          <w:tcPr>
            <w:tcW w:w="741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shares used in computing net loss per share attributable to common stockholders –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102,301</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 accompanying notes to consolidated financial</w:t>
      </w:r>
      <w:r>
        <w:rPr>
          <w:rFonts w:ascii="Times New Roman;Times;serif" w:hAnsi="Times New Roman;Times;serif"/>
          <w:sz w:val="20"/>
        </w:rPr>
        <w:t xml:space="preserve"> </w:t>
      </w:r>
      <w:r>
        <w:rPr>
          <w:rFonts w:ascii="Times New Roman;Times;serif" w:hAnsi="Times New Roman;Times;serif"/>
          <w:i/>
          <w:sz w:val="20"/>
        </w:rPr>
        <w:t>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5" w:name="StatementsofComprehensiveloss"/>
      <w:bookmarkStart w:id="256" w:name="_a076f028_f5be_47b2_b04c_1a01b6ec33fe"/>
      <w:bookmarkEnd w:id="255"/>
      <w:bookmarkEnd w:id="256"/>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57" w:name="STATEMENTSOFCOMPREHENSIVELOSS_938564"/>
      <w:bookmarkEnd w:id="257"/>
      <w:r>
        <w:rPr>
          <w:rFonts w:ascii="Times New Roman;Times;serif" w:hAnsi="Times New Roman;Times;serif"/>
          <w:b/>
          <w:sz w:val="20"/>
        </w:rPr>
        <w:t>CONSOLIDATED STATEMENTS OF COMPREHENSIVE LOSS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Normal"/>
        <w:bidi w:val="0"/>
        <w:spacing w:before="0" w:after="0"/>
        <w:jc w:val="left"/>
        <w:rPr>
          <w:sz w:val="4"/>
          <w:szCs w:val="4"/>
        </w:rPr>
      </w:pPr>
      <w:r>
        <w:rPr>
          <w:sz w:val="4"/>
          <w:szCs w:val="4"/>
        </w:rPr>
      </w:r>
      <w:bookmarkStart w:id="258" w:name="Tc_CNPEWaOjNUSRPvRs1dr-MA_11_5"/>
      <w:bookmarkStart w:id="259" w:name="Tc_9-vO0tf62U2LmdIou37tDQ_11_2"/>
      <w:bookmarkStart w:id="260" w:name="Tc_6_FC9Ahd1Uah31W-iOqChg_11_0"/>
      <w:bookmarkStart w:id="261" w:name="Tc_trjvviqdhE65gGa663dKuw_10_0"/>
      <w:bookmarkStart w:id="262" w:name="Tc_L84qZgej30abkKJ1eZLJ4w_9_0"/>
      <w:bookmarkStart w:id="263" w:name="Tc_RoUy287fiUKzIjiKijrHKw_8_0"/>
      <w:bookmarkStart w:id="264" w:name="Tc_nXvRzBl5FEWAmu6NkSFv7A_7_0"/>
      <w:bookmarkStart w:id="265" w:name="Tc_O6EMYZ8NIUSh5FtWFCOu3Q_6_0"/>
      <w:bookmarkStart w:id="266" w:name="Tc_3RgOwEcXIUODCQU6omO3og_5_0"/>
      <w:bookmarkStart w:id="267" w:name="Tc_3c-YpNPMbkKfAiXHQU1b3w_4_5"/>
      <w:bookmarkStart w:id="268" w:name="Tc_T6pRGLiNek-AGuX5EKvbJQ_4_2"/>
      <w:bookmarkStart w:id="269" w:name="Tc_wuFJ4BJ5UkKjEyvqDiUfhA_4_0"/>
      <w:bookmarkStart w:id="270" w:name="Tc_Vg3QvhLt-UaZJsTa0Ys7dg_3_5"/>
      <w:bookmarkStart w:id="271" w:name="Tc_x1CDQBgVEUC98jIzDFKILA_3_2"/>
      <w:bookmarkStart w:id="272" w:name="Tc_D_2yWPKeEUmxneIsIKonRw_2_2"/>
      <w:bookmarkStart w:id="273" w:name="_c6fc9e1e_3ff9_44ad_9a57_ee2b986f82da"/>
      <w:bookmarkStart w:id="274" w:name="Tc_CNPEWaOjNUSRPvRs1dr-MA_11_5"/>
      <w:bookmarkStart w:id="275" w:name="Tc_9-vO0tf62U2LmdIou37tDQ_11_2"/>
      <w:bookmarkStart w:id="276" w:name="Tc_6_FC9Ahd1Uah31W-iOqChg_11_0"/>
      <w:bookmarkStart w:id="277" w:name="Tc_trjvviqdhE65gGa663dKuw_10_0"/>
      <w:bookmarkStart w:id="278" w:name="Tc_L84qZgej30abkKJ1eZLJ4w_9_0"/>
      <w:bookmarkStart w:id="279" w:name="Tc_RoUy287fiUKzIjiKijrHKw_8_0"/>
      <w:bookmarkStart w:id="280" w:name="Tc_nXvRzBl5FEWAmu6NkSFv7A_7_0"/>
      <w:bookmarkStart w:id="281" w:name="Tc_O6EMYZ8NIUSh5FtWFCOu3Q_6_0"/>
      <w:bookmarkStart w:id="282" w:name="Tc_3RgOwEcXIUODCQU6omO3og_5_0"/>
      <w:bookmarkStart w:id="283" w:name="Tc_3c-YpNPMbkKfAiXHQU1b3w_4_5"/>
      <w:bookmarkStart w:id="284" w:name="Tc_T6pRGLiNek-AGuX5EKvbJQ_4_2"/>
      <w:bookmarkStart w:id="285" w:name="Tc_wuFJ4BJ5UkKjEyvqDiUfhA_4_0"/>
      <w:bookmarkStart w:id="286" w:name="Tc_Vg3QvhLt-UaZJsTa0Ys7dg_3_5"/>
      <w:bookmarkStart w:id="287" w:name="Tc_x1CDQBgVEUC98jIzDFKILA_3_2"/>
      <w:bookmarkStart w:id="288" w:name="Tc_D_2yWPKeEUmxneIsIKonRw_2_2"/>
      <w:bookmarkStart w:id="289" w:name="_c6fc9e1e_3ff9_44ad_9a57_ee2b986f82da"/>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tbl>
      <w:tblPr>
        <w:tblW w:w="7797" w:type="dxa"/>
        <w:jc w:val="left"/>
        <w:tblInd w:w="0" w:type="dxa"/>
        <w:tblLayout w:type="fixed"/>
        <w:tblCellMar>
          <w:top w:w="0" w:type="dxa"/>
          <w:left w:w="0" w:type="dxa"/>
          <w:bottom w:w="0" w:type="dxa"/>
          <w:right w:w="0" w:type="dxa"/>
        </w:tblCellMar>
      </w:tblPr>
      <w:tblGrid>
        <w:gridCol w:w="5086"/>
        <w:gridCol w:w="326"/>
        <w:gridCol w:w="211"/>
        <w:gridCol w:w="796"/>
        <w:gridCol w:w="326"/>
        <w:gridCol w:w="211"/>
        <w:gridCol w:w="841"/>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229610" cy="175260"/>
                      <wp:effectExtent l="0" t="0" r="0" b="0"/>
                      <wp:wrapNone/>
                      <wp:docPr id="39" name="Frame36"/>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5460" cy="175260"/>
                      <wp:effectExtent l="0" t="0" r="0" b="0"/>
                      <wp:wrapNone/>
                      <wp:docPr id="42"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34035" cy="175260"/>
                      <wp:effectExtent l="0" t="0" r="0" b="0"/>
                      <wp:wrapNone/>
                      <wp:docPr id="45" name="Frame4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5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(71,521)</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  </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debt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comprehensive income (loss)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(loss) after income taxes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(71,734)</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0" w:name="_9df5c770_e80c_4ea2_bdae_1149ef62a14d"/>
      <w:bookmarkEnd w:id="290"/>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91" w:name="Equity"/>
      <w:bookmarkStart w:id="292" w:name="STOCKHOLDERSEQUITY_440253"/>
      <w:bookmarkEnd w:id="291"/>
      <w:bookmarkEnd w:id="292"/>
      <w:r>
        <w:rPr>
          <w:rFonts w:ascii="Times New Roman;Times;serif" w:hAnsi="Times New Roman;Times;serif"/>
          <w:b/>
          <w:sz w:val="20"/>
        </w:rPr>
        <w:t>CONSOLIDATED STATEMENTS OF REDEEMABLE CONVERTIBLE PREFERRED STOCK AND STOCKHOLDERS’ EQUITY (DEFICIT)</w:t>
      </w:r>
    </w:p>
    <w:p>
      <w:pPr>
        <w:pStyle w:val="TextBody"/>
        <w:bidi w:val="0"/>
        <w:spacing w:before="0" w:after="20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Normal"/>
        <w:bidi w:val="0"/>
        <w:spacing w:before="0" w:after="0"/>
        <w:jc w:val="left"/>
        <w:rPr>
          <w:sz w:val="4"/>
          <w:szCs w:val="4"/>
        </w:rPr>
      </w:pPr>
      <w:r>
        <w:rPr>
          <w:sz w:val="4"/>
          <w:szCs w:val="4"/>
        </w:rPr>
      </w:r>
      <w:bookmarkStart w:id="293" w:name="Tc_jj1FCdAHukaP7vK1fGNZMA_29_22"/>
      <w:bookmarkStart w:id="294" w:name="Tc_IBxY7gpOAkyupV5MqU0gcw_29_19"/>
      <w:bookmarkStart w:id="295" w:name="Tc_bx51hmRKN0yJtqzn07pH7g_29_16"/>
      <w:bookmarkStart w:id="296" w:name="Tc_o9grsJhKvU29BzTyYaMRRA_29_13"/>
      <w:bookmarkStart w:id="297" w:name="Tc_5v6-zwk0KkOEH3e3KgrWyQ_29_10"/>
      <w:bookmarkStart w:id="298" w:name="Tc_DZmSGhaXkkOPZMEWDhYrUQ_29_5"/>
      <w:bookmarkStart w:id="299" w:name="Tc_O9lloycwdUyWZxzrz6Lb7A_29_4"/>
      <w:bookmarkStart w:id="300" w:name="Tc_89tzWcr-B06aBBOujDDL-Q_29_2"/>
      <w:bookmarkStart w:id="301" w:name="Tc_3k62g69r1kOsiktorGkI4A_29_0"/>
      <w:bookmarkStart w:id="302" w:name="Tc_cfkqdy3NXk6-OfjATEkShw_28_17"/>
      <w:bookmarkStart w:id="303" w:name="Tc_w09-bZoiWUaU-IywvGDUPQ_28_14"/>
      <w:bookmarkStart w:id="304" w:name="Tc_NLuZUem3Fkej0Ii0tb17Hw_28_11"/>
      <w:bookmarkStart w:id="305" w:name="Tc_DDfIX80I_0aziKa8eG5tDQ_28_8"/>
      <w:bookmarkStart w:id="306" w:name="Tc_9livpY5n_kOy9seNcjKcdg_28_5"/>
      <w:bookmarkStart w:id="307" w:name="Tc_UOaO5TuJSUipmQ18Is-w5w_28_2"/>
      <w:bookmarkStart w:id="308" w:name="Tc_u2rCjUwI5kG-WdHASXrIGw_28_0"/>
      <w:bookmarkStart w:id="309" w:name="Tc_o-XlupHVC0OzilNDXuH5SA_27_20"/>
      <w:bookmarkStart w:id="310" w:name="Tc_VGg5r4CTeUq5re8LrsYAQg_27_14"/>
      <w:bookmarkStart w:id="311" w:name="Tc_PGGl3wMet02lDm9IHlcJRA_27_11"/>
      <w:bookmarkStart w:id="312" w:name="Tc_A_raieOlxka505bnv0TYJQ_27_8"/>
      <w:bookmarkStart w:id="313" w:name="Tc_gijEMzhpIEC2WClHZGjBjg_27_5"/>
      <w:bookmarkStart w:id="314" w:name="Tc_QhG9HFMkmU6dSbbugU-e9Q_27_2"/>
      <w:bookmarkStart w:id="315" w:name="Tc_LBQWcRHNZ0ie0ivW2Hs0hQ_27_0"/>
      <w:bookmarkStart w:id="316" w:name="Tc_cc1S5DhyNUSo_kw4-FMEtw_26_20"/>
      <w:bookmarkStart w:id="317" w:name="Tc_2BphWnJDGEqlQMQJ-mALBw_26_14"/>
      <w:bookmarkStart w:id="318" w:name="Tc_SDEW2xPy6UmImijE-Jp62g_26_11"/>
      <w:bookmarkStart w:id="319" w:name="Tc_1AsOomtcAkqvRFGLSeI8rQ_26_8"/>
      <w:bookmarkStart w:id="320" w:name="Tc_LDB8hafisE-wqeykJpr69g_26_5"/>
      <w:bookmarkStart w:id="321" w:name="Tc_ihwXvGXypEaP-Af353BGXQ_26_2"/>
      <w:bookmarkStart w:id="322" w:name="Tc_t9BffMdqO0WFOjnnSY-eMg_26_0"/>
      <w:bookmarkStart w:id="323" w:name="Tc_SPJ9v-7KK0y_Ndj6r-jE6A_25_20"/>
      <w:bookmarkStart w:id="324" w:name="Tc_gKalIywQHUar9Hye5564Ig_25_17"/>
      <w:bookmarkStart w:id="325" w:name="Tc_WMw1GshYFUK8Ja2yTVFiNQ_25_11"/>
      <w:bookmarkStart w:id="326" w:name="Tc_9F32TP5ftUq3XLuIewOinQ_25_8"/>
      <w:bookmarkStart w:id="327" w:name="Tc_arVl4zQCGEGZTfqke0jBfQ_25_5"/>
      <w:bookmarkStart w:id="328" w:name="Tc_fHasyYocSk-K--MndF2DEA_25_2"/>
      <w:bookmarkStart w:id="329" w:name="Tc_IF0vZhYQ5UWJobpfNjog3w_25_0"/>
      <w:bookmarkStart w:id="330" w:name="Tc_zu-o_L_BVk6sbmDGieI8vQ_24_20"/>
      <w:bookmarkStart w:id="331" w:name="Tc_Zn8vglfx3U-3kvAVokgU5Q_24_17"/>
      <w:bookmarkStart w:id="332" w:name="Tc_ch_QP3gEA0WA7kxrK6GBYg_24_11"/>
      <w:bookmarkStart w:id="333" w:name="Tc_Oy6XG2ZNw0S9dtJCt7ky9Q_24_8"/>
      <w:bookmarkStart w:id="334" w:name="Tc__JJNc4CgkUurW-Eby3xNnQ_24_5"/>
      <w:bookmarkStart w:id="335" w:name="Tc_fnxZu3AuqkO8-X75tDJa1w_24_2"/>
      <w:bookmarkStart w:id="336" w:name="Tc_HEsWZkDAHUiqmyncjFKxeg_24_0"/>
      <w:bookmarkStart w:id="337" w:name="Tc_-wyA5t0MY0ePgE-2P60e9Q_23_20"/>
      <w:bookmarkStart w:id="338" w:name="Tc_-ppP0mD2nUOJqqQ9JcKJXQ_23_17"/>
      <w:bookmarkStart w:id="339" w:name="Tc_7CSqwjANHEmwWx6kEhSuAw_23_5"/>
      <w:bookmarkStart w:id="340" w:name="Tc_GU-5rC3BW0SBynKCwfwT8A_23_2"/>
      <w:bookmarkStart w:id="341" w:name="Tc_IN3GtiOHf0ujO30T4HkEiQ_23_0"/>
      <w:bookmarkStart w:id="342" w:name="Tc_DE5QSupXj0qboUDmCwBwWg_22_23"/>
      <w:bookmarkStart w:id="343" w:name="Tc_vBMyTUzzhUyBSnYoZvHnIQ_22_20"/>
      <w:bookmarkStart w:id="344" w:name="Tc_wsbdz9hn-0e1EbTc2BS0Jw_22_17"/>
      <w:bookmarkStart w:id="345" w:name="Tc_dEQgpu1vZkGTdMRVb59h0Q_22_14"/>
      <w:bookmarkStart w:id="346" w:name="Tc_u5P3voSOX0i-xvMPvM1v-g_22_11"/>
      <w:bookmarkStart w:id="347" w:name="Tc_X7yg8f30Ak-GVhMFHI8scQ_22_5"/>
      <w:bookmarkStart w:id="348" w:name="Tc_-hpsPJEZREWQCy8DRZOFkQ_22_2"/>
      <w:bookmarkStart w:id="349" w:name="Tc_vLqNhTfhl0Ocm-EARDGvtQ_22_0"/>
      <w:bookmarkStart w:id="350" w:name="Tc_87zIWRhOe0WaLQOlW2Jl_A_21_20"/>
      <w:bookmarkStart w:id="351" w:name="Tc_Ck4v7SYNYkmysIZ29Wzr2Q_21_17"/>
      <w:bookmarkStart w:id="352" w:name="Tc_mJLbqyk12kaCIiLWLxEnwg_21_11"/>
      <w:bookmarkStart w:id="353" w:name="Tc_4eHmPE4pZ0mgA_Q8jsqQkg_21_5"/>
      <w:bookmarkStart w:id="354" w:name="Tc_e5jlqUF0WE6-qkXTFYVIgQ_21_2"/>
      <w:bookmarkStart w:id="355" w:name="Tc_g04dwc9dMkypgGx9PPdpcA_21_0"/>
      <w:bookmarkStart w:id="356" w:name="Tc_PoKGF-G2A0SMv-WdB6tYsQ_20_20"/>
      <w:bookmarkStart w:id="357" w:name="Tc_v5QTyWtyGU6JCknwxxGuew_20_17"/>
      <w:bookmarkStart w:id="358" w:name="Tc_GSyOU4C_TUWXSymL-g5Lyg_20_11"/>
      <w:bookmarkStart w:id="359" w:name="Tc_Y8dqx9_FIEma5jL8ws39Ag_20_5"/>
      <w:bookmarkStart w:id="360" w:name="Tc_F2LTql5k3ECWlBCneRlsyQ_20_2"/>
      <w:bookmarkStart w:id="361" w:name="Tc_6jphtV3tZEGo_ew1OF1AuA_20_0"/>
      <w:bookmarkStart w:id="362" w:name="Tc_6ryu-GyKcUqKUODrkKwViQ_19_5"/>
      <w:bookmarkStart w:id="363" w:name="Tc_x5ZG3HTu8UKOD0NQjEv_jQ_19_2"/>
      <w:bookmarkStart w:id="364" w:name="Tc_VfJZI1v00UyMhConqbwHrQ_19_0"/>
      <w:bookmarkStart w:id="365" w:name="Tc_ItZvBB-G5kefqXaf1N1OQw_18_17"/>
      <w:bookmarkStart w:id="366" w:name="Tc_jWUurffPH0aYsRC-xeyQIw_18_14"/>
      <w:bookmarkStart w:id="367" w:name="Tc_Cdkw9X3a7Eiznv9qubwgHQ_18_11"/>
      <w:bookmarkStart w:id="368" w:name="Tc_FM1HjBjBoEKM0kgjdZuRog_18_8"/>
      <w:bookmarkStart w:id="369" w:name="Tc_sqxCSAxo5karIQX7Qu-mgQ_18_5"/>
      <w:bookmarkStart w:id="370" w:name="Tc_aWsQ3HENmE6xm_Z1NKTWeg_18_2"/>
      <w:bookmarkStart w:id="371" w:name="Tc_izdHEbpU_060R1wVPlt1mw_18_0"/>
      <w:bookmarkStart w:id="372" w:name="Tc_mwrui8SKNE6V3YiJBAHcZw_17_20"/>
      <w:bookmarkStart w:id="373" w:name="Tc_gFzpuTX2WECJEIW8sTmnUw_17_14"/>
      <w:bookmarkStart w:id="374" w:name="Tc_m2XKFQ5_GkO__K3ozbVaVA_17_11"/>
      <w:bookmarkStart w:id="375" w:name="Tc_9OxSO_md4kChhfH8GTsK-w_17_8"/>
      <w:bookmarkStart w:id="376" w:name="Tc__mG7iZL79kK1GnDKG7Q57Q_17_5"/>
      <w:bookmarkStart w:id="377" w:name="Tc_Zp4Xjf5_x0CsOaW35SV0sQ_17_2"/>
      <w:bookmarkStart w:id="378" w:name="Tc_MYpUD1uOLkOwbvLcf1SRkw_17_0"/>
      <w:bookmarkStart w:id="379" w:name="Tc_fYsglHAQO0WYqT2xnWf1-g_16_20"/>
      <w:bookmarkStart w:id="380" w:name="Tc_B_CdDUqzU0SybvQmJ0rTrQ_16_14"/>
      <w:bookmarkStart w:id="381" w:name="Tc_1s-R1-JB1EuKD3LZKxv-xQ_16_11"/>
      <w:bookmarkStart w:id="382" w:name="Tc_kLcDXlFNpUK36T4pQUClTg_16_8"/>
      <w:bookmarkStart w:id="383" w:name="Tc_iuVs4h-Z7kmCQQ0SESMT-Q_16_5"/>
      <w:bookmarkStart w:id="384" w:name="Tc_7WI-dw3kpUKPr-UdR6IrcA_16_2"/>
      <w:bookmarkStart w:id="385" w:name="Tc_0J2ItVjWR0CA6jcz5UIVwg_16_0"/>
      <w:bookmarkStart w:id="386" w:name="Tc_5Q4b7YinskOjRmiL1L6-mw_15_20"/>
      <w:bookmarkStart w:id="387" w:name="Tc_jziokRUO5Uuyt3T5NMKQYg_15_17"/>
      <w:bookmarkStart w:id="388" w:name="Tc__4OATtpG7kqsiA2OmhMX4w_15_11"/>
      <w:bookmarkStart w:id="389" w:name="Tc_B2E1evlwSk2zB15yhwds3g_15_8"/>
      <w:bookmarkStart w:id="390" w:name="Tc_BehEoroTHUG6Fs-WqwdrJw_15_5"/>
      <w:bookmarkStart w:id="391" w:name="Tc_hNvUNGH0GEyH7ASwEHxIJQ_15_2"/>
      <w:bookmarkStart w:id="392" w:name="Tc_qzbgBJyYkU2YtcW0co29mg_15_0"/>
      <w:bookmarkStart w:id="393" w:name="Tc_9JoLgWXLEUCuKi8AP2BPlg_14_23"/>
      <w:bookmarkStart w:id="394" w:name="Tc_nnG9BurleU-kgubEWD1UIw_14_20"/>
      <w:bookmarkStart w:id="395" w:name="Tc_hS2ZQOagBEy5cjPmc-b42g_14_17"/>
      <w:bookmarkStart w:id="396" w:name="Tc_J9i4GF2LNEOMKXJDWzqs-w_14_14"/>
      <w:bookmarkStart w:id="397" w:name="Tc_U7a9N-nMh0yAee9glQ1IMQ_14_11"/>
      <w:bookmarkStart w:id="398" w:name="Tc_vDjZja4o4kmn8C1_2APmxg_14_5"/>
      <w:bookmarkStart w:id="399" w:name="Tc_doIild8jY0-DhU79tUPlNQ_14_2"/>
      <w:bookmarkStart w:id="400" w:name="Tc_i5WW_bm3l0Kyk21c6PJcCA_14_0"/>
      <w:bookmarkStart w:id="401" w:name="Tc_x24Z4iPk9kGnctdJdbm83g_13_20"/>
      <w:bookmarkStart w:id="402" w:name="Tc_xn359VjPVUKoeUlmo2c2hQ_13_17"/>
      <w:bookmarkStart w:id="403" w:name="Tc_mTnvki5QBkC5oSwx8hMUPw_13_11"/>
      <w:bookmarkStart w:id="404" w:name="Tc_nEA-PiNiqEK-ee4QnuRqWA_13_8"/>
      <w:bookmarkStart w:id="405" w:name="Tc_rYUkuZ2wEk2qvYMj5gYUAQ_13_5"/>
      <w:bookmarkStart w:id="406" w:name="Tc_bgx_FuMEDEWwKvRmMhyCZg_13_2"/>
      <w:bookmarkStart w:id="407" w:name="Tc_vW_yJdIHOkSsq4BzPrGVUQ_13_0"/>
      <w:bookmarkStart w:id="408" w:name="Tc_XtZ8LDY0mEWfe81YH6SdWw_12_20"/>
      <w:bookmarkStart w:id="409" w:name="Tc_GYOInZ-lqE2AA9DN2EooZg_12_17"/>
      <w:bookmarkStart w:id="410" w:name="Tc_DBZSiIM6rkOF2L8V12g_hg_12_11"/>
      <w:bookmarkStart w:id="411" w:name="Tc_IBgHEW0pX0KgmESSQ0N3IQ_12_8"/>
      <w:bookmarkStart w:id="412" w:name="Tc_0X9bkXedZ0-atMQUXm5SFw_12_5"/>
      <w:bookmarkStart w:id="413" w:name="Tc_8Ky83YV6iUq_8VchJhTEWg_12_2"/>
      <w:bookmarkStart w:id="414" w:name="Tc_sArGdD4X7EudnypS6jO60w_12_0"/>
      <w:bookmarkStart w:id="415" w:name="Tc_L6MAURNU5Em_QKC5VEYUDw_11_20"/>
      <w:bookmarkStart w:id="416" w:name="Tc_5LuhvEmB-0SXbOOanqvGTw_11_17"/>
      <w:bookmarkStart w:id="417" w:name="Tc_KI-65GInVEOs5qL0V2JqUw_11_11"/>
      <w:bookmarkStart w:id="418" w:name="Tc_M83B_c9JEk-HMfeuQhgL8g_11_8"/>
      <w:bookmarkStart w:id="419" w:name="Tc_wEWpmEM-fkyLT1OtT_Ka2g_11_5"/>
      <w:bookmarkStart w:id="420" w:name="Tc_PLOZNspw1U61dxtbLDGMfg_11_2"/>
      <w:bookmarkStart w:id="421" w:name="Tc__NZWdjlRkUi3g4As_xjXUQ_11_0"/>
      <w:bookmarkStart w:id="422" w:name="Tc_iI_CQGomCU-9bV_CHv2rWg_10_23"/>
      <w:bookmarkStart w:id="423" w:name="Tc_i1pR-GuUH0itGa7EGbFUHg_10_20"/>
      <w:bookmarkStart w:id="424" w:name="Tc_g6sDVRgPc0eHqxJifpxkzA_10_17"/>
      <w:bookmarkStart w:id="425" w:name="Tc_t7YkuRYj0UOW1MS_YJKiFg_10_5"/>
      <w:bookmarkStart w:id="426" w:name="Tc_BT_B7W07AUCjTxnR1x6VPA_10_2"/>
      <w:bookmarkStart w:id="427" w:name="Tc_7f9CyNbEHkadG35LyGBohA_10_0"/>
      <w:bookmarkStart w:id="428" w:name="Tc_Zyb6S_jgLUqJQTq76UrEIA_9_20"/>
      <w:bookmarkStart w:id="429" w:name="Tc_GqQAbFhIhUquxwVtBJCK4A_9_17"/>
      <w:bookmarkStart w:id="430" w:name="Tc_HnTgzBFmz0GbdyK15zDxdw_9_5"/>
      <w:bookmarkStart w:id="431" w:name="Tc_ll34zpGeFUeA2QAifIHPXA_9_2"/>
      <w:bookmarkStart w:id="432" w:name="Tc_QCYdtM-HoEimK8XcauvF5A_9_0"/>
      <w:bookmarkStart w:id="433" w:name="Tc_1XcnhO9GnkKqjtwhFw7D5w_8_20"/>
      <w:bookmarkStart w:id="434" w:name="Tc_x08bHydBgEulr4NZs57oMg_8_17"/>
      <w:bookmarkStart w:id="435" w:name="Tc_o6_FZJle302OUxKPuzQKBg_8_11"/>
      <w:bookmarkStart w:id="436" w:name="Tc_gNGmX4kZrEauDQDFs9K5tg_8_5"/>
      <w:bookmarkStart w:id="437" w:name="Tc_QY5q1U8NFkmQ2OzzpoIFuQ_8_2"/>
      <w:bookmarkStart w:id="438" w:name="Tc_xb1w8D2fGU6eAEOU4F6UOg_8_0"/>
      <w:bookmarkStart w:id="439" w:name="Tc_iRt8IEmwJ0u-s840Rf8Jag_7_20"/>
      <w:bookmarkStart w:id="440" w:name="Tc_gRtObpInB0KyfLRVc8TbNA_7_17"/>
      <w:bookmarkStart w:id="441" w:name="Tc_E6AZXrFm3U6mWAxs67WJPQ_7_11"/>
      <w:bookmarkStart w:id="442" w:name="Tc_jWApVB8JVU-TalMltRhLxQ_7_5"/>
      <w:bookmarkStart w:id="443" w:name="Tc_yNMQT4mZOUOHBcs8DeVIcA_7_2"/>
      <w:bookmarkStart w:id="444" w:name="Tc_XqVuJFWK_0ywVCuIJlXLvQ_7_0"/>
      <w:bookmarkStart w:id="445" w:name="Tc_9vXFAgcRBk282GpVre9MCQ_6_20"/>
      <w:bookmarkStart w:id="446" w:name="Tc_2JdvCLzFBUaLDbIUD1AvFw_6_17"/>
      <w:bookmarkStart w:id="447" w:name="Tc_lAxUZDdnYkWayZ-6aKzw1Q_6_0"/>
      <w:bookmarkStart w:id="448" w:name="Tc_5qrP64yBzkerK-55DwSdHA_5_22"/>
      <w:bookmarkStart w:id="449" w:name="Tc_6Fvg8pICnECtbLuge9TtTw_5_19"/>
      <w:bookmarkStart w:id="450" w:name="Tc_9eHNl0Mu6UW87lpIJfoq-w_5_16"/>
      <w:bookmarkStart w:id="451" w:name="Tc_NexRuAjUCEiDP_3c0TH37Q_5_13"/>
      <w:bookmarkStart w:id="452" w:name="Tc_f5GeLPvj0Uu8LOVexVFiLg_5_10"/>
      <w:bookmarkStart w:id="453" w:name="Tc_eUTEsYBZAUe7ZJqsQ1kUOQ_5_4"/>
      <w:bookmarkStart w:id="454" w:name="Tc_4LpQSeBOOUysP5dI9jzdtA_5_0"/>
      <w:bookmarkStart w:id="455" w:name="Tc_GfutLqSfnE-xFKXadlslZQ_4_22"/>
      <w:bookmarkStart w:id="456" w:name="Tc_7SjmYXpqekCZksBqIQzKAw_4_19"/>
      <w:bookmarkStart w:id="457" w:name="Tc_XY3AfAktAU2Pyt3lwYYuKw_4_16"/>
      <w:bookmarkStart w:id="458" w:name="Tc_PDvIOBKH7UWLiP5_FKtIGg_4_13"/>
      <w:bookmarkStart w:id="459" w:name="Tc_vuihqgQj9Uizqq9IEjrmVA_4_10"/>
      <w:bookmarkStart w:id="460" w:name="Tc_Hn6yoJ8Nj0ax2-OgmAoE9Q_4_8"/>
      <w:bookmarkStart w:id="461" w:name="Tc_iCnRZzNk8USERO-nBt6y4A_4_4"/>
      <w:bookmarkStart w:id="462" w:name="Tc_Zm7tvxhJy0G6ENt5PflbMQ_4_2"/>
      <w:bookmarkStart w:id="463" w:name="Tc_gVnWI4EsPUSc2Z4XDaMhPA_3_22"/>
      <w:bookmarkStart w:id="464" w:name="Tc_GyEe6AtwREG6XpJICKuj0Q_3_19"/>
      <w:bookmarkStart w:id="465" w:name="Tc_61O6jM5ByUSd9i1GHcAqCw_3_16"/>
      <w:bookmarkStart w:id="466" w:name="Tc_ctwHrpxLokuSPIyYahoGfA_3_13"/>
      <w:bookmarkStart w:id="467" w:name="Tc_emQO71IUnUqV7jwQy5zikQ_3_8"/>
      <w:bookmarkStart w:id="468" w:name="Tc_VmXgc45MUEiyFz7-zIAvLA_3_2"/>
      <w:bookmarkStart w:id="469" w:name="Tc_ZHQcKBmsPUKwXhkKchPFlQ_2_22"/>
      <w:bookmarkStart w:id="470" w:name="Tc_-tI3q5eYOkKRZ-TVFO5z0Q_2_16"/>
      <w:bookmarkStart w:id="471" w:name="Tc_XYEwpZ7oiEaLr-QutiBkEw_2_13"/>
      <w:bookmarkStart w:id="472" w:name="Tc_LNf0uBuAFUaTSkct-LaDHA_2_2"/>
      <w:bookmarkStart w:id="473" w:name="Tc_zORheBCckUS4EQ7McIT6yQ_1_22"/>
      <w:bookmarkStart w:id="474" w:name="Tc_JFcOIpGL0EOkONIxVgzAOQ_1_16"/>
      <w:bookmarkStart w:id="475" w:name="_00abcd5c_5bf7_43c0_b6a2_8b1896169573"/>
      <w:bookmarkStart w:id="476" w:name="Tc_jj1FCdAHukaP7vK1fGNZMA_29_22"/>
      <w:bookmarkStart w:id="477" w:name="Tc_IBxY7gpOAkyupV5MqU0gcw_29_19"/>
      <w:bookmarkStart w:id="478" w:name="Tc_bx51hmRKN0yJtqzn07pH7g_29_16"/>
      <w:bookmarkStart w:id="479" w:name="Tc_o9grsJhKvU29BzTyYaMRRA_29_13"/>
      <w:bookmarkStart w:id="480" w:name="Tc_5v6-zwk0KkOEH3e3KgrWyQ_29_10"/>
      <w:bookmarkStart w:id="481" w:name="Tc_DZmSGhaXkkOPZMEWDhYrUQ_29_5"/>
      <w:bookmarkStart w:id="482" w:name="Tc_O9lloycwdUyWZxzrz6Lb7A_29_4"/>
      <w:bookmarkStart w:id="483" w:name="Tc_89tzWcr-B06aBBOujDDL-Q_29_2"/>
      <w:bookmarkStart w:id="484" w:name="Tc_3k62g69r1kOsiktorGkI4A_29_0"/>
      <w:bookmarkStart w:id="485" w:name="Tc_cfkqdy3NXk6-OfjATEkShw_28_17"/>
      <w:bookmarkStart w:id="486" w:name="Tc_w09-bZoiWUaU-IywvGDUPQ_28_14"/>
      <w:bookmarkStart w:id="487" w:name="Tc_NLuZUem3Fkej0Ii0tb17Hw_28_11"/>
      <w:bookmarkStart w:id="488" w:name="Tc_DDfIX80I_0aziKa8eG5tDQ_28_8"/>
      <w:bookmarkStart w:id="489" w:name="Tc_9livpY5n_kOy9seNcjKcdg_28_5"/>
      <w:bookmarkStart w:id="490" w:name="Tc_UOaO5TuJSUipmQ18Is-w5w_28_2"/>
      <w:bookmarkStart w:id="491" w:name="Tc_u2rCjUwI5kG-WdHASXrIGw_28_0"/>
      <w:bookmarkStart w:id="492" w:name="Tc_o-XlupHVC0OzilNDXuH5SA_27_20"/>
      <w:bookmarkStart w:id="493" w:name="Tc_VGg5r4CTeUq5re8LrsYAQg_27_14"/>
      <w:bookmarkStart w:id="494" w:name="Tc_PGGl3wMet02lDm9IHlcJRA_27_11"/>
      <w:bookmarkStart w:id="495" w:name="Tc_A_raieOlxka505bnv0TYJQ_27_8"/>
      <w:bookmarkStart w:id="496" w:name="Tc_gijEMzhpIEC2WClHZGjBjg_27_5"/>
      <w:bookmarkStart w:id="497" w:name="Tc_QhG9HFMkmU6dSbbugU-e9Q_27_2"/>
      <w:bookmarkStart w:id="498" w:name="Tc_LBQWcRHNZ0ie0ivW2Hs0hQ_27_0"/>
      <w:bookmarkStart w:id="499" w:name="Tc_cc1S5DhyNUSo_kw4-FMEtw_26_20"/>
      <w:bookmarkStart w:id="500" w:name="Tc_2BphWnJDGEqlQMQJ-mALBw_26_14"/>
      <w:bookmarkStart w:id="501" w:name="Tc_SDEW2xPy6UmImijE-Jp62g_26_11"/>
      <w:bookmarkStart w:id="502" w:name="Tc_1AsOomtcAkqvRFGLSeI8rQ_26_8"/>
      <w:bookmarkStart w:id="503" w:name="Tc_LDB8hafisE-wqeykJpr69g_26_5"/>
      <w:bookmarkStart w:id="504" w:name="Tc_ihwXvGXypEaP-Af353BGXQ_26_2"/>
      <w:bookmarkStart w:id="505" w:name="Tc_t9BffMdqO0WFOjnnSY-eMg_26_0"/>
      <w:bookmarkStart w:id="506" w:name="Tc_SPJ9v-7KK0y_Ndj6r-jE6A_25_20"/>
      <w:bookmarkStart w:id="507" w:name="Tc_gKalIywQHUar9Hye5564Ig_25_17"/>
      <w:bookmarkStart w:id="508" w:name="Tc_WMw1GshYFUK8Ja2yTVFiNQ_25_11"/>
      <w:bookmarkStart w:id="509" w:name="Tc_9F32TP5ftUq3XLuIewOinQ_25_8"/>
      <w:bookmarkStart w:id="510" w:name="Tc_arVl4zQCGEGZTfqke0jBfQ_25_5"/>
      <w:bookmarkStart w:id="511" w:name="Tc_fHasyYocSk-K--MndF2DEA_25_2"/>
      <w:bookmarkStart w:id="512" w:name="Tc_IF0vZhYQ5UWJobpfNjog3w_25_0"/>
      <w:bookmarkStart w:id="513" w:name="Tc_zu-o_L_BVk6sbmDGieI8vQ_24_20"/>
      <w:bookmarkStart w:id="514" w:name="Tc_Zn8vglfx3U-3kvAVokgU5Q_24_17"/>
      <w:bookmarkStart w:id="515" w:name="Tc_ch_QP3gEA0WA7kxrK6GBYg_24_11"/>
      <w:bookmarkStart w:id="516" w:name="Tc_Oy6XG2ZNw0S9dtJCt7ky9Q_24_8"/>
      <w:bookmarkStart w:id="517" w:name="Tc__JJNc4CgkUurW-Eby3xNnQ_24_5"/>
      <w:bookmarkStart w:id="518" w:name="Tc_fnxZu3AuqkO8-X75tDJa1w_24_2"/>
      <w:bookmarkStart w:id="519" w:name="Tc_HEsWZkDAHUiqmyncjFKxeg_24_0"/>
      <w:bookmarkStart w:id="520" w:name="Tc_-wyA5t0MY0ePgE-2P60e9Q_23_20"/>
      <w:bookmarkStart w:id="521" w:name="Tc_-ppP0mD2nUOJqqQ9JcKJXQ_23_17"/>
      <w:bookmarkStart w:id="522" w:name="Tc_7CSqwjANHEmwWx6kEhSuAw_23_5"/>
      <w:bookmarkStart w:id="523" w:name="Tc_GU-5rC3BW0SBynKCwfwT8A_23_2"/>
      <w:bookmarkStart w:id="524" w:name="Tc_IN3GtiOHf0ujO30T4HkEiQ_23_0"/>
      <w:bookmarkStart w:id="525" w:name="Tc_DE5QSupXj0qboUDmCwBwWg_22_23"/>
      <w:bookmarkStart w:id="526" w:name="Tc_vBMyTUzzhUyBSnYoZvHnIQ_22_20"/>
      <w:bookmarkStart w:id="527" w:name="Tc_wsbdz9hn-0e1EbTc2BS0Jw_22_17"/>
      <w:bookmarkStart w:id="528" w:name="Tc_dEQgpu1vZkGTdMRVb59h0Q_22_14"/>
      <w:bookmarkStart w:id="529" w:name="Tc_u5P3voSOX0i-xvMPvM1v-g_22_11"/>
      <w:bookmarkStart w:id="530" w:name="Tc_X7yg8f30Ak-GVhMFHI8scQ_22_5"/>
      <w:bookmarkStart w:id="531" w:name="Tc_-hpsPJEZREWQCy8DRZOFkQ_22_2"/>
      <w:bookmarkStart w:id="532" w:name="Tc_vLqNhTfhl0Ocm-EARDGvtQ_22_0"/>
      <w:bookmarkStart w:id="533" w:name="Tc_87zIWRhOe0WaLQOlW2Jl_A_21_20"/>
      <w:bookmarkStart w:id="534" w:name="Tc_Ck4v7SYNYkmysIZ29Wzr2Q_21_17"/>
      <w:bookmarkStart w:id="535" w:name="Tc_mJLbqyk12kaCIiLWLxEnwg_21_11"/>
      <w:bookmarkStart w:id="536" w:name="Tc_4eHmPE4pZ0mgA_Q8jsqQkg_21_5"/>
      <w:bookmarkStart w:id="537" w:name="Tc_e5jlqUF0WE6-qkXTFYVIgQ_21_2"/>
      <w:bookmarkStart w:id="538" w:name="Tc_g04dwc9dMkypgGx9PPdpcA_21_0"/>
      <w:bookmarkStart w:id="539" w:name="Tc_PoKGF-G2A0SMv-WdB6tYsQ_20_20"/>
      <w:bookmarkStart w:id="540" w:name="Tc_v5QTyWtyGU6JCknwxxGuew_20_17"/>
      <w:bookmarkStart w:id="541" w:name="Tc_GSyOU4C_TUWXSymL-g5Lyg_20_11"/>
      <w:bookmarkStart w:id="542" w:name="Tc_Y8dqx9_FIEma5jL8ws39Ag_20_5"/>
      <w:bookmarkStart w:id="543" w:name="Tc_F2LTql5k3ECWlBCneRlsyQ_20_2"/>
      <w:bookmarkStart w:id="544" w:name="Tc_6jphtV3tZEGo_ew1OF1AuA_20_0"/>
      <w:bookmarkStart w:id="545" w:name="Tc_6ryu-GyKcUqKUODrkKwViQ_19_5"/>
      <w:bookmarkStart w:id="546" w:name="Tc_x5ZG3HTu8UKOD0NQjEv_jQ_19_2"/>
      <w:bookmarkStart w:id="547" w:name="Tc_VfJZI1v00UyMhConqbwHrQ_19_0"/>
      <w:bookmarkStart w:id="548" w:name="Tc_ItZvBB-G5kefqXaf1N1OQw_18_17"/>
      <w:bookmarkStart w:id="549" w:name="Tc_jWUurffPH0aYsRC-xeyQIw_18_14"/>
      <w:bookmarkStart w:id="550" w:name="Tc_Cdkw9X3a7Eiznv9qubwgHQ_18_11"/>
      <w:bookmarkStart w:id="551" w:name="Tc_FM1HjBjBoEKM0kgjdZuRog_18_8"/>
      <w:bookmarkStart w:id="552" w:name="Tc_sqxCSAxo5karIQX7Qu-mgQ_18_5"/>
      <w:bookmarkStart w:id="553" w:name="Tc_aWsQ3HENmE6xm_Z1NKTWeg_18_2"/>
      <w:bookmarkStart w:id="554" w:name="Tc_izdHEbpU_060R1wVPlt1mw_18_0"/>
      <w:bookmarkStart w:id="555" w:name="Tc_mwrui8SKNE6V3YiJBAHcZw_17_20"/>
      <w:bookmarkStart w:id="556" w:name="Tc_gFzpuTX2WECJEIW8sTmnUw_17_14"/>
      <w:bookmarkStart w:id="557" w:name="Tc_m2XKFQ5_GkO__K3ozbVaVA_17_11"/>
      <w:bookmarkStart w:id="558" w:name="Tc_9OxSO_md4kChhfH8GTsK-w_17_8"/>
      <w:bookmarkStart w:id="559" w:name="Tc__mG7iZL79kK1GnDKG7Q57Q_17_5"/>
      <w:bookmarkStart w:id="560" w:name="Tc_Zp4Xjf5_x0CsOaW35SV0sQ_17_2"/>
      <w:bookmarkStart w:id="561" w:name="Tc_MYpUD1uOLkOwbvLcf1SRkw_17_0"/>
      <w:bookmarkStart w:id="562" w:name="Tc_fYsglHAQO0WYqT2xnWf1-g_16_20"/>
      <w:bookmarkStart w:id="563" w:name="Tc_B_CdDUqzU0SybvQmJ0rTrQ_16_14"/>
      <w:bookmarkStart w:id="564" w:name="Tc_1s-R1-JB1EuKD3LZKxv-xQ_16_11"/>
      <w:bookmarkStart w:id="565" w:name="Tc_kLcDXlFNpUK36T4pQUClTg_16_8"/>
      <w:bookmarkStart w:id="566" w:name="Tc_iuVs4h-Z7kmCQQ0SESMT-Q_16_5"/>
      <w:bookmarkStart w:id="567" w:name="Tc_7WI-dw3kpUKPr-UdR6IrcA_16_2"/>
      <w:bookmarkStart w:id="568" w:name="Tc_0J2ItVjWR0CA6jcz5UIVwg_16_0"/>
      <w:bookmarkStart w:id="569" w:name="Tc_5Q4b7YinskOjRmiL1L6-mw_15_20"/>
      <w:bookmarkStart w:id="570" w:name="Tc_jziokRUO5Uuyt3T5NMKQYg_15_17"/>
      <w:bookmarkStart w:id="571" w:name="Tc__4OATtpG7kqsiA2OmhMX4w_15_11"/>
      <w:bookmarkStart w:id="572" w:name="Tc_B2E1evlwSk2zB15yhwds3g_15_8"/>
      <w:bookmarkStart w:id="573" w:name="Tc_BehEoroTHUG6Fs-WqwdrJw_15_5"/>
      <w:bookmarkStart w:id="574" w:name="Tc_hNvUNGH0GEyH7ASwEHxIJQ_15_2"/>
      <w:bookmarkStart w:id="575" w:name="Tc_qzbgBJyYkU2YtcW0co29mg_15_0"/>
      <w:bookmarkStart w:id="576" w:name="Tc_9JoLgWXLEUCuKi8AP2BPlg_14_23"/>
      <w:bookmarkStart w:id="577" w:name="Tc_nnG9BurleU-kgubEWD1UIw_14_20"/>
      <w:bookmarkStart w:id="578" w:name="Tc_hS2ZQOagBEy5cjPmc-b42g_14_17"/>
      <w:bookmarkStart w:id="579" w:name="Tc_J9i4GF2LNEOMKXJDWzqs-w_14_14"/>
      <w:bookmarkStart w:id="580" w:name="Tc_U7a9N-nMh0yAee9glQ1IMQ_14_11"/>
      <w:bookmarkStart w:id="581" w:name="Tc_vDjZja4o4kmn8C1_2APmxg_14_5"/>
      <w:bookmarkStart w:id="582" w:name="Tc_doIild8jY0-DhU79tUPlNQ_14_2"/>
      <w:bookmarkStart w:id="583" w:name="Tc_i5WW_bm3l0Kyk21c6PJcCA_14_0"/>
      <w:bookmarkStart w:id="584" w:name="Tc_x24Z4iPk9kGnctdJdbm83g_13_20"/>
      <w:bookmarkStart w:id="585" w:name="Tc_xn359VjPVUKoeUlmo2c2hQ_13_17"/>
      <w:bookmarkStart w:id="586" w:name="Tc_mTnvki5QBkC5oSwx8hMUPw_13_11"/>
      <w:bookmarkStart w:id="587" w:name="Tc_nEA-PiNiqEK-ee4QnuRqWA_13_8"/>
      <w:bookmarkStart w:id="588" w:name="Tc_rYUkuZ2wEk2qvYMj5gYUAQ_13_5"/>
      <w:bookmarkStart w:id="589" w:name="Tc_bgx_FuMEDEWwKvRmMhyCZg_13_2"/>
      <w:bookmarkStart w:id="590" w:name="Tc_vW_yJdIHOkSsq4BzPrGVUQ_13_0"/>
      <w:bookmarkStart w:id="591" w:name="Tc_XtZ8LDY0mEWfe81YH6SdWw_12_20"/>
      <w:bookmarkStart w:id="592" w:name="Tc_GYOInZ-lqE2AA9DN2EooZg_12_17"/>
      <w:bookmarkStart w:id="593" w:name="Tc_DBZSiIM6rkOF2L8V12g_hg_12_11"/>
      <w:bookmarkStart w:id="594" w:name="Tc_IBgHEW0pX0KgmESSQ0N3IQ_12_8"/>
      <w:bookmarkStart w:id="595" w:name="Tc_0X9bkXedZ0-atMQUXm5SFw_12_5"/>
      <w:bookmarkStart w:id="596" w:name="Tc_8Ky83YV6iUq_8VchJhTEWg_12_2"/>
      <w:bookmarkStart w:id="597" w:name="Tc_sArGdD4X7EudnypS6jO60w_12_0"/>
      <w:bookmarkStart w:id="598" w:name="Tc_L6MAURNU5Em_QKC5VEYUDw_11_20"/>
      <w:bookmarkStart w:id="599" w:name="Tc_5LuhvEmB-0SXbOOanqvGTw_11_17"/>
      <w:bookmarkStart w:id="600" w:name="Tc_KI-65GInVEOs5qL0V2JqUw_11_11"/>
      <w:bookmarkStart w:id="601" w:name="Tc_M83B_c9JEk-HMfeuQhgL8g_11_8"/>
      <w:bookmarkStart w:id="602" w:name="Tc_wEWpmEM-fkyLT1OtT_Ka2g_11_5"/>
      <w:bookmarkStart w:id="603" w:name="Tc_PLOZNspw1U61dxtbLDGMfg_11_2"/>
      <w:bookmarkStart w:id="604" w:name="Tc__NZWdjlRkUi3g4As_xjXUQ_11_0"/>
      <w:bookmarkStart w:id="605" w:name="Tc_iI_CQGomCU-9bV_CHv2rWg_10_23"/>
      <w:bookmarkStart w:id="606" w:name="Tc_i1pR-GuUH0itGa7EGbFUHg_10_20"/>
      <w:bookmarkStart w:id="607" w:name="Tc_g6sDVRgPc0eHqxJifpxkzA_10_17"/>
      <w:bookmarkStart w:id="608" w:name="Tc_t7YkuRYj0UOW1MS_YJKiFg_10_5"/>
      <w:bookmarkStart w:id="609" w:name="Tc_BT_B7W07AUCjTxnR1x6VPA_10_2"/>
      <w:bookmarkStart w:id="610" w:name="Tc_7f9CyNbEHkadG35LyGBohA_10_0"/>
      <w:bookmarkStart w:id="611" w:name="Tc_Zyb6S_jgLUqJQTq76UrEIA_9_20"/>
      <w:bookmarkStart w:id="612" w:name="Tc_GqQAbFhIhUquxwVtBJCK4A_9_17"/>
      <w:bookmarkStart w:id="613" w:name="Tc_HnTgzBFmz0GbdyK15zDxdw_9_5"/>
      <w:bookmarkStart w:id="614" w:name="Tc_ll34zpGeFUeA2QAifIHPXA_9_2"/>
      <w:bookmarkStart w:id="615" w:name="Tc_QCYdtM-HoEimK8XcauvF5A_9_0"/>
      <w:bookmarkStart w:id="616" w:name="Tc_1XcnhO9GnkKqjtwhFw7D5w_8_20"/>
      <w:bookmarkStart w:id="617" w:name="Tc_x08bHydBgEulr4NZs57oMg_8_17"/>
      <w:bookmarkStart w:id="618" w:name="Tc_o6_FZJle302OUxKPuzQKBg_8_11"/>
      <w:bookmarkStart w:id="619" w:name="Tc_gNGmX4kZrEauDQDFs9K5tg_8_5"/>
      <w:bookmarkStart w:id="620" w:name="Tc_QY5q1U8NFkmQ2OzzpoIFuQ_8_2"/>
      <w:bookmarkStart w:id="621" w:name="Tc_xb1w8D2fGU6eAEOU4F6UOg_8_0"/>
      <w:bookmarkStart w:id="622" w:name="Tc_iRt8IEmwJ0u-s840Rf8Jag_7_20"/>
      <w:bookmarkStart w:id="623" w:name="Tc_gRtObpInB0KyfLRVc8TbNA_7_17"/>
      <w:bookmarkStart w:id="624" w:name="Tc_E6AZXrFm3U6mWAxs67WJPQ_7_11"/>
      <w:bookmarkStart w:id="625" w:name="Tc_jWApVB8JVU-TalMltRhLxQ_7_5"/>
      <w:bookmarkStart w:id="626" w:name="Tc_yNMQT4mZOUOHBcs8DeVIcA_7_2"/>
      <w:bookmarkStart w:id="627" w:name="Tc_XqVuJFWK_0ywVCuIJlXLvQ_7_0"/>
      <w:bookmarkStart w:id="628" w:name="Tc_9vXFAgcRBk282GpVre9MCQ_6_20"/>
      <w:bookmarkStart w:id="629" w:name="Tc_2JdvCLzFBUaLDbIUD1AvFw_6_17"/>
      <w:bookmarkStart w:id="630" w:name="Tc_lAxUZDdnYkWayZ-6aKzw1Q_6_0"/>
      <w:bookmarkStart w:id="631" w:name="Tc_5qrP64yBzkerK-55DwSdHA_5_22"/>
      <w:bookmarkStart w:id="632" w:name="Tc_6Fvg8pICnECtbLuge9TtTw_5_19"/>
      <w:bookmarkStart w:id="633" w:name="Tc_9eHNl0Mu6UW87lpIJfoq-w_5_16"/>
      <w:bookmarkStart w:id="634" w:name="Tc_NexRuAjUCEiDP_3c0TH37Q_5_13"/>
      <w:bookmarkStart w:id="635" w:name="Tc_f5GeLPvj0Uu8LOVexVFiLg_5_10"/>
      <w:bookmarkStart w:id="636" w:name="Tc_eUTEsYBZAUe7ZJqsQ1kUOQ_5_4"/>
      <w:bookmarkStart w:id="637" w:name="Tc_4LpQSeBOOUysP5dI9jzdtA_5_0"/>
      <w:bookmarkStart w:id="638" w:name="Tc_GfutLqSfnE-xFKXadlslZQ_4_22"/>
      <w:bookmarkStart w:id="639" w:name="Tc_7SjmYXpqekCZksBqIQzKAw_4_19"/>
      <w:bookmarkStart w:id="640" w:name="Tc_XY3AfAktAU2Pyt3lwYYuKw_4_16"/>
      <w:bookmarkStart w:id="641" w:name="Tc_PDvIOBKH7UWLiP5_FKtIGg_4_13"/>
      <w:bookmarkStart w:id="642" w:name="Tc_vuihqgQj9Uizqq9IEjrmVA_4_10"/>
      <w:bookmarkStart w:id="643" w:name="Tc_Hn6yoJ8Nj0ax2-OgmAoE9Q_4_8"/>
      <w:bookmarkStart w:id="644" w:name="Tc_iCnRZzNk8USERO-nBt6y4A_4_4"/>
      <w:bookmarkStart w:id="645" w:name="Tc_Zm7tvxhJy0G6ENt5PflbMQ_4_2"/>
      <w:bookmarkStart w:id="646" w:name="Tc_gVnWI4EsPUSc2Z4XDaMhPA_3_22"/>
      <w:bookmarkStart w:id="647" w:name="Tc_GyEe6AtwREG6XpJICKuj0Q_3_19"/>
      <w:bookmarkStart w:id="648" w:name="Tc_61O6jM5ByUSd9i1GHcAqCw_3_16"/>
      <w:bookmarkStart w:id="649" w:name="Tc_ctwHrpxLokuSPIyYahoGfA_3_13"/>
      <w:bookmarkStart w:id="650" w:name="Tc_emQO71IUnUqV7jwQy5zikQ_3_8"/>
      <w:bookmarkStart w:id="651" w:name="Tc_VmXgc45MUEiyFz7-zIAvLA_3_2"/>
      <w:bookmarkStart w:id="652" w:name="Tc_ZHQcKBmsPUKwXhkKchPFlQ_2_22"/>
      <w:bookmarkStart w:id="653" w:name="Tc_-tI3q5eYOkKRZ-TVFO5z0Q_2_16"/>
      <w:bookmarkStart w:id="654" w:name="Tc_XYEwpZ7oiEaLr-QutiBkEw_2_13"/>
      <w:bookmarkStart w:id="655" w:name="Tc_LNf0uBuAFUaTSkct-LaDHA_2_2"/>
      <w:bookmarkStart w:id="656" w:name="Tc_zORheBCckUS4EQ7McIT6yQ_1_22"/>
      <w:bookmarkStart w:id="657" w:name="Tc_JFcOIpGL0EOkONIxVgzAOQ_1_16"/>
      <w:bookmarkStart w:id="658" w:name="_00abcd5c_5bf7_43c0_b6a2_8b1896169573"/>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tbl>
      <w:tblPr>
        <w:tblW w:w="10205" w:type="dxa"/>
        <w:jc w:val="left"/>
        <w:tblInd w:w="0" w:type="dxa"/>
        <w:tblLayout w:type="fixed"/>
        <w:tblCellMar>
          <w:top w:w="0" w:type="dxa"/>
          <w:left w:w="0" w:type="dxa"/>
          <w:bottom w:w="0" w:type="dxa"/>
          <w:right w:w="0" w:type="dxa"/>
        </w:tblCellMar>
      </w:tblPr>
      <w:tblGrid>
        <w:gridCol w:w="1464"/>
        <w:gridCol w:w="326"/>
        <w:gridCol w:w="558"/>
        <w:gridCol w:w="326"/>
        <w:gridCol w:w="181"/>
        <w:gridCol w:w="558"/>
        <w:gridCol w:w="206"/>
        <w:gridCol w:w="206"/>
        <w:gridCol w:w="586"/>
        <w:gridCol w:w="326"/>
        <w:gridCol w:w="196"/>
        <w:gridCol w:w="375"/>
        <w:gridCol w:w="326"/>
        <w:gridCol w:w="181"/>
        <w:gridCol w:w="586"/>
        <w:gridCol w:w="326"/>
        <w:gridCol w:w="331"/>
        <w:gridCol w:w="690"/>
        <w:gridCol w:w="326"/>
        <w:gridCol w:w="194"/>
        <w:gridCol w:w="677"/>
        <w:gridCol w:w="326"/>
        <w:gridCol w:w="195"/>
        <w:gridCol w:w="739"/>
      </w:tblGrid>
      <w:tr>
        <w:trPr/>
        <w:tc>
          <w:tcPr>
            <w:tcW w:w="1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29640" cy="175260"/>
                      <wp:effectExtent l="0" t="0" r="0" b="0"/>
                      <wp:wrapNone/>
                      <wp:docPr id="46" name="Frame43"/>
                      <a:graphic xmlns:a="http://schemas.openxmlformats.org/drawingml/2006/main">
                        <a:graphicData uri="http://schemas.microsoft.com/office/word/2010/wordprocessingShape">
                          <wps:wsp>
                            <wps:cNvSpPr txBox="1"/>
                            <wps:spPr>
                              <a:xfrm>
                                <a:off x="0" y="0"/>
                                <a:ext cx="929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54330" cy="175260"/>
                      <wp:effectExtent l="0" t="0" r="0" b="0"/>
                      <wp:wrapNone/>
                      <wp:docPr id="48" name="Frame45"/>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14935" cy="175260"/>
                      <wp:effectExtent l="0" t="0" r="0" b="0"/>
                      <wp:wrapNone/>
                      <wp:docPr id="50" name="Frame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54330" cy="175260"/>
                      <wp:effectExtent l="0" t="0" r="0" b="0"/>
                      <wp:wrapNone/>
                      <wp:docPr id="51" name="Frame48"/>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0810" cy="175260"/>
                      <wp:effectExtent l="0" t="0" r="0" b="0"/>
                      <wp:wrapNone/>
                      <wp:docPr id="52" name="Frame4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0810" cy="175260"/>
                      <wp:effectExtent l="0" t="0" r="0" b="0"/>
                      <wp:wrapNone/>
                      <wp:docPr id="53" name="Frame5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72110" cy="175260"/>
                      <wp:effectExtent l="0" t="0" r="0" b="0"/>
                      <wp:wrapNone/>
                      <wp:docPr id="54" name="Frame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38125" cy="175260"/>
                      <wp:effectExtent l="0" t="0" r="0" b="0"/>
                      <wp:wrapNone/>
                      <wp:docPr id="57" name="Frame5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14935" cy="175260"/>
                      <wp:effectExtent l="0" t="0" r="0" b="0"/>
                      <wp:wrapNone/>
                      <wp:docPr id="59" name="Frame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72110" cy="175260"/>
                      <wp:effectExtent l="0" t="0" r="0" b="0"/>
                      <wp:wrapNone/>
                      <wp:docPr id="60" name="Frame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0185" cy="175260"/>
                      <wp:effectExtent l="0" t="0" r="0" b="0"/>
                      <wp:wrapNone/>
                      <wp:docPr id="62" name="Frame5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38150" cy="175260"/>
                      <wp:effectExtent l="0" t="0" r="0" b="0"/>
                      <wp:wrapNone/>
                      <wp:docPr id="63" name="Frame6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3190" cy="175260"/>
                      <wp:effectExtent l="0" t="0" r="0" b="0"/>
                      <wp:wrapNone/>
                      <wp:docPr id="65" name="Frame62"/>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29895" cy="175260"/>
                      <wp:effectExtent l="0" t="0" r="0" b="0"/>
                      <wp:wrapNone/>
                      <wp:docPr id="66" name="Frame63"/>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3825" cy="175260"/>
                      <wp:effectExtent l="0" t="0" r="0" b="0"/>
                      <wp:wrapNone/>
                      <wp:docPr id="68" name="Frame65"/>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69265" cy="175260"/>
                      <wp:effectExtent l="0" t="0" r="0" b="0"/>
                      <wp:wrapNone/>
                      <wp:docPr id="69" name="Frame66"/>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4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23"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Redeemable Convertible</w:t>
            </w:r>
          </w:p>
        </w:tc>
        <w:tc>
          <w:tcPr>
            <w:tcW w:w="20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4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2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20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14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left"/>
              <w:rPr/>
            </w:pPr>
            <w:r>
              <w:rPr/>
              <w:t>​</w:t>
            </w:r>
          </w:p>
        </w:tc>
        <w:tc>
          <w:tcPr>
            <w:tcW w:w="93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4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206" w:type="dxa"/>
            <w:tcBorders/>
            <w:vAlign w:val="center"/>
          </w:tcPr>
          <w:p>
            <w:pPr>
              <w:pStyle w:val="TableContents"/>
              <w:bidi w:val="0"/>
              <w:spacing w:before="0" w:after="1"/>
              <w:ind w:left="0" w:right="0" w:hanging="0"/>
              <w:jc w:val="center"/>
              <w:rPr/>
            </w:pPr>
            <w:r>
              <w:rPr/>
              <w:t>  </w:t>
            </w:r>
          </w:p>
        </w:tc>
        <w:tc>
          <w:tcPr>
            <w:tcW w:w="20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Gain (Loss)</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at December 31, 2021</w:t>
            </w:r>
          </w:p>
        </w:tc>
        <w:tc>
          <w:tcPr>
            <w:tcW w:w="326" w:type="dxa"/>
            <w:tcBorders/>
            <w:shd w:fill="CCEEFF" w:val="clear"/>
            <w:vAlign w:val="center"/>
          </w:tcPr>
          <w:p>
            <w:pPr>
              <w:pStyle w:val="TableContents"/>
              <w:bidi w:val="0"/>
              <w:spacing w:before="0" w:after="1"/>
              <w:ind w:left="0" w:right="0" w:hanging="0"/>
              <w:jc w:val="center"/>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77,697</w:t>
            </w:r>
          </w:p>
        </w:tc>
        <w:tc>
          <w:tcPr>
            <w:tcW w:w="326" w:type="dxa"/>
            <w:tcBorders/>
            <w:shd w:fill="CCEEFF" w:val="clear"/>
            <w:vAlign w:val="center"/>
          </w:tcPr>
          <w:p>
            <w:pPr>
              <w:pStyle w:val="TableContents"/>
              <w:bidi w:val="0"/>
              <w:spacing w:before="0" w:after="1"/>
              <w:ind w:left="0" w:right="0" w:hanging="0"/>
              <w:jc w:val="center"/>
              <w:rPr/>
            </w:pPr>
            <w:r>
              <w:rPr/>
              <w:t> </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81,253</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center"/>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18,221</w:t>
            </w:r>
          </w:p>
        </w:tc>
        <w:tc>
          <w:tcPr>
            <w:tcW w:w="326" w:type="dxa"/>
            <w:tcBorders/>
            <w:shd w:fill="CCEEFF" w:val="clear"/>
            <w:vAlign w:val="center"/>
          </w:tcPr>
          <w:p>
            <w:pPr>
              <w:pStyle w:val="TableContents"/>
              <w:bidi w:val="0"/>
              <w:spacing w:before="0" w:after="1"/>
              <w:ind w:left="0" w:right="0" w:hanging="0"/>
              <w:jc w:val="center"/>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center"/>
              <w:rPr/>
            </w:pPr>
            <w:r>
              <w:rPr/>
              <w:t> </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135,549</w:t>
            </w:r>
          </w:p>
        </w:tc>
        <w:tc>
          <w:tcPr>
            <w:tcW w:w="326" w:type="dxa"/>
            <w:tcBorders/>
            <w:shd w:fill="CCEEFF" w:val="clear"/>
            <w:vAlign w:val="center"/>
          </w:tcPr>
          <w:p>
            <w:pPr>
              <w:pStyle w:val="TableContents"/>
              <w:bidi w:val="0"/>
              <w:spacing w:before="0" w:after="1"/>
              <w:ind w:left="0" w:right="0" w:hanging="0"/>
              <w:jc w:val="center"/>
              <w:rPr/>
            </w:pPr>
            <w:r>
              <w:rPr/>
              <w:t> </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shd w:fill="CCEEFF" w:val="clear"/>
            <w:vAlign w:val="center"/>
          </w:tcPr>
          <w:p>
            <w:pPr>
              <w:pStyle w:val="TableContents"/>
              <w:bidi w:val="0"/>
              <w:spacing w:before="0" w:after="1"/>
              <w:ind w:left="0" w:right="0" w:hanging="0"/>
              <w:jc w:val="center"/>
              <w:rPr/>
            </w:pPr>
            <w:r>
              <w:rPr/>
              <w:t> </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(207,131)</w:t>
            </w:r>
          </w:p>
        </w:tc>
        <w:tc>
          <w:tcPr>
            <w:tcW w:w="326" w:type="dxa"/>
            <w:tcBorders/>
            <w:shd w:fill="CCEEFF" w:val="clear"/>
            <w:vAlign w:val="center"/>
          </w:tcPr>
          <w:p>
            <w:pPr>
              <w:pStyle w:val="TableContents"/>
              <w:bidi w:val="0"/>
              <w:spacing w:before="0" w:after="1"/>
              <w:ind w:left="0" w:right="0" w:hanging="0"/>
              <w:jc w:val="center"/>
              <w:rPr/>
            </w:pPr>
            <w:r>
              <w:rPr/>
              <w:t> </w:t>
            </w:r>
          </w:p>
        </w:tc>
        <w:tc>
          <w:tcPr>
            <w:tcW w:w="19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(71,528)</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conversion of legacy Series C and Series C</w:t>
              <w:noBreakHyphen/>
              <w:t>1 preferred stock in connection with the Business Combination (Note 3)</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(77,697)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(81,253)</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57,380</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81,517</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81,523</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exercise of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2,768</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1,020</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1,020</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exercise of common stock warrants</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4,819</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5,048</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5,048</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through Business Combination and PIPE financing, net of transaction costs and derivative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34,851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159,535</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159,538</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release of RSUs</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7,047</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loan and security agreement warrants to equity</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6,370</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6,370</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Settlement of the first tranche of forward contract</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(3,305)</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(3,305)</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Capitalization of deferred costs to equity upon share issuance</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(1,520)</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(1,520)</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pursuant to the Common Stock Purchase Agreement - B. Riley</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44,812</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44,812</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Foreign currency translation gain</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unrealized gain (loss) on available-for-sale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(314)</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(314)</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1"/>
              <w:ind w:left="0" w:right="0" w:hanging="0"/>
              <w:jc w:val="left"/>
              <w:rPr/>
            </w:pPr>
            <w:r>
              <w:rPr/>
              <w:t> </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(71,521)</w:t>
            </w:r>
          </w:p>
        </w:tc>
        <w:tc>
          <w:tcPr>
            <w:tcW w:w="326" w:type="dxa"/>
            <w:tcBorders/>
            <w:vAlign w:val="center"/>
          </w:tcPr>
          <w:p>
            <w:pPr>
              <w:pStyle w:val="TableContents"/>
              <w:bidi w:val="0"/>
              <w:spacing w:before="0" w:after="1"/>
              <w:ind w:left="0" w:right="0" w:hanging="0"/>
              <w:jc w:val="left"/>
              <w:rPr/>
            </w:pPr>
            <w:r>
              <w:rPr/>
              <w:t> </w:t>
            </w:r>
          </w:p>
        </w:tc>
        <w:tc>
          <w:tcPr>
            <w:tcW w:w="1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(71,521)</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125,257</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429,025</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(278,652)</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150,224</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exercise of stock options</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4,046</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1,121</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1,121</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exercise of common stock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479</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release of RSUs</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3,863</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sale of common stock pursuant to the Common Stock Purchase Agreement - B. Riley</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13,421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20,542</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20,544</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Capitalization of deferred costs to equity upon share issuance</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12,409</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12,409</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Foreign currency translation gain</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5"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unrealized gain (loss) on available-for-sale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325</w:t>
            </w:r>
          </w:p>
        </w:tc>
        <w:tc>
          <w:tcPr>
            <w:tcW w:w="32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5"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325</w:t>
            </w:r>
          </w:p>
        </w:tc>
      </w:tr>
      <w:tr>
        <w:trPr/>
        <w:tc>
          <w:tcPr>
            <w:tcW w:w="146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1"/>
              <w:ind w:left="0" w:right="0" w:hanging="0"/>
              <w:jc w:val="left"/>
              <w:rPr/>
            </w:pPr>
            <w:r>
              <w:rPr/>
              <w:t> </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(75,107)</w:t>
            </w:r>
          </w:p>
        </w:tc>
        <w:tc>
          <w:tcPr>
            <w:tcW w:w="326" w:type="dxa"/>
            <w:tcBorders/>
            <w:vAlign w:val="center"/>
          </w:tcPr>
          <w:p>
            <w:pPr>
              <w:pStyle w:val="TableContents"/>
              <w:bidi w:val="0"/>
              <w:spacing w:before="0" w:after="1"/>
              <w:ind w:left="0" w:right="0" w:hanging="0"/>
              <w:jc w:val="left"/>
              <w:rPr/>
            </w:pPr>
            <w:r>
              <w:rPr/>
              <w:t> </w:t>
            </w:r>
          </w:p>
        </w:tc>
        <w:tc>
          <w:tcPr>
            <w:tcW w:w="1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(75,107)</w:t>
            </w:r>
          </w:p>
        </w:tc>
      </w:tr>
      <w:tr>
        <w:trPr/>
        <w:tc>
          <w:tcPr>
            <w:tcW w:w="146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147,066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463,089</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244</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(353,759)</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9"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sz w:val="14"/>
              </w:rPr>
            </w:pPr>
            <w:r>
              <w:rPr>
                <w:rFonts w:ascii="Times New Roman;Times;serif" w:hAnsi="Times New Roman;Times;serif"/>
                <w:sz w:val="14"/>
              </w:rPr>
              <w:t>109,588</w:t>
            </w:r>
          </w:p>
        </w:tc>
      </w:tr>
    </w:tbl>
    <w:p>
      <w:pPr>
        <w:pStyle w:val="Normal"/>
        <w:bidi w:val="0"/>
        <w:spacing w:before="0" w:after="0"/>
        <w:jc w:val="left"/>
        <w:rPr>
          <w:sz w:val="4"/>
          <w:szCs w:val="4"/>
        </w:rPr>
      </w:pPr>
      <w:r>
        <w:rPr>
          <w:sz w:val="4"/>
          <w:szCs w:val="4"/>
        </w:rPr>
      </w:r>
      <w:bookmarkStart w:id="659" w:name="_05f5a63a_a9ba_48c8_877f_ae0b4e352d1e"/>
      <w:bookmarkStart w:id="660" w:name="_05f5a63a_a9ba_48c8_877f_ae0b4e352d1e"/>
      <w:bookmarkEnd w:id="660"/>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Shares of legacy Redeemable Convertible Series C Preferred Stock, Redeemable Convertible Series C-1 Preferred Stock, legacy Class A Common Stock, and legacy Class B Common Stock have been retroactively restated to give effect to the Business Combination.</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 notes to consolidated</w:t>
      </w:r>
      <w:r>
        <w:rPr>
          <w:rFonts w:ascii="Times New Roman;Times;serif" w:hAnsi="Times New Roman;Times;serif"/>
          <w:sz w:val="20"/>
        </w:rPr>
        <w:t xml:space="preserve"> </w:t>
      </w:r>
      <w:r>
        <w:rPr>
          <w:rFonts w:ascii="Times New Roman;Times;serif" w:hAnsi="Times New Roman;Times;serif"/>
          <w:i/>
          <w:sz w:val="20"/>
        </w:rPr>
        <w:t>financial statements.</w:t>
      </w:r>
    </w:p>
    <w:p>
      <w:pPr>
        <w:pStyle w:val="TextBody"/>
        <w:bidi w:val="0"/>
        <w:spacing w:before="0" w:after="0"/>
        <w:ind w:left="0" w:right="0" w:hanging="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61" w:name="Cashflows"/>
      <w:bookmarkStart w:id="662" w:name="_aaeed9da_53a1_4b43_9d72_8cb662cb760e"/>
      <w:bookmarkEnd w:id="661"/>
      <w:bookmarkEnd w:id="662"/>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663" w:name="CASHFLOWS_679143"/>
      <w:bookmarkEnd w:id="663"/>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Normal"/>
        <w:bidi w:val="0"/>
        <w:spacing w:before="0" w:after="0"/>
        <w:jc w:val="left"/>
        <w:rPr>
          <w:sz w:val="4"/>
          <w:szCs w:val="4"/>
        </w:rPr>
      </w:pPr>
      <w:r>
        <w:rPr>
          <w:sz w:val="4"/>
          <w:szCs w:val="4"/>
        </w:rPr>
      </w:r>
      <w:bookmarkStart w:id="664" w:name="Tc_VItlFWZz7EKRbhhSRi6sJg_58_0"/>
      <w:bookmarkStart w:id="665" w:name="Tc_KAlaJJi6VEuSNAtJuCcpBA_57_0"/>
      <w:bookmarkStart w:id="666" w:name="Tc_05KhCcn1cECUr7HarJwsnA_56_0"/>
      <w:bookmarkStart w:id="667" w:name="Tc_9bBvfZ8zlEa5UsGmbE9EiQ_55_0"/>
      <w:bookmarkStart w:id="668" w:name="Tc_hRSXLKlIKUqX2hW6-NcSeA_54_0"/>
      <w:bookmarkStart w:id="669" w:name="Tc_Eq5RRvXAsE2HGr_uza64bQ_53_0"/>
      <w:bookmarkStart w:id="670" w:name="Tc_hIcsYw6tq06wt_qcA3OrZA_52_0"/>
      <w:bookmarkStart w:id="671" w:name="Tc_imONV1q60EucSihl8H9n9w_51_0"/>
      <w:bookmarkStart w:id="672" w:name="Tc_LCiSGejJhk2lzBWIfQ9qAw_50_0"/>
      <w:bookmarkStart w:id="673" w:name="Tc_yex_rOGhKUOytu7bdGCcvw_49_0"/>
      <w:bookmarkStart w:id="674" w:name="Tc_Brhl__I8oEW8DdG9T8cKPA_48_0"/>
      <w:bookmarkStart w:id="675" w:name="Tc_9de0pmNqDU65NIppBfWmNw_47_0"/>
      <w:bookmarkStart w:id="676" w:name="Tc_JyuJ9hukK0C-wxAvvDHIYg_46_5"/>
      <w:bookmarkStart w:id="677" w:name="Tc_dfD2zIusyUaqnJ7QBnA-YQ_46_2"/>
      <w:bookmarkStart w:id="678" w:name="Tc_Rk3Wsn8XSkOArJE3UVo8nw_46_0"/>
      <w:bookmarkStart w:id="679" w:name="Tc_orimlwVsTkGRjwiuqqgBGw_45_0"/>
      <w:bookmarkStart w:id="680" w:name="Tc_U6fazj9RGkezOs_LvY-Diw_44_5"/>
      <w:bookmarkStart w:id="681" w:name="Tc_oqvQ0VLszUevjIIKvA6qkw_44_2"/>
      <w:bookmarkStart w:id="682" w:name="Tc_fm2jyF56f06Eh5gnReUYsQ_44_0"/>
      <w:bookmarkStart w:id="683" w:name="Tc_Ia3KbXs8h0ioD-NhMr8JJw_43_0"/>
      <w:bookmarkStart w:id="684" w:name="Tc_CMzKY-m2VEG-84YuLcAh-w_42_0"/>
      <w:bookmarkStart w:id="685" w:name="Tc_WEWk00BDhky215m0jQ2zig_41_0"/>
      <w:bookmarkStart w:id="686" w:name="Tc_JR50DG-yzkmgshOSenrgnw_40_0"/>
      <w:bookmarkStart w:id="687" w:name="Tc_U7t1nZnXJEipoQc3Zrc6vw_39_0"/>
      <w:bookmarkStart w:id="688" w:name="Tc_O-ZwU4HeokClVrZkyFV7mQ_38_0"/>
      <w:bookmarkStart w:id="689" w:name="Tc_35lAU8QfSE-f7cJrXKGGPA_37_0"/>
      <w:bookmarkStart w:id="690" w:name="Tc_snQeMLSku0SZAHpXmPTwGQ_36_0"/>
      <w:bookmarkStart w:id="691" w:name="Tc_cQ31qWq3I0CvBNh68xuJaA_35_0"/>
      <w:bookmarkStart w:id="692" w:name="Tc_G8NdkkasWUWwCvezA71n8g_34_0"/>
      <w:bookmarkStart w:id="693" w:name="Tc_BtqfzUU2yk6oMH2UgUyQCg_33_0"/>
      <w:bookmarkStart w:id="694" w:name="Tc_Pcy4DSZs6kimdxDD7DEutA_32_0"/>
      <w:bookmarkStart w:id="695" w:name="Tc_vhW4vinpfU6bhTyiPwNgcw_31_0"/>
      <w:bookmarkStart w:id="696" w:name="Tc_oF7xu8QrN0uoAJVUEygtVA_30_0"/>
      <w:bookmarkStart w:id="697" w:name="Tc_RN-qC28h3UGVp8R4VOARdA_29_0"/>
      <w:bookmarkStart w:id="698" w:name="Tc_8GmHjvM2qkawkfYX1MDj9A_28_0"/>
      <w:bookmarkStart w:id="699" w:name="Tc_kU1mTXtUoUGjoOcb91zvIQ_27_0"/>
      <w:bookmarkStart w:id="700" w:name="Tc_QQLc02aH60ujGcg_Le493Q_26_0"/>
      <w:bookmarkStart w:id="701" w:name="Tc_uh8DfayZ2k678qJZnl76PQ_25_0"/>
      <w:bookmarkStart w:id="702" w:name="Tc_L4reIb3x_Uyohr1Cgbagsw_24_0"/>
      <w:bookmarkStart w:id="703" w:name="Tc_-K5wA8NpaEqCPG1L-85SOw_23_0"/>
      <w:bookmarkStart w:id="704" w:name="Tc_965soXYwXEizRc9Lnq4R0A_22_0"/>
      <w:bookmarkStart w:id="705" w:name="Tc_qowZekLnLEyQsj3SAMn-xw_21_0"/>
      <w:bookmarkStart w:id="706" w:name="Tc_qt0FPuNFKkiArhXfx3IASw_20_0"/>
      <w:bookmarkStart w:id="707" w:name="Tc_z6GLFhRIrkCCdjCYhB6ing_19_0"/>
      <w:bookmarkStart w:id="708" w:name="Tc_b13gc-lbDku711fpvmwzJg_18_0"/>
      <w:bookmarkStart w:id="709" w:name="Tc_scJVqo9I_ke1MTH1Zucsrg_17_0"/>
      <w:bookmarkStart w:id="710" w:name="Tc_aPOOUzwYl0OFkrSt6Exeeg_16_0"/>
      <w:bookmarkStart w:id="711" w:name="Tc_L5u6wdU_F0-uPmHnU-FScQ_15_0"/>
      <w:bookmarkStart w:id="712" w:name="Tc_ZKTbU-i7ykan6j-6musNeQ_14_0"/>
      <w:bookmarkStart w:id="713" w:name="Tc_FP8wYlHkB0O_a68hlpDcDA_13_0"/>
      <w:bookmarkStart w:id="714" w:name="Tc_TCwVS8VzPU2JMkIPrynQEA_12_0"/>
      <w:bookmarkStart w:id="715" w:name="Tc_DYaDVoz4o0CVJnC2YMN-Ng_11_0"/>
      <w:bookmarkStart w:id="716" w:name="Tc_wO16ZAldo0Sc9xgEQ9USFw_10_0"/>
      <w:bookmarkStart w:id="717" w:name="Tc_9STo3hETCUOB2CuJP6006A_9_0"/>
      <w:bookmarkStart w:id="718" w:name="Tc_ppGVBv2IYkGJ8RFdTJYyDQ_8_0"/>
      <w:bookmarkStart w:id="719" w:name="Tc_fpkwa4_oF0uauixiHSgbIQ_7_0"/>
      <w:bookmarkStart w:id="720" w:name="Tc_U_rrq2hcEE2Yfk6n_36-Rg_6_0"/>
      <w:bookmarkStart w:id="721" w:name="Tc_KlgbT1qhXUyoanjyTHowWg_5_5"/>
      <w:bookmarkStart w:id="722" w:name="Tc_uBJ0sVca_UOE43uTtJOjmw_5_2"/>
      <w:bookmarkStart w:id="723" w:name="Tc_tEAVkPtqYUCYdyCHuk_eSA_5_0"/>
      <w:bookmarkStart w:id="724" w:name="Tc_00zrdYFSSEOYOhPnxxpH7g_4_0"/>
      <w:bookmarkStart w:id="725" w:name="Tc_5AXiOCB9S02GhlDfw0jmAQ_3_5"/>
      <w:bookmarkStart w:id="726" w:name="Tc_Qyx6JoDVbEWlf0SuzflxGw_3_2"/>
      <w:bookmarkStart w:id="727" w:name="Tc_z7uYD3FQH0-cX17ClqG7WA_2_2"/>
      <w:bookmarkStart w:id="728" w:name="_afe39445_93a3_4dc9_8dd3_7d896bf4641f"/>
      <w:bookmarkStart w:id="729" w:name="Tc_VItlFWZz7EKRbhhSRi6sJg_58_0"/>
      <w:bookmarkStart w:id="730" w:name="Tc_KAlaJJi6VEuSNAtJuCcpBA_57_0"/>
      <w:bookmarkStart w:id="731" w:name="Tc_05KhCcn1cECUr7HarJwsnA_56_0"/>
      <w:bookmarkStart w:id="732" w:name="Tc_9bBvfZ8zlEa5UsGmbE9EiQ_55_0"/>
      <w:bookmarkStart w:id="733" w:name="Tc_hRSXLKlIKUqX2hW6-NcSeA_54_0"/>
      <w:bookmarkStart w:id="734" w:name="Tc_Eq5RRvXAsE2HGr_uza64bQ_53_0"/>
      <w:bookmarkStart w:id="735" w:name="Tc_hIcsYw6tq06wt_qcA3OrZA_52_0"/>
      <w:bookmarkStart w:id="736" w:name="Tc_imONV1q60EucSihl8H9n9w_51_0"/>
      <w:bookmarkStart w:id="737" w:name="Tc_LCiSGejJhk2lzBWIfQ9qAw_50_0"/>
      <w:bookmarkStart w:id="738" w:name="Tc_yex_rOGhKUOytu7bdGCcvw_49_0"/>
      <w:bookmarkStart w:id="739" w:name="Tc_Brhl__I8oEW8DdG9T8cKPA_48_0"/>
      <w:bookmarkStart w:id="740" w:name="Tc_9de0pmNqDU65NIppBfWmNw_47_0"/>
      <w:bookmarkStart w:id="741" w:name="Tc_JyuJ9hukK0C-wxAvvDHIYg_46_5"/>
      <w:bookmarkStart w:id="742" w:name="Tc_dfD2zIusyUaqnJ7QBnA-YQ_46_2"/>
      <w:bookmarkStart w:id="743" w:name="Tc_Rk3Wsn8XSkOArJE3UVo8nw_46_0"/>
      <w:bookmarkStart w:id="744" w:name="Tc_orimlwVsTkGRjwiuqqgBGw_45_0"/>
      <w:bookmarkStart w:id="745" w:name="Tc_U6fazj9RGkezOs_LvY-Diw_44_5"/>
      <w:bookmarkStart w:id="746" w:name="Tc_oqvQ0VLszUevjIIKvA6qkw_44_2"/>
      <w:bookmarkStart w:id="747" w:name="Tc_fm2jyF56f06Eh5gnReUYsQ_44_0"/>
      <w:bookmarkStart w:id="748" w:name="Tc_Ia3KbXs8h0ioD-NhMr8JJw_43_0"/>
      <w:bookmarkStart w:id="749" w:name="Tc_CMzKY-m2VEG-84YuLcAh-w_42_0"/>
      <w:bookmarkStart w:id="750" w:name="Tc_WEWk00BDhky215m0jQ2zig_41_0"/>
      <w:bookmarkStart w:id="751" w:name="Tc_JR50DG-yzkmgshOSenrgnw_40_0"/>
      <w:bookmarkStart w:id="752" w:name="Tc_U7t1nZnXJEipoQc3Zrc6vw_39_0"/>
      <w:bookmarkStart w:id="753" w:name="Tc_O-ZwU4HeokClVrZkyFV7mQ_38_0"/>
      <w:bookmarkStart w:id="754" w:name="Tc_35lAU8QfSE-f7cJrXKGGPA_37_0"/>
      <w:bookmarkStart w:id="755" w:name="Tc_snQeMLSku0SZAHpXmPTwGQ_36_0"/>
      <w:bookmarkStart w:id="756" w:name="Tc_cQ31qWq3I0CvBNh68xuJaA_35_0"/>
      <w:bookmarkStart w:id="757" w:name="Tc_G8NdkkasWUWwCvezA71n8g_34_0"/>
      <w:bookmarkStart w:id="758" w:name="Tc_BtqfzUU2yk6oMH2UgUyQCg_33_0"/>
      <w:bookmarkStart w:id="759" w:name="Tc_Pcy4DSZs6kimdxDD7DEutA_32_0"/>
      <w:bookmarkStart w:id="760" w:name="Tc_vhW4vinpfU6bhTyiPwNgcw_31_0"/>
      <w:bookmarkStart w:id="761" w:name="Tc_oF7xu8QrN0uoAJVUEygtVA_30_0"/>
      <w:bookmarkStart w:id="762" w:name="Tc_RN-qC28h3UGVp8R4VOARdA_29_0"/>
      <w:bookmarkStart w:id="763" w:name="Tc_8GmHjvM2qkawkfYX1MDj9A_28_0"/>
      <w:bookmarkStart w:id="764" w:name="Tc_kU1mTXtUoUGjoOcb91zvIQ_27_0"/>
      <w:bookmarkStart w:id="765" w:name="Tc_QQLc02aH60ujGcg_Le493Q_26_0"/>
      <w:bookmarkStart w:id="766" w:name="Tc_uh8DfayZ2k678qJZnl76PQ_25_0"/>
      <w:bookmarkStart w:id="767" w:name="Tc_L4reIb3x_Uyohr1Cgbagsw_24_0"/>
      <w:bookmarkStart w:id="768" w:name="Tc_-K5wA8NpaEqCPG1L-85SOw_23_0"/>
      <w:bookmarkStart w:id="769" w:name="Tc_965soXYwXEizRc9Lnq4R0A_22_0"/>
      <w:bookmarkStart w:id="770" w:name="Tc_qowZekLnLEyQsj3SAMn-xw_21_0"/>
      <w:bookmarkStart w:id="771" w:name="Tc_qt0FPuNFKkiArhXfx3IASw_20_0"/>
      <w:bookmarkStart w:id="772" w:name="Tc_z6GLFhRIrkCCdjCYhB6ing_19_0"/>
      <w:bookmarkStart w:id="773" w:name="Tc_b13gc-lbDku711fpvmwzJg_18_0"/>
      <w:bookmarkStart w:id="774" w:name="Tc_scJVqo9I_ke1MTH1Zucsrg_17_0"/>
      <w:bookmarkStart w:id="775" w:name="Tc_aPOOUzwYl0OFkrSt6Exeeg_16_0"/>
      <w:bookmarkStart w:id="776" w:name="Tc_L5u6wdU_F0-uPmHnU-FScQ_15_0"/>
      <w:bookmarkStart w:id="777" w:name="Tc_ZKTbU-i7ykan6j-6musNeQ_14_0"/>
      <w:bookmarkStart w:id="778" w:name="Tc_FP8wYlHkB0O_a68hlpDcDA_13_0"/>
      <w:bookmarkStart w:id="779" w:name="Tc_TCwVS8VzPU2JMkIPrynQEA_12_0"/>
      <w:bookmarkStart w:id="780" w:name="Tc_DYaDVoz4o0CVJnC2YMN-Ng_11_0"/>
      <w:bookmarkStart w:id="781" w:name="Tc_wO16ZAldo0Sc9xgEQ9USFw_10_0"/>
      <w:bookmarkStart w:id="782" w:name="Tc_9STo3hETCUOB2CuJP6006A_9_0"/>
      <w:bookmarkStart w:id="783" w:name="Tc_ppGVBv2IYkGJ8RFdTJYyDQ_8_0"/>
      <w:bookmarkStart w:id="784" w:name="Tc_fpkwa4_oF0uauixiHSgbIQ_7_0"/>
      <w:bookmarkStart w:id="785" w:name="Tc_U_rrq2hcEE2Yfk6n_36-Rg_6_0"/>
      <w:bookmarkStart w:id="786" w:name="Tc_KlgbT1qhXUyoanjyTHowWg_5_5"/>
      <w:bookmarkStart w:id="787" w:name="Tc_uBJ0sVca_UOE43uTtJOjmw_5_2"/>
      <w:bookmarkStart w:id="788" w:name="Tc_tEAVkPtqYUCYdyCHuk_eSA_5_0"/>
      <w:bookmarkStart w:id="789" w:name="Tc_00zrdYFSSEOYOhPnxxpH7g_4_0"/>
      <w:bookmarkStart w:id="790" w:name="Tc_5AXiOCB9S02GhlDfw0jmAQ_3_5"/>
      <w:bookmarkStart w:id="791" w:name="Tc_Qyx6JoDVbEWlf0SuzflxGw_3_2"/>
      <w:bookmarkStart w:id="792" w:name="Tc_z7uYD3FQH0-cX17ClqG7WA_2_2"/>
      <w:bookmarkStart w:id="793" w:name="_afe39445_93a3_4dc9_8dd3_7d896bf4641f"/>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tbl>
      <w:tblPr>
        <w:tblW w:w="9742" w:type="dxa"/>
        <w:jc w:val="left"/>
        <w:tblInd w:w="0" w:type="dxa"/>
        <w:tblLayout w:type="fixed"/>
        <w:tblCellMar>
          <w:top w:w="0" w:type="dxa"/>
          <w:left w:w="0" w:type="dxa"/>
          <w:bottom w:w="0" w:type="dxa"/>
          <w:right w:w="0" w:type="dxa"/>
        </w:tblCellMar>
      </w:tblPr>
      <w:tblGrid>
        <w:gridCol w:w="6901"/>
        <w:gridCol w:w="326"/>
        <w:gridCol w:w="326"/>
        <w:gridCol w:w="811"/>
        <w:gridCol w:w="326"/>
        <w:gridCol w:w="196"/>
        <w:gridCol w:w="856"/>
      </w:tblGrid>
      <w:tr>
        <w:trPr/>
        <w:tc>
          <w:tcPr>
            <w:tcW w:w="6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82135" cy="175260"/>
                      <wp:effectExtent l="0" t="0" r="0" b="0"/>
                      <wp:wrapNone/>
                      <wp:docPr id="70" name="Frame67"/>
                      <a:graphic xmlns:a="http://schemas.openxmlformats.org/drawingml/2006/main">
                        <a:graphicData uri="http://schemas.microsoft.com/office/word/2010/wordprocessingShape">
                          <wps:wsp>
                            <wps:cNvSpPr txBox="1"/>
                            <wps:spPr>
                              <a:xfrm>
                                <a:off x="0" y="0"/>
                                <a:ext cx="438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14985" cy="175260"/>
                      <wp:effectExtent l="0" t="0" r="0" b="0"/>
                      <wp:wrapNone/>
                      <wp:docPr id="73" name="Frame7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43560" cy="175260"/>
                      <wp:effectExtent l="0" t="0" r="0" b="0"/>
                      <wp:wrapNone/>
                      <wp:docPr id="76" name="Frame7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(71,521)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7,017</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44,812</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(19,207)</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(22,132)</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forward contract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(5,764)</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Impairment of deferred offering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available-for-sale securities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(949)</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issuance costs, commitment fees and accretion of debt end-of-term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5,377</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(4,692)</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other current assets and other assets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4,456</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(62,689)</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(22,737)</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available-for-sale securities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(109,252)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(84,287)</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Maturities of available-for-sale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(107,024)</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Business Combination, net of transaction costs paid</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225,604</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 costs paid directly by Rigetti</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(18,842)</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notes payable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of principal of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(1,291)</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of debt issuance costs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loan and security agreement exit fees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of offering costs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common stock through Common Stock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upon exercise of stock options and warrants</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6,068</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cash provided by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215,454</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Effects of exchange rate changes on cash and cash equivalents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(decrease) increase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45,842</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 beginning of period </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12,046</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 end of period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57,888</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disclosures of other cash flow information: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3,819</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Initial fair value of earn-out liability acquired in merger</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20,413</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Initial fair value of private placement and public warrant liability acquired in merger</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22,932</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Reclassification of loan and security agreement warrants to equity</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6,370</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Settlement of the first tranche of forward contract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Capitalization of deferred costs to equity upon share issuance</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1,520</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recorded in accounts payable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recorded in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short term investments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recorded on adoption of ASU 2016</w:t>
              <w:noBreakHyphen/>
              <w:t>02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6,270</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recorded on adoption of ASU 2016</w:t>
              <w:noBreakHyphen/>
              <w:t>02</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6,620</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arising from obtaining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45" w:hanging="0"/>
              <w:jc w:val="right"/>
              <w:rPr>
                <w:rFonts w:ascii="Times New Roman;Times;serif" w:hAnsi="Times New Roman;Times;serif"/>
                <w:sz w:val="16"/>
              </w:rPr>
            </w:pPr>
            <w:r>
              <w:rPr>
                <w:rFonts w:ascii="Times New Roman;Times;serif" w:hAnsi="Times New Roman;Times;serif"/>
                <w:sz w:val="16"/>
              </w:rPr>
              <w:t>4,892</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 notes to consolidated</w:t>
      </w:r>
      <w:r>
        <w:rPr>
          <w:rFonts w:ascii="Times New Roman;Times;serif" w:hAnsi="Times New Roman;Times;serif"/>
          <w:sz w:val="20"/>
        </w:rPr>
        <w:t xml:space="preserve"> </w:t>
      </w:r>
      <w:r>
        <w:rPr>
          <w:rFonts w:ascii="Times New Roman;Times;serif" w:hAnsi="Times New Roman;Times;serif"/>
          <w:i/>
          <w:sz w:val="20"/>
        </w:rPr>
        <w:t>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4" w:name="Notes"/>
      <w:bookmarkStart w:id="795" w:name="_89546521_2112_400f_8eb1_8be424359615"/>
      <w:bookmarkEnd w:id="794"/>
      <w:bookmarkEnd w:id="795"/>
      <w:r>
        <w:rPr>
          <w:rFonts w:ascii="Times New Roman;Times;serif" w:hAnsi="Times New Roman;Times;serif"/>
          <w:b/>
          <w:sz w:val="20"/>
        </w:rPr>
        <w:t>RIGETTI COMPUTING, INC.</w:t>
      </w:r>
    </w:p>
    <w:p>
      <w:pPr>
        <w:pStyle w:val="TextBody"/>
        <w:bidi w:val="0"/>
        <w:spacing w:before="0" w:after="240"/>
        <w:ind w:left="0" w:right="0" w:hanging="0"/>
        <w:jc w:val="center"/>
        <w:rPr>
          <w:rFonts w:ascii="Times New Roman;Times;serif" w:hAnsi="Times New Roman;Times;serif"/>
          <w:b/>
          <w:sz w:val="20"/>
        </w:rPr>
      </w:pPr>
      <w:bookmarkStart w:id="796" w:name="NOTESTOCONSOLIDATEDFINANCIALSTATEMENTS_3"/>
      <w:bookmarkEnd w:id="796"/>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Description of Business</w:t>
      </w:r>
    </w:p>
    <w:p>
      <w:pPr>
        <w:pStyle w:val="TextBody"/>
        <w:bidi w:val="0"/>
        <w:spacing w:before="0" w:after="240"/>
        <w:ind w:left="0" w:right="0" w:firstLine="540"/>
        <w:jc w:val="both"/>
        <w:rPr>
          <w:rFonts w:ascii="Times New Roman;Times;serif" w:hAnsi="Times New Roman;Times;serif"/>
          <w:sz w:val="18"/>
        </w:rPr>
      </w:pPr>
      <w:r>
        <w:rPr>
          <w:rFonts w:ascii="Times New Roman;Times;serif" w:hAnsi="Times New Roman;Times;serif"/>
          <w:sz w:val="20"/>
        </w:rPr>
        <w:t>Rigetti Computing, Inc. and its subsidiaries (collectively, the “Company” or “Rigetti”), builds quantum computers and the superconducting quantum processors that power them</w:t>
      </w:r>
      <w:r>
        <w:rPr>
          <w:rFonts w:ascii="Times New Roman;Times;serif" w:hAnsi="Times New Roman;Times;serif"/>
          <w:sz w:val="18"/>
        </w:rPr>
        <w:t xml:space="preserve">. </w:t>
      </w:r>
      <w:r>
        <w:rPr>
          <w:rFonts w:ascii="Times New Roman;Times;serif" w:hAnsi="Times New Roman;Times;serif"/>
          <w:sz w:val="20"/>
        </w:rPr>
        <w:t xml:space="preserve">The Company markets a 9-qubit quantum processing unit (QPU) under the </w:t>
      </w:r>
      <w:r>
        <w:rPr>
          <w:rFonts w:ascii="Times New Roman;Times;serif" w:hAnsi="Times New Roman;Times;serif"/>
          <w:sz w:val="20"/>
          <w:shd w:fill="FFFFFF" w:val="clear"/>
        </w:rPr>
        <w:t>Novera™ QPU trade name.</w:t>
      </w:r>
      <w:r>
        <w:rPr>
          <w:rFonts w:ascii="Times New Roman;Times;serif" w:hAnsi="Times New Roman;Times;serif"/>
          <w:sz w:val="18"/>
          <w:shd w:fill="FFFFFF" w:val="clear"/>
        </w:rPr>
        <w:t xml:space="preserve"> </w:t>
      </w:r>
      <w:r>
        <w:rPr>
          <w:rFonts w:ascii="Times New Roman;Times;serif" w:hAnsi="Times New Roman;Times;serif"/>
          <w:sz w:val="20"/>
        </w:rPr>
        <w:t xml:space="preserve">Through the Company’s Quantum Computing as a Service (“QCaaS”) platform, the Company’s machines can be integrated into any public, private or hybrid cloud.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and British Columbia, Canada. The Company’s revenue is derived primarily from operations in the United States and the United Kingdom.</w:t>
      </w:r>
    </w:p>
    <w:p>
      <w:pPr>
        <w:pStyle w:val="TextBody"/>
        <w:pBdr/>
        <w:bidi w:val="0"/>
        <w:spacing w:before="0" w:after="240"/>
        <w:ind w:left="0" w:right="0" w:hanging="54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March 2, 2022 (the “Closing Date”), a merger transaction between Rigetti Holdings, Inc. (“Legacy Rigetti”) and Supernova Partners Acquisition Company II, Ltd. (“SNII”) was completed (the “Business Combination”, see Note 3).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The SNII Public Warrants and the Private Warrants held by SNII became warrants for Common Stock. The Company’s Common Stock and Public Warrants trade on the Nasdaq Capital Market under the ticker symbols “RGTI” and “RGTIW,” respectively. For more information on this transaction, see Note 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determined that Legacy Rigetti was the accounting acquirer in the Business Combination based on an analysis of the criteria outlined in Accounting Standards Codification (ASC) 805, Business Combination.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determination was primarily based on the following facts:</w:t>
      </w:r>
    </w:p>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Legacy Rigetti stockholders have a controlling voting interest in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as of immediately after the closing is comprised of eight board members, six seats occupied by previous Rigetti board members and one seat being occupied by a previous Supernova representative. The eighth seat at the time was filled by an individual who did not have ties to either Rigetti or Supernova pre–Business Combination;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Rigetti management continued to hold executive management roles for the post-combination company and be responsible for the day-to-day operations.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because of the Business Combination.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the financial statements included in this report reflect (i) the historical operating results of Legacy Rigetti prior to the Business Combination; (ii) the combined results of SNII and Legacy Rigetti following the closing of the Business Combination; (iii) the assets and liabilities of Legacy Rigetti at their historical cost; and (iv) the Company’s equity structure for all periods presented.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equity structure has been retroactively restated in all comparative periods up to the Closing Date, to reflect the number of shares of the Company’s Common Stock, issued to Legacy Rigetti shareholders and Legacy Rigetti convertible preferred shareholders in connection with the Business Combination. As such, the shares and corresponding capital amounts and earnings per share related to Legacy Rigetti redeemable convertible preferred stock and Legacy Rigetti Common Stock prior to the Business Combination have been retroactively restated as shares reflecting the exchange ratio established in the Business Combination.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 for sale investments should be sufficient to meet its anticipated operating cash needs for at least the next 12 months from the issuance date of these financial statements based on the Company’s current business plan and expectations and assumptions considering current macroeconomic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Macroeconomic Conditions</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Economic conditions in some parts of the world have been worsening, with disruptions to, and volatility and uncertainty in, the credit and financial markets in the U.S. and worldwide resulting from the effects of inflation and interest rates. These conditions have been further exacerbated by recent and potential future disruptions in access to bank deposits or lending commitments due to bank failures, the ongoing military conflict involving Russia and Ukraine and sanctions related thereto, the state of war between Israel and Hamas and the related risk of a larger regional conflict. It is not possible at this time to estimate the long-term impact that these and related events could have on our business, as the impact will depend on future developments, which are highly uncertain and cannot be predicted. If these conditions persist and deepen, the Company could experience an inability to access additional capital, or its liquidity could otherwise be impacted. If the Company is unable to raise capital when needed and on attractive terms, it would be forced to delay, reduce or eliminate its research and development programs and other efforts.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Principles of Consolidation</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accompanying consolidated financial statements of the Company and its subsidiaries have been prepared in accordance with accounting principles generally accepted in the United States (“GAAP”) and applicable rules and regulations of the U.S. Securities and Exchange Commission (“SEC”). The consolidated financial statements include the accounts of the Company and its wholly-owned subsidiaries. All intercompany transactions and balances have been eliminated in consolidation.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Emerging Growth Company </w:t>
      </w:r>
    </w:p>
    <w:p>
      <w:pPr>
        <w:pStyle w:val="TextBody"/>
        <w:bidi w:val="0"/>
        <w:spacing w:before="0" w:after="240"/>
        <w:ind w:left="0" w:right="0" w:firstLine="540"/>
        <w:jc w:val="both"/>
        <w:rPr>
          <w:rFonts w:ascii="Times New Roman;Times;serif" w:hAnsi="Times New Roman;Times;serif"/>
          <w:b w:val="false"/>
          <w:sz w:val="20"/>
        </w:rPr>
      </w:pPr>
      <w:r>
        <w:rPr>
          <w:rFonts w:ascii="Times New Roman;Times;serif" w:hAnsi="Times New Roman;Times;serif"/>
          <w:b w:val="false"/>
          <w:sz w:val="20"/>
        </w:rPr>
        <w:t>Following the Business Combination, the Company qualifies as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The Company intends to use this extended transition period to enable us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not be comparable to companies that comply with the new or revised accounting standards as of public company effective 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preparation of the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(See Note 3),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consolidated financial statements; therefore, actual results could differ from those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Reclassifications</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Sales and marketing expenses became less significant following the reduction in workforce and strategic realignment the Company announced in February 2023. For this reason, sales and marketing and general administrative expenses have been combined and are now reported as selling, general and administrative. Related amounts for all prior periods have been reclassified to conform with this presentation.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Segments</w:t>
      </w:r>
    </w:p>
    <w:p>
      <w:pPr>
        <w:pStyle w:val="TextBody"/>
        <w:bidi w:val="0"/>
        <w:spacing w:lineRule="auto" w:line="300" w:before="0" w:after="0"/>
        <w:ind w:left="0" w:right="90" w:firstLine="540"/>
        <w:jc w:val="both"/>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discrete financial information is available and that information is regularly reviewed by the Chief Operating Decision Maker (“CODM”) in deciding how to allocate resources and in assessing performance. The Company’s Chief Executive Officer is its CODM, who has ultimate responsibility for the operating performance of the Company and the allocation of resources. The Company’s CODM allocates resources and assesses financial performance based upon discrete financial information presented on a consolidated basis. There are no segment managers who are held accountable by the CODM, or anyone else, for operations, operating results and planning for levels or components below the consolidated unit level. As such, the Company has determined that it operates in one operating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reportable segment.</w:t>
      </w:r>
    </w:p>
    <w:p>
      <w:pPr>
        <w:pStyle w:val="TextBody"/>
        <w:bidi w:val="0"/>
        <w:spacing w:lineRule="auto" w:line="300" w:before="0" w:after="0"/>
        <w:ind w:left="0" w:right="90" w:hanging="0"/>
        <w:jc w:val="both"/>
        <w:rPr/>
      </w:pPr>
      <w:r>
        <w:rPr/>
        <w:t>​</w:t>
      </w:r>
    </w:p>
    <w:p>
      <w:pPr>
        <w:pStyle w:val="TextBody"/>
        <w:bidi w:val="0"/>
        <w:spacing w:lineRule="auto" w:line="300" w:before="0" w:after="0"/>
        <w:ind w:left="0" w:right="90" w:hanging="0"/>
        <w:jc w:val="both"/>
        <w:rPr>
          <w:rFonts w:ascii="Times New Roman;Times;serif" w:hAnsi="Times New Roman;Times;serif"/>
          <w:b/>
          <w:i/>
          <w:sz w:val="20"/>
        </w:rPr>
      </w:pPr>
      <w:r>
        <w:rPr>
          <w:rFonts w:ascii="Times New Roman;Times;serif" w:hAnsi="Times New Roman;Times;serif"/>
          <w:b/>
          <w:i/>
          <w:sz w:val="20"/>
        </w:rPr>
        <w:t>Foreign Currency Translation and Transactions</w:t>
      </w:r>
    </w:p>
    <w:p>
      <w:pPr>
        <w:pStyle w:val="TextBody"/>
        <w:bidi w:val="0"/>
        <w:spacing w:lineRule="auto" w:line="300" w:before="0" w:after="0"/>
        <w:ind w:left="0" w:right="90" w:hanging="0"/>
        <w:jc w:val="both"/>
        <w:rPr/>
      </w:pPr>
      <w:r>
        <w:rPr/>
        <w:t>​</w:t>
      </w:r>
    </w:p>
    <w:p>
      <w:pPr>
        <w:pStyle w:val="TextBody"/>
        <w:bidi w:val="0"/>
        <w:spacing w:lineRule="auto" w:line="300" w:before="0" w:after="0"/>
        <w:ind w:left="0" w:right="90" w:firstLine="540"/>
        <w:jc w:val="both"/>
        <w:rPr>
          <w:rFonts w:ascii="Times New Roman;Times;serif" w:hAnsi="Times New Roman;Times;serif"/>
          <w:sz w:val="20"/>
        </w:rPr>
      </w:pPr>
      <w:r>
        <w:rPr>
          <w:rFonts w:ascii="Times New Roman;Times;serif" w:hAnsi="Times New Roman;Times;serif"/>
          <w:sz w:val="20"/>
        </w:rPr>
        <w:t xml:space="preserve">The Company’s reporting currency is the US dollar. The functional currencies of the Company’s foreign subsidiaries are their respective local currencies (UK pounds sterling, Australian dollar and Canadian dollar), which are the monetary unit of account of the principal economic environment in which the Company’s foreign subsidiaries operate. Assets and liabilities of the foreign subsidiaries are translated into US dollars at exchange rates in effect at each period end. Revenues and expenses are translated at average exchange rates in effect during the period. The resulting translation adjustments are recorded in accumulated other comprehensive income (loss) as a component of stockholders’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Foreign currency transaction gains and losses resulting from or expected to result from transactions denominated in a currency other than the functional currency are recognized in other income (expense), net in the consolidated statements of operations and have not been material for all periods presented.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Comprehensive Loss</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Comprehensive loss consists of two components including net loss and total other comprehensive income (loss) after taxes. The Company’s total other comprehensive income (loss) consists of foreign currency translation adjustments that result from consolidation of its foreign subsidiaries and unrealized gain or loss on available-for-sale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considers all highly liquid investment securities with remaining maturities at the date of purchase of three months or less to be cash equivalents. Cash and cash equivalents consist of funds maintained in demand deposit accounts and money market accounts. Cash and cash equivalent balances, at times, may exceed federally insured limits. Cash equivalents are stated at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Investments</w:t>
      </w:r>
      <w:r>
        <w:rPr>
          <w:rFonts w:ascii="Times New Roman;Times;serif" w:hAnsi="Times New Roman;Times;serif"/>
          <w:sz w:val="20"/>
        </w:rPr>
        <w:t> </w:t>
      </w:r>
    </w:p>
    <w:p>
      <w:pPr>
        <w:pStyle w:val="TextBody"/>
        <w:shd w:fill="FFFFFF" w:val="clear"/>
        <w:bidi w:val="0"/>
        <w:spacing w:before="0" w:after="0"/>
        <w:ind w:left="100" w:right="0" w:firstLine="530"/>
        <w:jc w:val="both"/>
        <w:rPr>
          <w:rFonts w:ascii="Times New Roman;Times;serif" w:hAnsi="Times New Roman;Times;serif"/>
          <w:sz w:val="20"/>
        </w:rPr>
      </w:pPr>
      <w:r>
        <w:rPr>
          <w:rFonts w:ascii="Times New Roman;Times;serif" w:hAnsi="Times New Roman;Times;serif"/>
          <w:sz w:val="20"/>
        </w:rPr>
        <w:t xml:space="preserve">The Company determines the classification of its investment securities at the time of purchase. All investments in fixed income securities with remaining maturities at the date of purchase of more than three months are presently classified as available-for-sale and may be sold in response to changes in interest rates, prepayment risk or other market factors. Investments classified as available for sale are recorded at fair value in the consolidated balance sheets and are classified as short-term or long-term assets based on their maturity date and expectations regarding sales. Fair values are primarily determined using quoted market prices or valuations provided by external investment managers who obtain them from a variety of industry standard data providers. </w:t>
      </w:r>
    </w:p>
    <w:p>
      <w:pPr>
        <w:pStyle w:val="TextBody"/>
        <w:bidi w:val="0"/>
        <w:spacing w:lineRule="auto" w:line="300" w:before="32" w:after="0"/>
        <w:ind w:left="100" w:right="61" w:firstLine="530"/>
        <w:jc w:val="both"/>
        <w:rPr/>
      </w:pPr>
      <w:r>
        <w:rPr/>
        <w:t>​</w:t>
      </w:r>
    </w:p>
    <w:p>
      <w:pPr>
        <w:pStyle w:val="TextBody"/>
        <w:bidi w:val="0"/>
        <w:spacing w:lineRule="auto" w:line="300" w:before="32" w:after="0"/>
        <w:ind w:left="100" w:right="61" w:firstLine="530"/>
        <w:jc w:val="both"/>
        <w:rPr>
          <w:rFonts w:ascii="Times New Roman;Times;serif" w:hAnsi="Times New Roman;Times;serif"/>
          <w:sz w:val="20"/>
        </w:rPr>
      </w:pPr>
      <w:r>
        <w:rPr>
          <w:rFonts w:ascii="Times New Roman;Times;serif" w:hAnsi="Times New Roman;Times;serif"/>
          <w:sz w:val="20"/>
        </w:rPr>
        <w:t>Unrealized gains and losses on available for sale investments are included as a separate component of accumulated other comprehensive income (loss), until realized. The Company evaluates its investments to assess whether those in an unrealized loss position are other than temporarily impaired. Impairments are considered other than temporary if they are related to a deterioration in credit risk or if it is likely the Company will sell the securities before recovery of the amortized cost basis. Realized gains and losses and declines in value determined to be other than temporary are determined based on the specific identification method and are reported in other income (expense), net in the statements of operations. See Note 5 for further information regarding fair value.</w:t>
      </w:r>
    </w:p>
    <w:p>
      <w:pPr>
        <w:pStyle w:val="TextBody"/>
        <w:bidi w:val="0"/>
        <w:spacing w:lineRule="auto" w:line="300" w:before="32" w:after="0"/>
        <w:ind w:left="100" w:right="61" w:firstLine="530"/>
        <w:jc w:val="both"/>
        <w:rPr/>
      </w:pPr>
      <w:r>
        <w:rPr/>
        <w:t>​</w:t>
      </w:r>
    </w:p>
    <w:p>
      <w:pPr>
        <w:pStyle w:val="TextBody"/>
        <w:bidi w:val="0"/>
        <w:spacing w:lineRule="auto" w:line="300" w:before="32" w:after="0"/>
        <w:ind w:left="100" w:right="61" w:firstLine="530"/>
        <w:jc w:val="both"/>
        <w:rPr>
          <w:rFonts w:ascii="Times New Roman;Times;serif" w:hAnsi="Times New Roman;Times;serif"/>
          <w:sz w:val="20"/>
        </w:rPr>
      </w:pPr>
      <w:r>
        <w:rPr>
          <w:rFonts w:ascii="Times New Roman;Times;serif" w:hAnsi="Times New Roman;Times;serif"/>
          <w:sz w:val="20"/>
        </w:rPr>
        <w:t>Interest income and dividends are recognized in interest income on an accrual basis. Premiums and discounts on debt securities are amortized as an adjustment to interest income over the period to maturity of the related security using the effective interest method.</w:t>
      </w:r>
    </w:p>
    <w:p>
      <w:pPr>
        <w:pStyle w:val="TextBody"/>
        <w:bidi w:val="0"/>
        <w:spacing w:lineRule="auto" w:line="300" w:before="32" w:after="0"/>
        <w:ind w:left="100" w:right="61" w:firstLine="53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Accounts Receivable</w:t>
      </w:r>
      <w:r>
        <w:rPr>
          <w:rFonts w:ascii="Times New Roman;Times;serif" w:hAnsi="Times New Roman;Times;serif"/>
          <w:sz w:val="20"/>
        </w:rPr>
        <w:t> </w:t>
      </w:r>
    </w:p>
    <w:p>
      <w:pPr>
        <w:pStyle w:val="TextBody"/>
        <w:bidi w:val="0"/>
        <w:spacing w:lineRule="auto" w:line="300" w:before="32" w:after="0"/>
        <w:ind w:left="100" w:right="61" w:firstLine="530"/>
        <w:jc w:val="both"/>
        <w:rPr>
          <w:rFonts w:ascii="Times New Roman;Times;serif" w:hAnsi="Times New Roman;Times;serif"/>
          <w:sz w:val="20"/>
        </w:rPr>
      </w:pPr>
      <w:r>
        <w:rPr>
          <w:rFonts w:ascii="Times New Roman;Times;serif" w:hAnsi="Times New Roman;Times;serif"/>
          <w:sz w:val="20"/>
        </w:rPr>
        <w:t>Accounts receivable are recorded at invoice value, net of allowance for credit losses. Unbilled receivables are included in accounts receivable and include amounts that were invoiced subsequent to the period end for which revenue was recognized in advance of the right to invoice. 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collections consider publicly available macroeconomic data and whether future credit losses are expected to differ from historical losses. The Company is not party to any off-balance sheet arrangements that would require an allowance for credit losses. As of December 31, 2023 and December 31, 2022, respectively, the Company does not have any allowances for credit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Prepaid Expenses and Other Current Assets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Prepaid expenses and other current assets include prepaid software, prepaid insurance, other prepaid expenses and other current assets, all of which are expected to be recognized or realized within the next 12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Deferred Offering Costs</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capitalizes certain legal, accounting, and other third-party fees that are directly associated with the Business Combination or issuance of shares under a registration statement filed with the SEC. After consummation of the Business Combination or issuance of shares, costs allocated to equity-classified instruments are recorded as a reduction to additional paid-in capital. The Company expenses costs allocated to liability-classified instruments.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incurred $2.3 million of offering costs for the year ended December 31, 2022, which were related to filing new registration statements with the SEC after the close of the Business Combination. These costs were incremental to those disclosed in Note 3. Included in this amount were $0.7 million of offering costs which were deferred as of December 31, 2022, relating to the Purchase Agreement described in Note 14.  The Company was not able to sell common stock under the Purchase Agreement for an extended period in early 2023 while its share price was trading below $1.00 per share. As a result, the Company recognized $0.8 million of impairment charges in 2023 for previously deferred offering costs, primarily related to the Purchase Agreement, which were recorded as selling, general and administrative expense in the accompanying consolidated statement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Property and Equipment, Net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Property and equipment are stated at cost less accumulated depreciation and amortization. Depreciation and amortization are calculated using the straight-line method over the estimated useful lives of the assets.</w:t>
      </w:r>
    </w:p>
    <w:p>
      <w:pPr>
        <w:pStyle w:val="TextBody"/>
        <w:bidi w:val="0"/>
        <w:spacing w:before="0" w:after="0"/>
        <w:ind w:left="0" w:right="0" w:hanging="0"/>
        <w:jc w:val="left"/>
        <w:rPr/>
      </w:pPr>
      <w:r>
        <w:rPr/>
        <w:t>​</w:t>
      </w:r>
    </w:p>
    <w:tbl>
      <w:tblPr>
        <w:tblW w:w="9152" w:type="dxa"/>
        <w:jc w:val="left"/>
        <w:tblInd w:w="0" w:type="dxa"/>
        <w:tblLayout w:type="fixed"/>
        <w:tblCellMar>
          <w:top w:w="0" w:type="dxa"/>
          <w:left w:w="0" w:type="dxa"/>
          <w:bottom w:w="0" w:type="dxa"/>
          <w:right w:w="0" w:type="dxa"/>
        </w:tblCellMar>
      </w:tblPr>
      <w:tblGrid>
        <w:gridCol w:w="5131"/>
        <w:gridCol w:w="4021"/>
      </w:tblGrid>
      <w:tr>
        <w:trPr/>
        <w:tc>
          <w:tcPr>
            <w:tcW w:w="5131"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information technology hardware (IT Hardware)</w:t>
            </w:r>
          </w:p>
        </w:tc>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Process Equipment</w:t>
            </w:r>
          </w:p>
        </w:tc>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 years</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Quantum computing fridges</w:t>
            </w:r>
          </w:p>
        </w:tc>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-10 years</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and other improvements</w:t>
            </w:r>
          </w:p>
        </w:tc>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Shorter</w:t>
            </w:r>
            <w:r>
              <w:rPr>
                <w:rFonts w:ascii="Times New Roman;Times;serif" w:hAnsi="Times New Roman;Times;serif"/>
                <w:sz w:val="20"/>
              </w:rPr>
              <w:t xml:space="preserve"> of the lease-term or estimated useful-life</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Expenditures for repairs and maintenance are expensed as incurred. Upon disposition, the cost and related accumulated depreciation are removed and any resulting gain or loss is reflected in other income (expense), net in the consolidated statements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Long-lived assets, which consist of property and equipment and operating lease right-of-use assets, are reviewed for impairment whenever events or changes in circumstances indicate that the carrying amount of the asset (asset group) may not be recoverable. When such events or changes in circumstances occur, the Company performs an undiscounted cash flow analysis to determine if an impairment exists and, if so, an impairment loss would be recorded based on the excess of the carrying amount of the asset (asset group) over its fair value.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years ended December 31, 2023 and December 31, 2022, respectively, the Company determined there were triggering events related to share price declines or expected near term losses and an undiscounted cash flow analysis was performed. Based on the results of this analysis, the Company’s long-lived assets were not impaired and no impairment charges were recorded.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797" w:name="Narr_OBtj2jztWE6nDKrjbRdjhg"/>
      <w:bookmarkEnd w:id="797"/>
      <w:r>
        <w:rPr>
          <w:rFonts w:ascii="Times New Roman;Times;serif" w:hAnsi="Times New Roman;Times;serif"/>
          <w:b/>
          <w:i/>
          <w:sz w:val="20"/>
        </w:rPr>
        <w:t xml:space="preserve">Leases </w:t>
      </w:r>
    </w:p>
    <w:p>
      <w:pPr>
        <w:pStyle w:val="TextBody"/>
        <w:bidi w:val="0"/>
        <w:spacing w:before="0" w:after="0"/>
        <w:ind w:left="0" w:right="0" w:firstLine="54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determines if an arrangement is or contains a lease at inception. Operating lease right-of-use assets and liabilities are recognized at the lease commencement date based on the present value of lease payments over the lease term. Lease payments consist primarily of the fixed payments under the arrangement.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generally uses an incremental borrowing rate estimated based on the information available at the lease commencement date to determine the present value of lease payments unless the implicit rate is readily determinable. Lease expense for lease payments is recognized on a straight-line basis over the lease term.</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accounts for lease and non-lease components as a single lease component for office leases. Lease and non-lease components for all other leases are generally accounted for separately. Additionally, the Company does not record leases on the balance sheet that, at the lease commencement date, have a lease term of 12 months or less.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Operating leases are included in operating lease right-of-use assets, current portion of operating lease liabilities, and operating lease liabilities, less current portion in the accompanying consolidated balance sheets. </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Goodwill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Goodwill represents the excess of the purchase price over the fair value of assets acquired and liabilities assumed in a business combination. Goodwill has an indefinite useful life and is not amortized. The Company reviews its goodwill for impairment at least annually or whenever events or changes in circumstances indicate that the carrying value of the Company may exceed its fair value. The Company first assesses qualitative factors to determine whether it is more likely than not that the fair value of the Company is less than its carrying amount, including goodwill. If that is the case, the Company performs a quantitative impairment test, and, if the carrying amount of the Company exceeds its fair value, then the Company will recognize an impairment charge for the amount by which its carrying amount exceeds its fair value, not to exceed the carrying amount of the goodwill.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determined a triggering event existed in the fourth quarter of 2022 resulting from the sustained decline in the Company’s stock price. A quantitative impairment test was performed and as a result, the Company recognized a $5.4 million goodwill impairment charge for the year ended December 31, 2022. The Company’s goodwill was fully written-off as of December 31,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Deferred Financing Costs</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statements of operations. Unamortized deferred financing costs are presented on the consolidated balance sheets as a direct deduction from the carrying amount of the related debt obligation.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Public and Private Warrants</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At the Closing Date of the Business Combination, SNII had 4,450,000 Private Warrants and 8,625,000 Public Warrants outstanding. Each whole warrant entitles the holder to purchase one share of the Company’s Common Stock at a price of $11.50 per share, subject to adjustments, and will expire five years after the Business Combination or earlier upon redemption or liquidation.</w:t>
      </w:r>
    </w:p>
    <w:p>
      <w:pPr>
        <w:pStyle w:val="TextBody"/>
        <w:bidi w:val="0"/>
        <w:spacing w:lineRule="auto" w:line="237" w:before="19"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0" w:before="0" w:after="0"/>
        <w:ind w:left="0" w:right="86" w:firstLine="547"/>
        <w:jc w:val="both"/>
        <w:rPr>
          <w:rFonts w:ascii="Times New Roman;Times;serif" w:hAnsi="Times New Roman;Times;serif"/>
          <w:sz w:val="20"/>
        </w:rPr>
      </w:pPr>
      <w:r>
        <w:rPr>
          <w:rFonts w:ascii="Times New Roman;Times;serif" w:hAnsi="Times New Roman;Times;serif"/>
          <w:sz w:val="20"/>
        </w:rPr>
        <w:t xml:space="preserve">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in the consolidated balance sheet at fair value upon the closing, with subsequent changes in the fair value recognized in the consolidated statements of operations at each reporting date. The fair value of the Private Warrants are measured using the Black-Scholes option-pricing model. </w:t>
      </w:r>
    </w:p>
    <w:p>
      <w:pPr>
        <w:pStyle w:val="TextBody"/>
        <w:bidi w:val="0"/>
        <w:spacing w:lineRule="auto" w:line="300" w:before="0" w:after="0"/>
        <w:ind w:left="0" w:right="330" w:firstLine="54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Public Warrants also fail to meet the indexation guidance in Accounting Standards Codification (“ASC”) Topic 815</w:t>
      </w:r>
      <w:r>
        <w:rPr>
          <w:rFonts w:ascii="Times New Roman;Times;serif" w:hAnsi="Times New Roman;Times;serif"/>
          <w:i/>
          <w:sz w:val="20"/>
        </w:rPr>
        <w:t>, Derivatives and Hedging</w:t>
      </w:r>
      <w:r>
        <w:rPr>
          <w:rFonts w:ascii="Times New Roman;Times;serif" w:hAnsi="Times New Roman;Times;serif"/>
          <w:sz w:val="20"/>
        </w:rPr>
        <w:t xml:space="preserve"> (“ASC 815”), and are accounted for as liabilities because they include</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provision</w:t>
      </w:r>
      <w:r>
        <w:rPr>
          <w:rFonts w:ascii="Times New Roman;Times;serif" w:hAnsi="Times New Roman;Times;serif"/>
          <w:spacing w:val="8"/>
          <w:sz w:val="20"/>
        </w:rPr>
        <w:t xml:space="preserve"> </w:t>
      </w:r>
      <w:r>
        <w:rPr>
          <w:rFonts w:ascii="Times New Roman;Times;serif" w:hAnsi="Times New Roman;Times;serif"/>
          <w:sz w:val="20"/>
        </w:rPr>
        <w:t>whereby if</w:t>
      </w:r>
      <w:r>
        <w:rPr>
          <w:rFonts w:ascii="Times New Roman;Times;serif" w:hAnsi="Times New Roman;Times;serif"/>
          <w:spacing w:val="5"/>
          <w:sz w:val="20"/>
        </w:rPr>
        <w:t xml:space="preserve"> </w:t>
      </w:r>
      <w:r>
        <w:rPr>
          <w:rFonts w:ascii="Times New Roman;Times;serif" w:hAnsi="Times New Roman;Times;serif"/>
          <w:sz w:val="20"/>
        </w:rPr>
        <w:t>there</w:t>
      </w:r>
      <w:r>
        <w:rPr>
          <w:rFonts w:ascii="Times New Roman;Times;serif" w:hAnsi="Times New Roman;Times;serif"/>
          <w:spacing w:val="5"/>
          <w:sz w:val="20"/>
        </w:rPr>
        <w:t xml:space="preserve"> </w:t>
      </w:r>
      <w:r>
        <w:rPr>
          <w:rFonts w:ascii="Times New Roman;Times;serif" w:hAnsi="Times New Roman;Times;serif"/>
          <w:sz w:val="20"/>
        </w:rPr>
        <w:t>is</w:t>
      </w:r>
      <w:r>
        <w:rPr>
          <w:rFonts w:ascii="Times New Roman;Times;serif" w:hAnsi="Times New Roman;Times;serif"/>
          <w:spacing w:val="2"/>
          <w:sz w:val="20"/>
        </w:rPr>
        <w:t xml:space="preserve"> </w:t>
      </w:r>
      <w:r>
        <w:rPr>
          <w:rFonts w:ascii="Times New Roman;Times;serif" w:hAnsi="Times New Roman;Times;serif"/>
          <w:sz w:val="20"/>
        </w:rPr>
        <w:t>not</w:t>
      </w:r>
      <w:r>
        <w:rPr>
          <w:rFonts w:ascii="Times New Roman;Times;serif" w:hAnsi="Times New Roman;Times;serif"/>
          <w:spacing w:val="3"/>
          <w:sz w:val="20"/>
        </w:rPr>
        <w:t xml:space="preserve"> </w:t>
      </w:r>
      <w:r>
        <w:rPr>
          <w:rFonts w:ascii="Times New Roman;Times;serif" w:hAnsi="Times New Roman;Times;serif"/>
          <w:sz w:val="20"/>
        </w:rPr>
        <w:t>an</w:t>
      </w:r>
      <w:r>
        <w:rPr>
          <w:rFonts w:ascii="Times New Roman;Times;serif" w:hAnsi="Times New Roman;Times;serif"/>
          <w:spacing w:val="3"/>
          <w:sz w:val="20"/>
        </w:rPr>
        <w:t xml:space="preserve"> </w:t>
      </w:r>
      <w:r>
        <w:rPr>
          <w:rFonts w:ascii="Times New Roman;Times;serif" w:hAnsi="Times New Roman;Times;serif"/>
          <w:sz w:val="20"/>
        </w:rPr>
        <w:t>e</w:t>
      </w:r>
      <w:r>
        <w:rPr>
          <w:rFonts w:ascii="Times New Roman;Times;serif" w:hAnsi="Times New Roman;Times;serif"/>
          <w:spacing w:val="-3"/>
          <w:sz w:val="20"/>
        </w:rPr>
        <w:t>f</w:t>
      </w:r>
      <w:r>
        <w:rPr>
          <w:rFonts w:ascii="Times New Roman;Times;serif" w:hAnsi="Times New Roman;Times;serif"/>
          <w:sz w:val="20"/>
        </w:rPr>
        <w:t>fective</w:t>
      </w:r>
      <w:r>
        <w:rPr>
          <w:rFonts w:ascii="Times New Roman;Times;serif" w:hAnsi="Times New Roman;Times;serif"/>
          <w:spacing w:val="7"/>
          <w:sz w:val="20"/>
        </w:rPr>
        <w:t xml:space="preserve"> </w:t>
      </w:r>
      <w:r>
        <w:rPr>
          <w:rFonts w:ascii="Times New Roman;Times;serif" w:hAnsi="Times New Roman;Times;serif"/>
          <w:sz w:val="20"/>
        </w:rPr>
        <w:t>registration</w:t>
      </w:r>
      <w:r>
        <w:rPr>
          <w:rFonts w:ascii="Times New Roman;Times;serif" w:hAnsi="Times New Roman;Times;serif"/>
          <w:spacing w:val="9"/>
          <w:sz w:val="20"/>
        </w:rPr>
        <w:t xml:space="preserve"> </w:t>
      </w:r>
      <w:r>
        <w:rPr>
          <w:rFonts w:ascii="Times New Roman;Times;serif" w:hAnsi="Times New Roman;Times;serif"/>
          <w:sz w:val="20"/>
        </w:rPr>
        <w:t>statement,</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warrant</w:t>
      </w:r>
      <w:r>
        <w:rPr>
          <w:rFonts w:ascii="Times New Roman;Times;serif" w:hAnsi="Times New Roman;Times;serif"/>
          <w:spacing w:val="6"/>
          <w:sz w:val="20"/>
        </w:rPr>
        <w:t xml:space="preserve"> </w:t>
      </w:r>
      <w:r>
        <w:rPr>
          <w:rFonts w:ascii="Times New Roman;Times;serif" w:hAnsi="Times New Roman;Times;serif"/>
          <w:sz w:val="20"/>
        </w:rPr>
        <w:t>holders</w:t>
      </w:r>
      <w:r>
        <w:rPr>
          <w:rFonts w:ascii="Times New Roman;Times;serif" w:hAnsi="Times New Roman;Times;serif"/>
          <w:spacing w:val="6"/>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cap of</w:t>
      </w:r>
      <w:r>
        <w:rPr>
          <w:rFonts w:ascii="Times New Roman;Times;serif" w:hAnsi="Times New Roman;Times;serif"/>
          <w:spacing w:val="4"/>
          <w:sz w:val="20"/>
        </w:rPr>
        <w:t xml:space="preserve"> </w:t>
      </w:r>
      <w:r>
        <w:rPr>
          <w:rFonts w:ascii="Times New Roman;Times;serif" w:hAnsi="Times New Roman;Times;serif"/>
          <w:sz w:val="20"/>
        </w:rPr>
        <w:t>0.361</w:t>
      </w:r>
      <w:r>
        <w:rPr>
          <w:rFonts w:ascii="Times New Roman;Times;serif" w:hAnsi="Times New Roman;Times;serif"/>
          <w:spacing w:val="5"/>
          <w:sz w:val="20"/>
        </w:rPr>
        <w:t xml:space="preserve"> shares of </w:t>
      </w:r>
      <w:r>
        <w:rPr>
          <w:rFonts w:ascii="Times New Roman;Times;serif" w:hAnsi="Times New Roman;Times;serif"/>
          <w:sz w:val="20"/>
        </w:rPr>
        <w:t>Common Stock per</w:t>
      </w:r>
      <w:r>
        <w:rPr>
          <w:rFonts w:ascii="Times New Roman;Times;serif" w:hAnsi="Times New Roman;Times;serif"/>
          <w:spacing w:val="3"/>
          <w:sz w:val="20"/>
        </w:rPr>
        <w:t xml:space="preserve"> </w:t>
      </w:r>
      <w:r>
        <w:rPr>
          <w:rFonts w:ascii="Times New Roman;Times;serif" w:hAnsi="Times New Roman;Times;serif"/>
          <w:sz w:val="20"/>
        </w:rPr>
        <w:t>warrant</w:t>
      </w:r>
      <w:r>
        <w:rPr>
          <w:rFonts w:ascii="Times New Roman;Times;serif" w:hAnsi="Times New Roman;Times;serif"/>
          <w:spacing w:val="6"/>
          <w:sz w:val="20"/>
        </w:rPr>
        <w:t xml:space="preserve"> </w:t>
      </w:r>
      <w:r>
        <w:rPr>
          <w:rFonts w:ascii="Times New Roman;Times;serif" w:hAnsi="Times New Roman;Times;serif"/>
          <w:sz w:val="20"/>
        </w:rPr>
        <w:t>(subject</w:t>
      </w:r>
      <w:r>
        <w:rPr>
          <w:rFonts w:ascii="Times New Roman;Times;serif" w:hAnsi="Times New Roman;Times;serif"/>
          <w:spacing w:val="7"/>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adjustment),</w:t>
      </w:r>
      <w:r>
        <w:rPr>
          <w:rFonts w:ascii="Times New Roman;Times;serif" w:hAnsi="Times New Roman;Times;serif"/>
          <w:spacing w:val="10"/>
          <w:sz w:val="20"/>
        </w:rPr>
        <w:t xml:space="preserve"> </w:t>
      </w:r>
      <w:r>
        <w:rPr>
          <w:rFonts w:ascii="Times New Roman;Times;serif" w:hAnsi="Times New Roman;Times;serif"/>
          <w:sz w:val="20"/>
        </w:rPr>
        <w:t>on</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issuable</w:t>
      </w:r>
      <w:r>
        <w:rPr>
          <w:rFonts w:ascii="Times New Roman;Times;serif" w:hAnsi="Times New Roman;Times;serif"/>
          <w:spacing w:val="7"/>
          <w:sz w:val="20"/>
        </w:rPr>
        <w:t xml:space="preserve"> </w:t>
      </w:r>
      <w:r>
        <w:rPr>
          <w:rFonts w:ascii="Times New Roman;Times;serif" w:hAnsi="Times New Roman;Times;serif"/>
          <w:sz w:val="20"/>
        </w:rPr>
        <w:t>number</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shares</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cashless</w:t>
      </w:r>
      <w:r>
        <w:rPr>
          <w:rFonts w:ascii="Times New Roman;Times;serif" w:hAnsi="Times New Roman;Times;serif"/>
          <w:spacing w:val="7"/>
          <w:sz w:val="20"/>
        </w:rPr>
        <w:t xml:space="preserve"> </w:t>
      </w:r>
      <w:r>
        <w:rPr>
          <w:rFonts w:ascii="Times New Roman;Times;serif" w:hAnsi="Times New Roman;Times;serif"/>
          <w:sz w:val="20"/>
        </w:rPr>
        <w:t xml:space="preserve">exercise. Subsequent to the separate listing and trading of the Public Warrants, their fair value has been measured based on the observable listed trading prices for such warrants. </w:t>
      </w:r>
    </w:p>
    <w:p>
      <w:pPr>
        <w:pStyle w:val="TextBody"/>
        <w:bidi w:val="0"/>
        <w:spacing w:lineRule="auto" w:line="300" w:before="0" w:after="0"/>
        <w:ind w:left="0" w:right="85" w:firstLine="540"/>
        <w:jc w:val="both"/>
        <w:rPr/>
      </w:pPr>
      <w:r>
        <w:rPr/>
        <w:t>​</w:t>
      </w:r>
    </w:p>
    <w:p>
      <w:pPr>
        <w:pStyle w:val="TextBody"/>
        <w:bidi w:val="0"/>
        <w:spacing w:lineRule="auto" w:line="300" w:before="0" w:after="0"/>
        <w:ind w:left="0" w:right="85" w:firstLine="540"/>
        <w:jc w:val="both"/>
        <w:rPr>
          <w:rFonts w:ascii="Times New Roman;Times;serif" w:hAnsi="Times New Roman;Times;serif"/>
          <w:sz w:val="20"/>
        </w:rPr>
      </w:pPr>
      <w:r>
        <w:rPr>
          <w:rFonts w:ascii="Times New Roman;Times;serif" w:hAnsi="Times New Roman;Times;serif"/>
          <w:sz w:val="20"/>
        </w:rPr>
        <w:t>See Notes 5 and 11 for further information regarding the fair value of the Public and Private Warrants.</w:t>
      </w:r>
    </w:p>
    <w:p>
      <w:pPr>
        <w:pStyle w:val="TextBody"/>
        <w:shd w:fill="FFFFFF" w:val="clear"/>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 Warrant Liabilities </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815, at the initial recognition date.</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Other than the Public and Private Warrants noted above, the Company also issued warrants to Trinity Capital which were recognized as derivative liabilities in accordance with ASC 815. Accordingly, the Company recognizes the warrant instruments as liabilities at fair value and adjusts the instruments to fair value at each reporting period until exercised. The fair value of the warrant liabilities issued were initially measured using the Black- Scholes model and are subsequently remeasured at each reporting period with changes recorded as a component of other income (expense), net in the consolidated statements of operations. During the year ended December 31, 2022 these warrants were exercised and are no longer outstanding.</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Earn-Out Liabilities</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At the closing of the Business Combination, the Sponsor subjected the Sponsor Vesting Shares to forfeiture and vesting conditions as of the Closing Date, with vesting occurring only if thresholds related to the weighted average price of Common Stock are met for the duration of various specified consecutive day trading periods during the </w:t>
      </w:r>
      <w:r>
        <w:rPr>
          <w:rFonts w:ascii="Times New Roman;Times;serif" w:hAnsi="Times New Roman;Times;serif"/>
          <w:b w:val="false"/>
          <w:i w:val="false"/>
          <w:caps w:val="false"/>
          <w:smallCaps w:val="false"/>
          <w:sz w:val="20"/>
        </w:rPr>
        <w:t>five-year</w:t>
      </w:r>
      <w:r>
        <w:rPr>
          <w:rFonts w:ascii="Times New Roman;Times;serif" w:hAnsi="Times New Roman;Times;serif"/>
          <w:sz w:val="20"/>
        </w:rPr>
        <w:t xml:space="preserve"> period following the Closing as described in Note 3 (the “Earn-Out Triggering Events”). Any such shares held by the Sponsor that remain unvested after the fifth anniversary of the Closing will be forfeited.</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These Sponsor Vesting Shares are accounted for as liability classified instruments because the Earn-Out Triggering Events that determine the number of Sponsor Vesting Shares to be earned back by the Sponsor include outcomes that are not solely indexed to the Common Stock of the Company. The aggregate fair value of the Sponsor Vesting Shares on the Closing Date was estimated using a Monte Carlo simulation model. The earn-out liabilities are adjusted to fair value each reporting period using the Monte Carlo simulation model until such time as the Earn-Out Triggering Events are achieved or the Sponsor Vesting Shares are forfeited.  As of December 31, 2023, the Earn-Out Triggering Events were not achieved for any of the tranches of Sponsor Vesting Shares. See Note 12 for further information regarding the earn-out liabilities.</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Revenue Recognition</w:t>
      </w:r>
      <w:r>
        <w:rPr>
          <w:rFonts w:ascii="Times New Roman;Times;serif" w:hAnsi="Times New Roman;Times;serif"/>
          <w:sz w:val="20"/>
        </w:rPr>
        <w:t xml:space="preserv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recognizes revenue in accordance with ASC 606, </w:t>
      </w:r>
      <w:r>
        <w:rPr>
          <w:rFonts w:ascii="Times New Roman;Times;serif" w:hAnsi="Times New Roman;Times;serif"/>
          <w:i/>
          <w:sz w:val="20"/>
        </w:rPr>
        <w:t xml:space="preserve">Revenue from Contracts with Customers </w:t>
      </w:r>
      <w:r>
        <w:rPr>
          <w:rFonts w:ascii="Times New Roman;Times;serif" w:hAnsi="Times New Roman;Times;serif"/>
          <w:sz w:val="20"/>
        </w:rPr>
        <w:t>and accounts for certain contract costs in accordance with ASC 340-40, </w:t>
      </w:r>
      <w:r>
        <w:rPr>
          <w:rFonts w:ascii="Times New Roman;Times;serif" w:hAnsi="Times New Roman;Times;serif"/>
          <w:i/>
          <w:sz w:val="20"/>
        </w:rPr>
        <w:t>Other Assets and Deferred Costs—Contracts with Customers.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recognizes revenue from contracts with customers by applying the following five-step model:</w:t>
      </w:r>
    </w:p>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performance obligations are satisfied</w:t>
            </w:r>
          </w:p>
        </w:tc>
      </w:tr>
    </w:tbl>
    <w:p>
      <w:pPr>
        <w:pStyle w:val="TextBody"/>
        <w:bidi w:val="0"/>
        <w:spacing w:lineRule="auto" w:line="300" w:before="0" w:after="0"/>
        <w:ind w:left="0" w:right="98" w:firstLine="540"/>
        <w:jc w:val="both"/>
        <w:rPr>
          <w:rFonts w:ascii="Times New Roman;Times;serif" w:hAnsi="Times New Roman;Times;serif"/>
          <w:sz w:val="20"/>
        </w:rPr>
      </w:pPr>
      <w:r>
        <w:rPr>
          <w:rFonts w:ascii="Times New Roman;Times;serif" w:hAnsi="Times New Roman;Times;serif"/>
          <w:sz w:val="20"/>
        </w:rPr>
        <w:t xml:space="preserve">The Company generates revenue through its Quantum Computing as a Service (“QCaaS”), sales of QPUs and custom computing components, and development contracts and other services. </w:t>
      </w:r>
    </w:p>
    <w:p>
      <w:pPr>
        <w:pStyle w:val="TextBody"/>
        <w:bidi w:val="0"/>
        <w:spacing w:lineRule="auto" w:line="300" w:before="0" w:after="0"/>
        <w:ind w:left="0" w:right="98"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Access to Rigetti quantum computing systems can be purchased as a quantum computing subscription, or on a usage basis for a specified quantity of hours. Revenue related to subscription-based access to (“QCaaS”) is recognized over time as access to the systems is provided on a ratable basis over the subscription term, which can range from six months to two years. This time-based input measure of progress provides a faithful depiction of the transfer of the services because the benefits the customer obtains generally equals the benefit from its access to the systems throughout the subscription term. Revenue related to usage-based access to Rigetti quantum computing systems is recognized over time as the systems are accessed using an output method based on compute credit hours expended. The Company believes this output method provides a faithful depiction of the transfer of the services because the customer has purchased a specified quantity of hours of usage that diminishes each time an hour is expended and therefore each hour of access to the systems is considered a discrete delivery of underlying services in these arrangements.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Revenue related to the sale of QPUs, including </w:t>
      </w:r>
      <w:r>
        <w:rPr>
          <w:rFonts w:ascii="Times New Roman;Times;serif" w:hAnsi="Times New Roman;Times;serif"/>
          <w:sz w:val="20"/>
          <w:shd w:fill="FFFFFF" w:val="clear"/>
        </w:rPr>
        <w:t>Novera™</w:t>
      </w:r>
      <w:r>
        <w:rPr>
          <w:rFonts w:ascii="Times New Roman;Times;serif" w:hAnsi="Times New Roman;Times;serif"/>
          <w:sz w:val="20"/>
        </w:rPr>
        <w:t xml:space="preserve">, and custom quantum computing components is recognized at a point in time when obligations under the terms of the contract with our customer are satisfied, generally with the transfer of control upon shipment for sales of QPUs, and upon customer acceptance for sales of custom quantum computing components.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Development contracts are generally multi-year, non-recurring arrangements in which the Company provides professional services regarding practical applications of quantum computing to technology and business problems within the customer’s industry or organization and assists the customer in developing quantum algorithms and applications that will provide commercial value to the customer in areas of business interest. Development contracts are typically fixed fee arrangements invoiced on a milestone basis but may also be invoiced on a time and materials or cost reimbursement basis in certain cases. Revenue related to development contracts and other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The Company believes this input measure of progress provides a faithful depiction of the transfer of the services because it closely depicts the Company’s efforts or inputs to the satisfaction of the performance obligation.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When the Company’s contracts with customers contain multiple performance obligations, the transaction price is allocated on a relative standalone selling price basis to each performance obligation. The Company typically determines standalone selling price based on observable selling prices of its products and services. In instances where standalone selling price is not directly observable, standalone selling price is determined using information that may include market conditions and other observable inputs. Standalone selling price is typically established as a range.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situations in which the stated contract price for a performance obligation is outside of the applicable standalone selling price range and has a different pattern of transfer to the customer than the other performance obligations in the contract, the Company will reallocate the total transaction price to each performance obligation based on the relative standalone selling price of each.</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transaction price is the amount of consideration to which the Company expects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Company’s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the Company’s assessment of standalone selling prices, the Company determined that there were no significant material rights provided to its customers requiring separate recognition.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timing of revenue recognition may not align with the right to invoice the customer. The Company records accounts receivable when it has the unconditional right to issue an invoice and receive payment, regardless of whether revenue has been recognized. If revenue has not yet been recognized, a contract liability (deferred revenue) is also recorded. If revenue is recognized in advance of the right to invoice, a contract asset or unbilled receivable is recorded, depending on whether the Company’s right to consideration is considered conditional or unconditional. Unbilled receivables are included within accounts receivable in the consolidated balance sheets.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instances where the timing of revenue recognition differs from the timing of the right to invoice, the Company has determined that a significant financing component generally does not exist. The primary purpose of the Company’s invoicing terms is to provide customers with simplified and predictable ways of purchasing the products and services and not to receive financing from or provide financing to the customer. Additionally, the Company has elected the practical expedient that permits an entity not to recognize a significant financing component if the time between the transfer of a good or service and payment is one year or less.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Payment terms on invoiced amounts are typically net 30 days. The Company does not offer rights of return for its products and services in the normal course of business, and contracts generally do not include service-type warranties that provide any incremental service to the customer beyond providing assurance that the goods and services conform to applicable specifications or customer-specific or subjective acceptance provisions. The Company also excludes from revenue government-assessed and imposed taxes on revenue-generating activities that are invoiced to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Costs of Obtaining and Fulfilling Contracts</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has elected to apply the practical expedient to expense contract acquisition costs as incurred when the expected amortization period is one year or less.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Cost of revenue consists of direct and indirect costs associated with providing its QCaaS offerings, sales of QPUs and custom computing components, and development contracts and other services. Cost of revenue includes employee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related costs, material costs and an allocation of facility costs, depreciation and amortization associated with the delivery of goods and services to customers.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Research and development costs are expensed as incurred. Research and development expenses include compensation, employee benefits, stock-based compensation, outside consultant fees, allocation of facility costs, depreciation and amortization, materials and components purchased for research and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Selling, General and Administrative</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Selling, general and administrative expenses include compensation, employee benefits, stock-based compensation, professional service fees, allocation of facility costs, depreciation and amortization associated with general selling and administrative overhead activities.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As of December 31, 2023 and December 31, 2022, respectively, the Company has recorded a full valuation allowance against its deferred tax assets. The Company recognizes the effect of income tax positions only if it is more likely than not that those positions will be sustained. Recognized income tax positions are measured at the largest amount that has a greater than 50% likelihood of being realized. Changes in recognition or measurement are reflected in the period in which the change in judgment occurs. The Company records interest related to unrecognized tax benefits in interest expense and penalties in income tax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Net Loss Per Share</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Basic net loss per common share is computed by dividing the net loss available to Common Stockholders (the numerator) by the weighted-average number of common shares outstanding (the denominator) during the period. Diluted net loss per common share is computed by dividing the net loss available to Common Stockholders adjusted by any preferred stock dividends declared during the period by the weighted average number of common shares and potential common shares outstanding when the impact is not antidilutive. Potential common shares from stock options, unvested restricted stock units and Common Stock warrants are computed using the treasury stock method, while those from convertible Series C and C-1 Preferred Stock are computed using the if-converted method. Contingently issuable shares are included in basic net loss per share only when there is no circumstance under which those shares would not be issued. Shares issuable for little or no cash consideration shall be considered outstanding common shares and included in the computation of basic net loss per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Stock-Based Compensation</w:t>
      </w:r>
      <w:r>
        <w:rPr>
          <w:rFonts w:ascii="Times New Roman;Times;serif" w:hAnsi="Times New Roman;Times;serif"/>
          <w:sz w:val="20"/>
        </w:rPr>
        <w: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accounts for share-based compensation in accordance with ASC 718, Compensation – </w:t>
      </w:r>
      <w:r>
        <w:rPr>
          <w:rFonts w:ascii="Times New Roman;Times;serif" w:hAnsi="Times New Roman;Times;serif"/>
          <w:i/>
          <w:sz w:val="20"/>
        </w:rPr>
        <w:t>Stock Compensation</w:t>
      </w:r>
      <w:r>
        <w:rPr>
          <w:rFonts w:ascii="Times New Roman;Times;serif" w:hAnsi="Times New Roman;Times;serif"/>
          <w:sz w:val="20"/>
        </w:rPr>
        <w:t xml:space="preserve">. The Company’s share-based compensation awards are all equity-classified and consist of stock options, restricted stock units (“RSU”) and restricted stock awards (“RSA”). Most stock options have service vesting conditions ranging from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5 years</w:t>
      </w:r>
      <w:r>
        <w:rPr>
          <w:rFonts w:ascii="Times New Roman;Times;serif" w:hAnsi="Times New Roman;Times;serif"/>
          <w:sz w:val="20"/>
        </w:rPr>
        <w:t xml:space="preserve">. Some stock options include both market-based and service based vesting conditions. Most RSUs granted under the Rigetti Computing, Inc. 2022 Equity Incentive Plan (the “2022 Plan”) have service vesting conditions ranging from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4 years</w:t>
      </w:r>
      <w:r>
        <w:rPr>
          <w:rFonts w:ascii="Times New Roman;Times;serif" w:hAnsi="Times New Roman;Times;serif"/>
          <w:sz w:val="20"/>
        </w:rPr>
        <w:t xml:space="preserve">. Some RSUs granted under the 2022 plan include both market-based and service-based vesting conditions. RSUs granted under the Rigetti &amp; Co., Inc. 2013 Equity Incentive Plan (the “2013 Plan”) have a </w:t>
      </w:r>
      <w:r>
        <w:rPr>
          <w:rFonts w:ascii="Times New Roman;Times;serif" w:hAnsi="Times New Roman;Times;serif"/>
          <w:b w:val="false"/>
          <w:i w:val="false"/>
          <w:caps w:val="false"/>
          <w:smallCaps w:val="false"/>
          <w:sz w:val="20"/>
        </w:rPr>
        <w:t>4</w:t>
      </w:r>
      <w:r>
        <w:rPr>
          <w:rFonts w:ascii="Times New Roman;Times;serif" w:hAnsi="Times New Roman;Times;serif"/>
          <w:sz w:val="20"/>
        </w:rPr>
        <w:t xml:space="preserve">-year service vesting condition and a performance condition linked to the occurrence of a liquidity event defined as a change-in-control event, successful initial public offering, or successful merger with a special purpose acquisition company, which was satisfied at the Closing. RSAs are fully vested on the grant date. The Company occasionally issues awards that might have different vesting conditions.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Compensation expense is based on the grant-date fair value of the awards and recognized over the requisite service period using a straight-line method for awards that have a service only vesting condition. Compensation expense for awards with service and performance and/or market conditions is recognized using a graded vesting method. Compensation expense for RSAs is recognized fully on the grant date. Compensation expenses for awards with a market condition are recognized over the requite service period regardless of whether the market condition is met unless the service requirement is not met. The Company has elected to account for forfeitures of employee stock awards as they occur.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Concentrations of Credit Risk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short-term investments in the form of U.S government agency bonds and corporate bonds, and trade accounts receivable. The Company’s cash and cash equivalents and short-term investments are placed with high-credit-quality financial institutions, and at times exceed federally insured limits. To date, the Company has not experienced any credit loss relating to its cash and cash equivalents or short-term investments.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Measurements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Level 1—Inputs are unadjusted quoted prices in active markets for identical assets or liabilities that the Company has the ability to access at the measurement date.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Level 3—Inputs are unobservable for the asset or liability.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level in the fair value hierarchy within which a fair value measurement in its entirety falls is based on the lowest-level input that is significant to the fair value measurement in its entirety.</w:t>
      </w:r>
    </w:p>
    <w:p>
      <w:pPr>
        <w:pStyle w:val="TextBody"/>
        <w:bidi w:val="0"/>
        <w:spacing w:before="0" w:after="240"/>
        <w:ind w:left="0" w:right="0" w:firstLine="540"/>
        <w:jc w:val="both"/>
        <w:rPr/>
      </w:pPr>
      <w:r>
        <w:rPr/>
        <w:t>​</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798" w:name="_Hlk158886566"/>
      <w:bookmarkStart w:id="799" w:name="_Hlk158886517"/>
      <w:bookmarkStart w:id="800" w:name="_Hlk158886492"/>
      <w:bookmarkEnd w:id="798"/>
      <w:bookmarkEnd w:id="799"/>
      <w:bookmarkEnd w:id="800"/>
      <w:r>
        <w:rPr>
          <w:rFonts w:ascii="Times New Roman;Times;serif" w:hAnsi="Times New Roman;Times;serif"/>
          <w:b/>
          <w:i/>
          <w:sz w:val="20"/>
        </w:rPr>
        <w:t>Recently Adopted Accounting Pronouncements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shd w:fill="FFFFFF" w:val="clear"/>
        </w:rPr>
        <w:t>In 2016, the FASB issued ASU 2016-13 “</w:t>
      </w:r>
      <w:r>
        <w:rPr>
          <w:rFonts w:ascii="Times New Roman;Times;serif" w:hAnsi="Times New Roman;Times;serif"/>
          <w:i/>
          <w:sz w:val="20"/>
        </w:rPr>
        <w:t>Financial Instruments - Credit Losses” </w:t>
      </w:r>
      <w:r>
        <w:rPr>
          <w:rFonts w:ascii="Times New Roman;Times;serif" w:hAnsi="Times New Roman;Times;serif"/>
          <w:sz w:val="20"/>
          <w:shd w:fill="FFFFFF" w:val="clear"/>
        </w:rPr>
        <w:t>which (i) significantly changes the impairment model for most financial assets that are measured at amortized cost and certain other instruments from an incurred loss model to an expected loss model which will be based on an estimate of current expected credit loss; and (ii) provides for recording credit losses on available-for-sale debt securities through an allowance account. The standard also requires certain incremental disclosures. Subsequently, the FASB issued several ASUs to clarify, improve, or defer the adoption of ASU 2016-13. The Company adopted ASU 2016-13 on January 1, 2023. The Company determined that the adoption of this standard did not result in a material impact to the consolidated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June 2022, the FASB issued ASU 2022-03, ASC Subtopic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ASU is effective for the Company after December 15, 2024, and interim periods within those fiscal years, with early adoption permitted. The Company is still evaluating the impact of this pronouncement on the consolidated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August 2020, the FASB issued ASU No. 2020-06, Debt - (Topic 815) (“ASU No. 2020-06”), which simplifies an issuer’s accounting for convertible instruments and its application of the derivatives scope exception for contracts in its own equity. ASU No. 2020-06 is effective for the Company as of January 1, 2024. The Company determined that the adoption of this standard will not result in a material impact on the consolidated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November 2023, the Financial Accounting Standards Board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This ASU will likely result in us including the additional required disclosures when adopted. The Company is still evaluating the impact of this pronouncement on the consolidated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December 2023, the Financial Accounting Standards Board issued Accounting Standards Update (“ASU”) 2023-09, “Income Taxes - Improvements to Income Tax Disclosures”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The Company is still evaluating the impact of this pronouncement on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540"/>
        <w:jc w:val="both"/>
        <w:rPr>
          <w:rFonts w:ascii="Times New Roman;Times;serif" w:hAnsi="Times New Roman;Times;serif"/>
          <w:b/>
          <w:sz w:val="20"/>
        </w:rPr>
      </w:pPr>
      <w:bookmarkStart w:id="801" w:name="_92509d5a_2813_4291_94e0_e323a3b8ef05_3"/>
      <w:bookmarkStart w:id="802" w:name="_92509d5a_2813_4291_94e0_e323a3b8ef05_2"/>
      <w:bookmarkStart w:id="803" w:name="_92509d5a_2813_4291_94e0_e323a3b8ef05"/>
      <w:bookmarkEnd w:id="801"/>
      <w:bookmarkEnd w:id="802"/>
      <w:bookmarkEnd w:id="803"/>
      <w:r>
        <w:rPr>
          <w:rFonts w:ascii="Times New Roman;Times;serif" w:hAnsi="Times New Roman;Times;serif"/>
          <w:b w:val="false"/>
          <w:sz w:val="20"/>
        </w:rPr>
        <w:t>(</w:t>
      </w:r>
      <w:r>
        <w:rPr>
          <w:rFonts w:ascii="Times New Roman;Times;serif" w:hAnsi="Times New Roman;Times;serif"/>
          <w:b/>
          <w:sz w:val="20"/>
        </w:rPr>
        <w:t>3) Business Combination</w:t>
      </w:r>
    </w:p>
    <w:p>
      <w:pPr>
        <w:pStyle w:val="TextBody"/>
        <w:pBd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discussed in Note 2, on March 2, 2022, the Business Combination was completed. Pursuant to the Company’s certificate of incorporation, as amended on March 2, 2022, the Company is authorized to issue 1,000,000,000 shares of Common Stock and 10,000,000 shares of preferred stock, par value $0.0001, of the Company (the “Preferred Stock”). The holders of shares of Common Stock are entitled to one vote for each share of Common Stock held. The Preferred Stock is non-voting. No shares of Preferred Stock were issued and outstanding as of December 31, 2023 and December 31, 2022, respectively.</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March 1, 2022, prior to the Closing, as contemplated by that certain Agreement and Plan of Merger dated as of October 6, 2021, as amended on December 23, 2021 and January 10, 2022 (as amended, the “Merger Agreement”), by and among SNII, Supernova Merger Sub, Inc., Supernova Romeo Merger Sub, LLC and Legacy Rigetti and following approval by SNII’s shareholders at an extraordinary general meeting of shareholders held on February 28, 2022 (the “Extraordinary General Meeting”), SNII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under which SNII was domesticated and continues as a Delaware corporation, changing its name to “Rigetti Computing, Inc.”</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a result of and upon the effective time of the Domestication (which occurred on March 1, 2022), among other things (1) each then issued and outstanding Class A ordinary share, par value $0.0001 per share, of SNII (“SNII Class A ordinary share”) converted automatically, on a one-for-one basis, into a share of Common Stock; (2) each then issued and outstanding Class B ordinary share, par value $0.0001 per share, of SNII (“SNII Class B ordinary share”) converted automatically, on a one-for-one basis, into a share of Common Stock; (3) each then issued and outstanding whole warrant of SNII to purchase one SNII Class A ordinary share converted automatically into a Public Warrant to acquire one share of Common Stock at an exercise price of $11.50 per share pursuant to the Warrant Agreement, dated March 1, 2021, between SNII and American Stock Transfer &amp; Trust Company, as warrant agent; and (4) each then issued and outstanding unit of SNII (the “SNII Units”) was separated and converted automatically into one share of Common Stock and one-fourth of one Warrant.</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Immediately prior to the effective time of the Business Combination, each share of Legacy Rigetti’s Series C preferred stock and Series C-1 preferred stock (collectively, the “Legacy Rigetti Preferred Stock”) with Par Value of $0.000001 converted into shares of Common Stock of Legacy Rigetti (“Legacy Rigetti Common Stock”) in accordance with the Amended and Restated Certificate of Incorporation of Legacy Rigetti (such conversion, the “Legacy Rigetti Preferred Conversion”).</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among other things (1) all outstanding shares of Legacy Rigetti Common Stock as of immediately prior to the Closing (including Legacy Rigetti Common Stock resulting from the Legacy Rigetti Preferred Stock Conversion), were exchanged at an exchange ratio of 0.7870 (the “Exchange Ratio”) for an aggregate of 78,959,579 shares of Common Stock; (2) each warrant to purchase Legacy Rigetti Common Stock converted into a warrant to purchase shares of Common Stock (“Assumed Warrant”), with each Assumed Warrant subject to the same terms and conditions as were applicable to the original Legacy Rigetti warrant and having an exercise price and number of shares of Common Stock purchasable based on the Exchange Ratio and other terms contained in the Merger Agreement; (3) each option to purchase Legacy Rigetti Common Stock converted into an option to purchase shares of Common Stock (“Assumed Option”), with each Assumed Option subject to the same terms and conditions as were applicable to the original Legacy Rigetti option and with an exercise price and number of shares of Common Stock purchasable based on the Exchange Ratio and other terms contained in the Merger Agreement, and; (4) each Legacy Rigetti restricted stock unit award converted into a restricted stock unit award to receive shares of Common Stock (“Assumed RSU Award”), with each Assumed RSU Award subject to the same terms and conditions as were applicable to the Legacy Rigetti restricted stock unit award, and with the number of shares of Common Stock to which the Assumed RSU Award converted based on the Exchange Ratio and other terms contained in the Merger Agreement.</w:t>
      </w:r>
    </w:p>
    <w:p>
      <w:pPr>
        <w:pStyle w:val="TextBody"/>
        <w:shd w:fill="FFFFFF" w:val="clear"/>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547"/>
        <w:jc w:val="both"/>
        <w:rPr>
          <w:rFonts w:ascii="Times New Roman;Times;serif" w:hAnsi="Times New Roman;Times;serif"/>
          <w:sz w:val="20"/>
        </w:rPr>
      </w:pPr>
      <w:bookmarkStart w:id="804" w:name="Tc_umHkpVTWKUmgnhhlXDKItw_5_2"/>
      <w:bookmarkStart w:id="805" w:name="Tc_WbBDuIlvskGA3tK7ANeDYw_5_0"/>
      <w:bookmarkStart w:id="806" w:name="Tc_r4spH0xzAEW9LjdmQYCj9A_4_0"/>
      <w:bookmarkStart w:id="807" w:name="Tc_qCGoB0xLtEWuIHIXBIuQyg_3_0"/>
      <w:bookmarkStart w:id="808" w:name="Tc_VLz5hFGo10GcEI8Z7HsP-A_2_2"/>
      <w:bookmarkStart w:id="809" w:name="Tc_kqAdOuLIXEeY64ZdNMRv9g_2_0"/>
      <w:bookmarkStart w:id="810" w:name="_3870596b_3923_4797_be58_0bcf323bbdd8"/>
      <w:bookmarkEnd w:id="804"/>
      <w:bookmarkEnd w:id="805"/>
      <w:bookmarkEnd w:id="806"/>
      <w:bookmarkEnd w:id="807"/>
      <w:bookmarkEnd w:id="808"/>
      <w:bookmarkEnd w:id="809"/>
      <w:bookmarkEnd w:id="810"/>
      <w:r>
        <w:rPr>
          <w:rFonts w:ascii="Times New Roman;Times;serif" w:hAnsi="Times New Roman;Times;serif"/>
          <w:sz w:val="20"/>
        </w:rPr>
        <w:t>In connection with the execution of the Merger Agreement, SNII entered into a sponsor support agreement (the “Sponsor Support Agreement”) with Supernova Partners II, LLC (the “Sponsor”), Legacy Rigetti and SNII’s directors and officers. Pursuant to the Sponsor Support Agreement, the Sponsor and SNII’s directors and officers (“Sponsor Holders”), among other things, agreed to vote all of their shares of SNII capital stock in favor of the approval of the Business Combination. In addition, pursuant to the Sponsor Support Agreement, (i) 2,479,000 shares of Common Stock held by the Sponsor Holders became unvested and subject to forfeiture as of the Closing and will only vest if, during the five year period following the Closing, the volume weighted average price of Common Stock equals or exceeds $12.50 for any </w:t>
      </w:r>
      <w:r>
        <w:rPr>
          <w:rFonts w:ascii="Times New Roman;Times;serif" w:hAnsi="Times New Roman;Times;serif"/>
          <w:b w:val="false"/>
          <w:i w:val="false"/>
          <w:caps w:val="false"/>
          <w:smallCaps w:val="false"/>
          <w:sz w:val="20"/>
        </w:rPr>
        <w:t>twenty</w:t>
      </w:r>
      <w:r>
        <w:rPr>
          <w:rFonts w:ascii="Times New Roman;Times;serif" w:hAnsi="Times New Roman;Times;serif"/>
          <w:sz w:val="20"/>
        </w:rPr>
        <w:t xml:space="preserve"> trading days within a period of </w:t>
      </w:r>
      <w:r>
        <w:rPr>
          <w:rFonts w:ascii="Times New Roman;Times;serif" w:hAnsi="Times New Roman;Times;serif"/>
          <w:b w:val="false"/>
          <w:i w:val="false"/>
          <w:caps w:val="false"/>
          <w:smallCaps w:val="false"/>
          <w:sz w:val="20"/>
        </w:rPr>
        <w:t>thirty</w:t>
      </w:r>
      <w:r>
        <w:rPr>
          <w:rFonts w:ascii="Times New Roman;Times;serif" w:hAnsi="Times New Roman;Times;serif"/>
          <w:sz w:val="20"/>
        </w:rPr>
        <w:t xml:space="preserve"> consecutive trading days (such shares, the “Promote Sponsor Vesting Shares”), and (ii) 580,273 shares of Common Stock held by the Sponsor Holders became unvested and subject to forfeiture as of the Closing and will only vest if, during the five year period following the Closing, the volume weighted average price of Common Stock equals or exceeds $15.00 for any </w:t>
      </w:r>
      <w:r>
        <w:rPr>
          <w:rFonts w:ascii="Times New Roman;Times;serif" w:hAnsi="Times New Roman;Times;serif"/>
          <w:b w:val="false"/>
          <w:i w:val="false"/>
          <w:caps w:val="false"/>
          <w:smallCaps w:val="false"/>
          <w:sz w:val="20"/>
        </w:rPr>
        <w:t>twenty</w:t>
      </w:r>
      <w:r>
        <w:rPr>
          <w:rFonts w:ascii="Times New Roman;Times;serif" w:hAnsi="Times New Roman;Times;serif"/>
          <w:sz w:val="20"/>
        </w:rPr>
        <w:t xml:space="preserve"> trading days within a period of </w:t>
      </w:r>
      <w:r>
        <w:rPr>
          <w:rFonts w:ascii="Times New Roman;Times;serif" w:hAnsi="Times New Roman;Times;serif"/>
          <w:b w:val="false"/>
          <w:i w:val="false"/>
          <w:caps w:val="false"/>
          <w:smallCaps w:val="false"/>
          <w:sz w:val="20"/>
        </w:rPr>
        <w:t>thirty</w:t>
      </w:r>
      <w:r>
        <w:rPr>
          <w:rFonts w:ascii="Times New Roman;Times;serif" w:hAnsi="Times New Roman;Times;serif"/>
          <w:sz w:val="20"/>
        </w:rPr>
        <w:t xml:space="preserve"> consecutive trading days (such shares, the “Sponsor Redemption-Based Vesting Shares,” and, collectively with the Promote Sponsor Vesting Shares, the “Sponsor Vesting Shares”). Any such shares held by the Sponsor Holders that remain unvested after the fifth anniversary of the Closing will be forfeited (Refer to Note 12 for additional information related to the Earn-Out Liabilities for the Sponsor Vesting Shares).</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Concurrently with the execution of the Merger Agreement, SNII entered into Subscription Agreements (the “Initial Subscription Agreements”) with certain investors (together, the “Initial PIPE Investors”), pursuant to which the Initial PIPE Investors agreed to subscribe for and purchase, and SNII agreed to issue and sell to the Initial PIPE Investors, an aggregate of 10,251,000 shares of Common Stock at a price of $10.00 per share, for aggregate gross proceeds of $102.5 Million (the “Initial PIPE Financing”). On December 23, 2021, SNII entered into Subscription Agreements (the “Subsequent Subscription Agreements”, and together with the Initial Subscription Agreements, the “Subscription Agreements”) with two “accredited investors” (as such term is defined in Rule 501 of Regulation D) (the “Subsequent PIPE Investors”, and together with the Initial PIPE Investors, the “PIPE Investors”) pursuant to which the Subsequent PIPE Investors agreed to subscribe for and purchase, and SNII agreed to issue and sell to the Subsequent PIPE Investors, an aggregate of 4,390,244 shares of Common Stock at a price of $10.25 per share, for aggregate gross proceeds of $45.0 Million (the “Subsequent PIPE Financing”, and together with the Initial PIPE Financing, the “PIPE Financing”). Pursuant to the Subscription Agreements, Rigetti agreed to provide PIPE Investors with certain registration rights with respect to the shares purchased as part of the PIPE Financing. The PIPE Financing was consummated immediately prior to the Business Combination. The Business Combination is accounted for as a reverse recapitalization in accordance with GAAP. Under this method of accounting, SNII was treated as the “acquired” company for financial reporting purposes.</w:t>
      </w:r>
    </w:p>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accounting for the Business Combination and after redemptions, net proceeds received by the Company totaled $225.6 million. The table below shows the net proceeds from business combination and PIPE financing (in thousands):</w:t>
      </w:r>
    </w:p>
    <w:tbl>
      <w:tblPr>
        <w:tblW w:w="5799" w:type="dxa"/>
        <w:jc w:val="left"/>
        <w:tblInd w:w="0" w:type="dxa"/>
        <w:tblLayout w:type="fixed"/>
        <w:tblCellMar>
          <w:top w:w="0" w:type="dxa"/>
          <w:left w:w="0" w:type="dxa"/>
          <w:bottom w:w="0" w:type="dxa"/>
          <w:right w:w="0" w:type="dxa"/>
        </w:tblCellMar>
      </w:tblPr>
      <w:tblGrid>
        <w:gridCol w:w="4261"/>
        <w:gridCol w:w="326"/>
        <w:gridCol w:w="326"/>
        <w:gridCol w:w="886"/>
      </w:tblGrid>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62610" cy="175260"/>
                      <wp:effectExtent l="0" t="0" r="0" b="0"/>
                      <wp:wrapNone/>
                      <wp:docPr id="79" name="Frame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left"/>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SNII trust and cash (net of redemption)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PIPE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147,510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SNII operating account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Business Combination and PIPE</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225,604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Transaction costs consist of direct legal, accounting and other fees relating to the consummation of the Business Combination. Legacy Rigetti transaction costs specific and directly attributable to the business combination totaled $20.65 million. These costs were initially capitalized as incurred in deferred offering assets on the consolidated balance sheets. Upon the Closing, transaction costs related to the issuance of shares were recognized in stockholders’ equity while costs associated with the Public Warrants, Private Warrants and the Earnout Liabilities related to the Sponsor Vesting Shares were expensed in the consolidated statements of operations. Of the total transaction costs of $20.65 million, $19.75 million was recorded to additional paid-in capital as a reduction of proceeds and the remaining $0.9 million was expensed during the year ended December 31, 2022. Cash transaction costs paid during the year ended December 31, 2022 totaled $16.7 million. Bonuses paid to certain employees related to the business combination during the year ended December 31, 2022 totaled $2.1 million. The amount recorded to additional paid-in-capital was $159.6 million, comprised of $225.6 million net proceeds less $19.8 million of transaction costs, $16.3 million recognized for the Public Warrant liabilities, $9.6 million recognized for the Private Warrant liabilities, and $20.4 million recognized for the Earnout Liabilities related to the Sponsor Vesting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811" w:name="Tc_J35biojFjkCNbRaL1-TfKA_12_0"/>
      <w:bookmarkStart w:id="812" w:name="Tc_UE7j77jYHE2duY0Mq1woYA_11_0"/>
      <w:bookmarkStart w:id="813" w:name="Tc_E1HzuHdSdU-J7S4G_xqglw_10_0"/>
      <w:bookmarkStart w:id="814" w:name="Tc_HaCPOrvFEUafhw5lpaT0Nw_9_0"/>
      <w:bookmarkStart w:id="815" w:name="Tc_00pMx_t7Skuofx545bamoQ_8_0"/>
      <w:bookmarkStart w:id="816" w:name="Tc_n4CxA_zPi06D-UX2GwJmPw_7_0"/>
      <w:bookmarkStart w:id="817" w:name="Tc_rwjz5qQL4UiytLE4VZZYxw_6_0"/>
      <w:bookmarkStart w:id="818" w:name="Tc_4aOHITNegkS9TX4T2m2m4A_5_0"/>
      <w:bookmarkStart w:id="819" w:name="Tc_xNzvuejZDUCGyUO0hXu1xQ_4_0"/>
      <w:bookmarkStart w:id="820" w:name="Tc_SKMAqH0O-UOSVgJ_luA7AQ_3_0"/>
      <w:bookmarkStart w:id="821" w:name="Tc_kfBCqqZtuUOcOtIYVcyyqQ_2_0"/>
      <w:bookmarkStart w:id="822" w:name="Tc_IUdQwLyrP0qUgFLiXpHQCA_1_0"/>
      <w:bookmarkStart w:id="823" w:name="_4d4fa8dd_5c20_4844_89f9_1bb4dff36c4e"/>
      <w:bookmarkEnd w:id="811"/>
      <w:bookmarkEnd w:id="812"/>
      <w:bookmarkEnd w:id="813"/>
      <w:bookmarkEnd w:id="814"/>
      <w:bookmarkEnd w:id="815"/>
      <w:bookmarkEnd w:id="816"/>
      <w:bookmarkEnd w:id="817"/>
      <w:bookmarkEnd w:id="818"/>
      <w:bookmarkEnd w:id="819"/>
      <w:bookmarkEnd w:id="820"/>
      <w:bookmarkEnd w:id="821"/>
      <w:bookmarkEnd w:id="822"/>
      <w:bookmarkEnd w:id="823"/>
      <w:r>
        <w:rPr>
          <w:rFonts w:ascii="Times New Roman;Times;serif" w:hAnsi="Times New Roman;Times;serif"/>
          <w:sz w:val="20"/>
        </w:rPr>
        <w:t>The number of shares of Common Stock issued immediately following the consummation of the Business Combination was as follows:</w:t>
      </w:r>
    </w:p>
    <w:p>
      <w:pPr>
        <w:pStyle w:val="TextBody"/>
        <w:bidi w:val="0"/>
        <w:spacing w:before="0" w:after="0"/>
        <w:ind w:left="0" w:right="0" w:hanging="0"/>
        <w:jc w:val="left"/>
        <w:rPr/>
      </w:pPr>
      <w:r>
        <w:rPr/>
        <w:t>​</w:t>
      </w:r>
    </w:p>
    <w:tbl>
      <w:tblPr>
        <w:tblW w:w="9283" w:type="dxa"/>
        <w:jc w:val="left"/>
        <w:tblInd w:w="0" w:type="dxa"/>
        <w:tblLayout w:type="fixed"/>
        <w:tblCellMar>
          <w:top w:w="0" w:type="dxa"/>
          <w:left w:w="0" w:type="dxa"/>
          <w:bottom w:w="0" w:type="dxa"/>
          <w:right w:w="0" w:type="dxa"/>
        </w:tblCellMar>
      </w:tblPr>
      <w:tblGrid>
        <w:gridCol w:w="7711"/>
        <w:gridCol w:w="326"/>
        <w:gridCol w:w="1246"/>
      </w:tblGrid>
      <w:tr>
        <w:trPr/>
        <w:tc>
          <w:tcPr>
            <w:tcW w:w="7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91210" cy="175260"/>
                      <wp:effectExtent l="0" t="0" r="0" b="0"/>
                      <wp:wrapNone/>
                      <wp:docPr id="81" name="Frame7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Stock—SNII Class A, outstanding prior to Business Combination</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34,500,000</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redemption of SNII Class A ordinary shares</w:t>
            </w:r>
          </w:p>
        </w:tc>
        <w:tc>
          <w:tcPr>
            <w:tcW w:w="326" w:type="dxa"/>
            <w:tcBorders/>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(22,915,538)</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Stock—SNII Class A ordinary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11,584,462</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Stock—SNII Class B ordinary shares*</w:t>
            </w:r>
          </w:p>
        </w:tc>
        <w:tc>
          <w:tcPr>
            <w:tcW w:w="32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8,625,000</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in PIPE</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14,641,244</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Combination and PIPE shares</w:t>
            </w:r>
          </w:p>
        </w:tc>
        <w:tc>
          <w:tcPr>
            <w:tcW w:w="32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34,850,706</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Stock—Legacy Rigetti**</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18,221,069</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Stock—exercise of Legacy Rigetti stock options immediately prior to the closing**</w:t>
            </w:r>
          </w:p>
        </w:tc>
        <w:tc>
          <w:tcPr>
            <w:tcW w:w="32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1,123,539</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Stock—exercise of Legacy Rigetti warrants immediately prior to the closing**</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2,234,408</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Stock—upon conversion of Legacy Rigetti Series C preferred stock**</w:t>
            </w:r>
          </w:p>
        </w:tc>
        <w:tc>
          <w:tcPr>
            <w:tcW w:w="32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54,478,261</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Stock—upon conversion of Legacy Rigetti Series C</w:t>
              <w:noBreakHyphen/>
              <w:t>1 preferred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2,902,302</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of Common Stock immediately after Business Combination</w:t>
            </w:r>
          </w:p>
        </w:tc>
        <w:tc>
          <w:tcPr>
            <w:tcW w:w="326" w:type="dxa"/>
            <w:tcBorders/>
            <w:vAlign w:val="center"/>
          </w:tcPr>
          <w:p>
            <w:pPr>
              <w:pStyle w:val="TableContents"/>
              <w:bidi w:val="0"/>
              <w:spacing w:before="0" w:after="1"/>
              <w:ind w:left="0" w:right="0" w:hanging="0"/>
              <w:jc w:val="left"/>
              <w:rPr/>
            </w:pPr>
            <w:r>
              <w:rPr/>
              <w:t> </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113,810,285</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shd w:fill="FFFFFF" w:val="clear"/>
              </w:rPr>
            </w:pPr>
            <w:r>
              <w:rPr>
                <w:rFonts w:ascii="Times New Roman;Times;serif" w:hAnsi="Times New Roman;Times;serif"/>
                <w:sz w:val="20"/>
                <w:shd w:fill="FFFFFF" w:val="clear"/>
              </w:rPr>
              <w:t>Includes (i) 2,479,000 shares of “Promote Sponsor Vesting Shares” and (ii) 580,273 shares of “Sponsor Redemption-Based Vesting Shares”</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vAlign w:val="center"/>
          </w:tcPr>
          <w:p>
            <w:pPr>
              <w:pStyle w:val="TableContents"/>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All outstanding shares of Legacy Rigetti Common Stock as of immediately prior to the Closing (including Legacy Rigetti Common Stock resulting from the Legacy Rigetti Preferred Stock Conversion), were exchanged at an exchange ratio of 0.7870 (the “Exchange Ratio”). The conversion ratio to Legacy Rigetti Common Stock for the Legacy Series C Preferred Stock was one-for-one and for Legacy Series C-1 Preferred Stock was eight-for-one.</w:t>
            </w:r>
          </w:p>
        </w:tc>
      </w:tr>
    </w:tbl>
    <w:p>
      <w:pPr>
        <w:pStyle w:val="TextBody"/>
        <w:pBdr/>
        <w:bidi w:val="0"/>
        <w:spacing w:before="0" w:after="240"/>
        <w:ind w:left="0" w:right="0" w:hanging="540"/>
        <w:jc w:val="both"/>
        <w:rPr/>
      </w:pPr>
      <w:r>
        <w:rPr/>
        <w:t>​</w:t>
      </w:r>
    </w:p>
    <w:p>
      <w:pPr>
        <w:pStyle w:val="TextBody"/>
        <w:pBdr/>
        <w:bidi w:val="0"/>
        <w:spacing w:before="0" w:after="240"/>
        <w:ind w:left="0" w:right="0" w:hanging="540"/>
        <w:jc w:val="both"/>
        <w:rPr>
          <w:rFonts w:ascii="Times New Roman;Times;serif" w:hAnsi="Times New Roman;Times;serif"/>
          <w:b/>
          <w:sz w:val="20"/>
        </w:rPr>
      </w:pPr>
      <w:bookmarkStart w:id="824" w:name="Tc_EPcbo1iZP0a8sFrscZLP9Q_8_11"/>
      <w:bookmarkStart w:id="825" w:name="Tc_rgjHDWUPV0OG61LMuRT3Ew_8_8"/>
      <w:bookmarkStart w:id="826" w:name="Tc_9Ga_2DjBtEKVMeItLkIIWg_8_6"/>
      <w:bookmarkStart w:id="827" w:name="Tc_1Z8Pk0WGsESc7H7JHQSIYg_8_5"/>
      <w:bookmarkStart w:id="828" w:name="Tc_niULqpOsbU-MMJBPYwLzWg_8_2"/>
      <w:bookmarkStart w:id="829" w:name="Tc__bGZ9H8PXka4d89hDy06YA_8_0"/>
      <w:bookmarkStart w:id="830" w:name="Tc_d02KKmc03E6nvcjlvSYJJg_7_9"/>
      <w:bookmarkStart w:id="831" w:name="Tc_cN0R-XYs0kK6CqjzLg7okg_7_6"/>
      <w:bookmarkStart w:id="832" w:name="Tc_p9yw5hKDzUSR4Abxg5I29w_7_0"/>
      <w:bookmarkStart w:id="833" w:name="Tc_SHSp-CjxoUKRAYubFVRHnw_6_6"/>
      <w:bookmarkStart w:id="834" w:name="Tc_EhYBiNJbeUytAbstSD-wjA_6_0"/>
      <w:bookmarkStart w:id="835" w:name="Tc_zBwJVIA3VkGV6EBqPLUzBg_5_11"/>
      <w:bookmarkStart w:id="836" w:name="Tc_wZp0zkt0t0qJGM2WdmyCAA_5_8"/>
      <w:bookmarkStart w:id="837" w:name="Tc_WEDdcXV110-GYRvCCk0yRA_5_6"/>
      <w:bookmarkStart w:id="838" w:name="Tc_2ybFQA0bnEeIg7ASHfNk2g_5_5"/>
      <w:bookmarkStart w:id="839" w:name="Tc_HlpEpdfRWUevnCmvkG-BTQ_5_2"/>
      <w:bookmarkStart w:id="840" w:name="Tc_otLhxLP9zUKsSqO2NBy1VA_5_0"/>
      <w:bookmarkStart w:id="841" w:name="Tc_rBSbWDcu60CxD8WyU3MWpg_4_0"/>
      <w:bookmarkStart w:id="842" w:name="Tc_xOKcfZX8B0CG9uR2PF6lxg_3_11"/>
      <w:bookmarkStart w:id="843" w:name="Tc_qR1uZnE51kuWAqMMN3vYyw_3_8"/>
      <w:bookmarkStart w:id="844" w:name="Tc_yRHZxYdSTUaNsGDinJDt4A_3_5"/>
      <w:bookmarkStart w:id="845" w:name="Tc_r_e2CXT_eUGZ8STzXr3BMw_3_2"/>
      <w:bookmarkStart w:id="846" w:name="Tc_iWai2ZS9MEaIrxQ7FaaQbw_2_11"/>
      <w:bookmarkStart w:id="847" w:name="Tc_8QKQubWsOUapOxTaiNe1og_2_8"/>
      <w:bookmarkStart w:id="848" w:name="Tc_gj6TV34UVUW8qjN-Wvk6Hw_2_5"/>
      <w:bookmarkStart w:id="849" w:name="Tc_B_FImoe8j0OpXFjulJ_1HA_2_2"/>
      <w:bookmarkStart w:id="850" w:name="Tc_cczRcfzofkCnswFF6BF_rw_1_2"/>
      <w:bookmarkStart w:id="851" w:name="_6b1ddb5a_c602_4cf1_9677_93f5662f4414"/>
      <w:bookmarkStart w:id="852" w:name="Tc_sea0_VVZ9UOMyTiNS_uP0A_8_11"/>
      <w:bookmarkStart w:id="853" w:name="Tc_-VW9C0oYW0Kj8r1tiNQ1Ow_8_8"/>
      <w:bookmarkStart w:id="854" w:name="Tc_05XjXlFLCUCq6hV4n6oNww_8_5"/>
      <w:bookmarkStart w:id="855" w:name="Tc_PbEqFUqDYEaxz-tX09hE_g_8_2"/>
      <w:bookmarkStart w:id="856" w:name="Tc_o-Lb89PL6Eiju5sYfj3jJg_8_0"/>
      <w:bookmarkStart w:id="857" w:name="Tc_-Y8LQsf5OUSEqKFX_d9eXw_7_0"/>
      <w:bookmarkStart w:id="858" w:name="Tc_mZ4QOhOKeUefp-Br1mH_MQ_6_6"/>
      <w:bookmarkStart w:id="859" w:name="Tc_UHkT5rG92EmVAsqZUkD3EA_6_0"/>
      <w:bookmarkStart w:id="860" w:name="Tc_XHUYNf7uZk67iSnF2KRs8g_5_11"/>
      <w:bookmarkStart w:id="861" w:name="Tc_8glohszyxky1kfwQuvc6BA_5_9"/>
      <w:bookmarkStart w:id="862" w:name="Tc_8I9uejdqaUCxCzHH1ZMEQg_5_8"/>
      <w:bookmarkStart w:id="863" w:name="Tc_fF37Qj_aXUKWdQyIuoNgmQ_5_5"/>
      <w:bookmarkStart w:id="864" w:name="Tc_rlNRUyKJYku1am5qmmM8ig_5_2"/>
      <w:bookmarkStart w:id="865" w:name="Tc_dApRsbgyYEC4Fk5WxMrAdQ_5_0"/>
      <w:bookmarkStart w:id="866" w:name="Tc_7PG9oRM9WkGeiCX79OwyTA_4_0"/>
      <w:bookmarkStart w:id="867" w:name="Tc__dKjQ0RAlEWVt7Qx5JNimg_3_11"/>
      <w:bookmarkStart w:id="868" w:name="Tc_udADPwLvWEKjxmzWV9o8GA_3_8"/>
      <w:bookmarkStart w:id="869" w:name="Tc_-ZZ_zREKm0-HOvVg_kqXbw_3_5"/>
      <w:bookmarkStart w:id="870" w:name="Tc_vOfXc9_4E0-kK0KOcCcGHA_3_2"/>
      <w:bookmarkStart w:id="871" w:name="Tc_8mcbRp6zd0Sa4nV4afJvoQ_2_11"/>
      <w:bookmarkStart w:id="872" w:name="Tc_cEmsewnAZkqmNSvFTpiGYA_2_8"/>
      <w:bookmarkStart w:id="873" w:name="Tc_1r0TYm_Jk0qx930POJ5ZQA_2_5"/>
      <w:bookmarkStart w:id="874" w:name="Tc_KosjWooqPky-9B5wUKQyCA_2_2"/>
      <w:bookmarkStart w:id="875" w:name="Tc_QkM5BLLTAEqliCrq6LLGwA_1_2"/>
      <w:bookmarkStart w:id="876" w:name="_55889cd7_0ad7_45f0_b58a_df85feb0fa5c"/>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Times New Roman;Times;serif" w:hAnsi="Times New Roman;Times;serif"/>
          <w:b/>
          <w:sz w:val="20"/>
        </w:rPr>
        <w:t>(4) Investments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All investments in fixed income securities are classified as available-for-sale in the consolidated balance sheets. Fixed income securities are recorded at their estimated fair value. The amortized cost, gross unrealized holding gains and losses included in other comprehensive income (loss) and the fair value of the fixed income securities at December 31, 2023 and December 31, 2022, respectively, are presented in the tables below (in thousands):</w:t>
      </w:r>
    </w:p>
    <w:p>
      <w:pPr>
        <w:pStyle w:val="TextBody"/>
        <w:bidi w:val="0"/>
        <w:spacing w:before="0" w:after="240"/>
        <w:ind w:left="0" w:right="0" w:firstLine="540"/>
        <w:jc w:val="both"/>
        <w:rPr/>
      </w:pPr>
      <w:r>
        <w:rPr/>
        <w:t>​</w:t>
      </w:r>
    </w:p>
    <w:tbl>
      <w:tblPr>
        <w:tblW w:w="8583" w:type="dxa"/>
        <w:jc w:val="left"/>
        <w:tblInd w:w="0" w:type="dxa"/>
        <w:tblLayout w:type="fixed"/>
        <w:tblCellMar>
          <w:top w:w="0" w:type="dxa"/>
          <w:left w:w="0" w:type="dxa"/>
          <w:bottom w:w="0" w:type="dxa"/>
          <w:right w:w="0" w:type="dxa"/>
        </w:tblCellMar>
      </w:tblPr>
      <w:tblGrid>
        <w:gridCol w:w="3616"/>
        <w:gridCol w:w="326"/>
        <w:gridCol w:w="211"/>
        <w:gridCol w:w="676"/>
        <w:gridCol w:w="326"/>
        <w:gridCol w:w="335"/>
        <w:gridCol w:w="551"/>
        <w:gridCol w:w="326"/>
        <w:gridCol w:w="318"/>
        <w:gridCol w:w="568"/>
        <w:gridCol w:w="326"/>
        <w:gridCol w:w="211"/>
        <w:gridCol w:w="793"/>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9260" cy="175260"/>
                      <wp:effectExtent l="0" t="0" r="0" b="0"/>
                      <wp:wrapNone/>
                      <wp:docPr id="84" name="Frame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2725" cy="175260"/>
                      <wp:effectExtent l="0" t="0" r="0" b="0"/>
                      <wp:wrapNone/>
                      <wp:docPr id="86" name="Frame8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49885" cy="175260"/>
                      <wp:effectExtent l="0" t="0" r="0" b="0"/>
                      <wp:wrapNone/>
                      <wp:docPr id="87" name="Frame84"/>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1930" cy="175260"/>
                      <wp:effectExtent l="0" t="0" r="0" b="0"/>
                      <wp:wrapNone/>
                      <wp:docPr id="89" name="Frame8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0680" cy="175260"/>
                      <wp:effectExtent l="0" t="0" r="0" b="0"/>
                      <wp:wrapNone/>
                      <wp:docPr id="90" name="Frame87"/>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3555" cy="175260"/>
                      <wp:effectExtent l="0" t="0" r="0" b="0"/>
                      <wp:wrapNone/>
                      <wp:docPr id="93" name="Frame9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45,252</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7,933</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7,927</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25,341</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78,526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78,537</w:t>
            </w:r>
          </w:p>
        </w:tc>
      </w:tr>
    </w:tbl>
    <w:p>
      <w:pPr>
        <w:pStyle w:val="TextBody"/>
        <w:bidi w:val="0"/>
        <w:spacing w:before="0" w:after="0"/>
        <w:ind w:left="0" w:right="0" w:hanging="0"/>
        <w:jc w:val="both"/>
        <w:rPr/>
      </w:pPr>
      <w:r>
        <w:rPr/>
        <w:t>​</w:t>
      </w:r>
    </w:p>
    <w:tbl>
      <w:tblPr>
        <w:tblW w:w="8583" w:type="dxa"/>
        <w:jc w:val="left"/>
        <w:tblInd w:w="0" w:type="dxa"/>
        <w:tblLayout w:type="fixed"/>
        <w:tblCellMar>
          <w:top w:w="0" w:type="dxa"/>
          <w:left w:w="0" w:type="dxa"/>
          <w:bottom w:w="0" w:type="dxa"/>
          <w:right w:w="0" w:type="dxa"/>
        </w:tblCellMar>
      </w:tblPr>
      <w:tblGrid>
        <w:gridCol w:w="3616"/>
        <w:gridCol w:w="326"/>
        <w:gridCol w:w="211"/>
        <w:gridCol w:w="676"/>
        <w:gridCol w:w="326"/>
        <w:gridCol w:w="335"/>
        <w:gridCol w:w="551"/>
        <w:gridCol w:w="326"/>
        <w:gridCol w:w="270"/>
        <w:gridCol w:w="616"/>
        <w:gridCol w:w="326"/>
        <w:gridCol w:w="211"/>
        <w:gridCol w:w="793"/>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96" name="Frame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2725" cy="175260"/>
                      <wp:effectExtent l="0" t="0" r="0" b="0"/>
                      <wp:wrapNone/>
                      <wp:docPr id="98" name="Frame9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49885" cy="175260"/>
                      <wp:effectExtent l="0" t="0" r="0" b="0"/>
                      <wp:wrapNone/>
                      <wp:docPr id="99" name="Frame9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71450" cy="175260"/>
                      <wp:effectExtent l="0" t="0" r="0" b="0"/>
                      <wp:wrapNone/>
                      <wp:docPr id="101" name="Frame9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91160" cy="175260"/>
                      <wp:effectExtent l="0" t="0" r="0" b="0"/>
                      <wp:wrapNone/>
                      <wp:docPr id="102" name="Frame9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03555" cy="175260"/>
                      <wp:effectExtent l="0" t="0" r="0" b="0"/>
                      <wp:wrapNone/>
                      <wp:docPr id="105" name="Frame10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58,514</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85,237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84,923</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invests in highly rated investment grade debt securities. All of the Company’s available-for-sale securities have final maturities of one year or less.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December 31, 2023 or December 31, 2022,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additionally evaluates whether the decline in fair value of the securities below their amortized cost basis is related to credit losses or other factors. Based on this evaluation, the Company determined that the unrealized losses for its available-for-sale securities were primarily attributable to changes in interest rates and non-credit-related factors. Accordingly, the Company determined that none of the unrealized losses were other-than-temporary, and that recognition of an impairment charge was not required as of December 31, 2023 or December 31, 2022, respectively. As of December 31, 2023, there were 8 securities that were in an unrealized loss position with a market value of $28 million, with the largest loss for any single security being inconsequential. None of the Company’s available-for-sale securities have been in an unrealized loss position for more than one year. No available-for-sale securities were sold during the years ended December 31, 2023 or December 31, 2022, respectively.</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5 for additional information regarding the fair value of the Company’s investments.</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sz w:val="20"/>
        </w:rPr>
      </w:pPr>
      <w:bookmarkStart w:id="877" w:name="Tc_kckINuKtp0yNM9Cs_SAKng_16_8"/>
      <w:bookmarkStart w:id="878" w:name="Tc_G1bkm9jEokm3DPH-iyryUA_16_6"/>
      <w:bookmarkStart w:id="879" w:name="Tc_HmunSLarbEK4H8ijX2-CSA_16_5"/>
      <w:bookmarkStart w:id="880" w:name="Tc_3cywyUmPdE-N3gvi8tIVuQ_16_2"/>
      <w:bookmarkStart w:id="881" w:name="Tc_Q6z8ykyOskGRd6PH9Vj6Og_16_0"/>
      <w:bookmarkStart w:id="882" w:name="Tc_JnHnYz3VX0WOwTToi56vqQ_15_6"/>
      <w:bookmarkStart w:id="883" w:name="Tc_ifMHMmrnt0mHmc_oF9rR5w_15_3"/>
      <w:bookmarkStart w:id="884" w:name="Tc_5GMRJV-3o0OSQrl7lhWw-Q_15_0"/>
      <w:bookmarkStart w:id="885" w:name="Tc_Yxi4x2JjeEei4e2CwDjwaQ_14_6"/>
      <w:bookmarkStart w:id="886" w:name="Tc_V5t7-Pk8502dYO5m5NvpPA_14_3"/>
      <w:bookmarkStart w:id="887" w:name="Tc_g7ZXBgaCTU6qvgWStF1uNw_14_0"/>
      <w:bookmarkStart w:id="888" w:name="Tc_wBGXZR0uEUKdChihqXtdbg_13_9"/>
      <w:bookmarkStart w:id="889" w:name="Tc__bOKgTO0pUCQWSV5fXxQ8g_13_8"/>
      <w:bookmarkStart w:id="890" w:name="Tc_yGpN4DvZ1EyRMHF6Gb80jA_13_6"/>
      <w:bookmarkStart w:id="891" w:name="Tc_-7PrB19unEmVnwkFFL8l-g_13_5"/>
      <w:bookmarkStart w:id="892" w:name="Tc_btFjmbiF50uMU4vcOaULiA_13_2"/>
      <w:bookmarkStart w:id="893" w:name="Tc_4gnRo-DRSEKcc0la1hIeGw_13_0"/>
      <w:bookmarkStart w:id="894" w:name="Tc_GOq43PlMhE-dKUEGIybXGw_12_0"/>
      <w:bookmarkStart w:id="895" w:name="Tc_wVqSDojlqk-qjjBM7JhwTw_11_8"/>
      <w:bookmarkStart w:id="896" w:name="Tc_BTP4GC_LVU-d2ABIP-NtxA_11_5"/>
      <w:bookmarkStart w:id="897" w:name="Tc_3Q4rlO0NrE26Ct1EnyMSpA_11_2"/>
      <w:bookmarkStart w:id="898" w:name="Tc_jFyxx82pcUi0bSKMXVg1UQ_11_0"/>
      <w:bookmarkStart w:id="899" w:name="Tc_KayqOgn6fEqvi7jNSX6FaQ_10_6"/>
      <w:bookmarkStart w:id="900" w:name="Tc_Uortbx5mi0qkDSD_nzNKWw_10_3"/>
      <w:bookmarkStart w:id="901" w:name="Tc_FKG7pQPaWUauzIgOaeByIQ_10_0"/>
      <w:bookmarkStart w:id="902" w:name="Tc_OBdJSEGZI06PPiZ2oPlyCw_9_9"/>
      <w:bookmarkStart w:id="903" w:name="Tc_rRHUy_3Sx06Hj1QdHJBCXg_9_3"/>
      <w:bookmarkStart w:id="904" w:name="Tc_42D_QSCoLECmRFXQKVKmWg_9_0"/>
      <w:bookmarkStart w:id="905" w:name="Tc_DHO_1FcAGUSY0I67GNxPDQ_8_9"/>
      <w:bookmarkStart w:id="906" w:name="Tc_w6MnMPyJgE-p7EMiGhDDVQ_8_3"/>
      <w:bookmarkStart w:id="907" w:name="Tc_8MkJSm0uI0it-ovVIwfaJQ_8_0"/>
      <w:bookmarkStart w:id="908" w:name="Tc_3dzrZJcD5km2NsBaDo5j8Q_7_9"/>
      <w:bookmarkStart w:id="909" w:name="Tc_RIXwxZeoyUqflll71nRy9w_7_6"/>
      <w:bookmarkStart w:id="910" w:name="Tc_v4Gl6Md6sUmEu1Fc7C757A_7_0"/>
      <w:bookmarkStart w:id="911" w:name="Tc_2W2suYVbekWeD3I067m8HA_6_0"/>
      <w:bookmarkStart w:id="912" w:name="Tc_-5paRvF1ZkK9ULtYl6zBEw_5_9"/>
      <w:bookmarkStart w:id="913" w:name="Tc_hsNo86az4E2CyH_ob7hkBA_5_8"/>
      <w:bookmarkStart w:id="914" w:name="Tc_0YBmZh6us0WvvbcLmm-cJA_5_6"/>
      <w:bookmarkStart w:id="915" w:name="Tc_wde3GDzFrkC0-EzI8gtxmQ_5_5"/>
      <w:bookmarkStart w:id="916" w:name="Tc_nZJnvN3LiUqiOYf0KCFxhg_5_2"/>
      <w:bookmarkStart w:id="917" w:name="Tc_LxV9wMATM0iFFeTQukyx2w_5_0"/>
      <w:bookmarkStart w:id="918" w:name="Tc_1IoZTgT_T0GL40QFZ3Yxqg_4_0"/>
      <w:bookmarkStart w:id="919" w:name="Tc_3x2HSWTSd06HSImez6Zjzg_3_0"/>
      <w:bookmarkStart w:id="920" w:name="Tc__bAay2WW-06VYJUJVI9GNg_2_8"/>
      <w:bookmarkStart w:id="921" w:name="Tc_ppx7js_vs06dZzuNEs46AA_2_5"/>
      <w:bookmarkStart w:id="922" w:name="Tc_Wu270bgEHU-ngl-u-8hHAw_2_2"/>
      <w:bookmarkStart w:id="923" w:name="Tc_cmdzZNln5k2Uzd0VZKLPiQ_1_2"/>
      <w:bookmarkStart w:id="924" w:name="_89dd92a5_97e2_4b71_a1d5_44d9ef7eb5aa"/>
      <w:bookmarkStart w:id="925" w:name="Tc_yDnklF5US0mJfFr4bXZM6Q_15_8"/>
      <w:bookmarkStart w:id="926" w:name="Tc_WTK9BKIFsUGlTdfq7zYpcQ_15_6"/>
      <w:bookmarkStart w:id="927" w:name="Tc_qJxBwTNBg0qc_SVBJ2TADg_15_5"/>
      <w:bookmarkStart w:id="928" w:name="Tc_UOUGv48acEKjRoppcrYLOg_15_2"/>
      <w:bookmarkStart w:id="929" w:name="Tc_5-ABk8T9yEKFHHATPlCENw_15_0"/>
      <w:bookmarkStart w:id="930" w:name="Tc_GyVx0wsQUU6eKHqR-050sg_14_6"/>
      <w:bookmarkStart w:id="931" w:name="Tc_bhAiAl3ImkiUkcbSlVqD1A_14_3"/>
      <w:bookmarkStart w:id="932" w:name="Tc__yk4V2nsZ0amlE_dXXqTeA_14_0"/>
      <w:bookmarkStart w:id="933" w:name="Tc_mDx9WKNookuSuJk7bRLt4Q_13_6"/>
      <w:bookmarkStart w:id="934" w:name="Tc_PYef1OhbZ0Kfv33q1MF_IQ_13_3"/>
      <w:bookmarkStart w:id="935" w:name="Tc_ofquB4D0v061_arE8jgSNg_13_0"/>
      <w:bookmarkStart w:id="936" w:name="Tc_s9spIfeCMUSh9if6_xRyRw_12_9"/>
      <w:bookmarkStart w:id="937" w:name="Tc_nCMvtf2yoEiLoO2LEWU-vQ_12_8"/>
      <w:bookmarkStart w:id="938" w:name="Tc_uY-JGusOUEiJzJmjbPZIXA_12_6"/>
      <w:bookmarkStart w:id="939" w:name="Tc_mUark21QKE63RdRe3pR_gw_12_5"/>
      <w:bookmarkStart w:id="940" w:name="Tc_64c_5Ezc2Ey14yJtn4Vyuw_12_2"/>
      <w:bookmarkStart w:id="941" w:name="Tc_vrnzHsFHTkqaUiAOjd6inA_12_0"/>
      <w:bookmarkStart w:id="942" w:name="Tc_vNgPXdf7PkmM3MyoajggJA_11_0"/>
      <w:bookmarkStart w:id="943" w:name="Tc_V1NWilfSvESmEBEX0x6lQA_10_9"/>
      <w:bookmarkStart w:id="944" w:name="Tc_3teOm-g1EkCi9750WHGbTQ_10_8"/>
      <w:bookmarkStart w:id="945" w:name="Tc_Fa8RGface0CKkaq4EDviKw_10_5"/>
      <w:bookmarkStart w:id="946" w:name="Tc_gvNrgbrx-0i8chHTEYYSpg_10_2"/>
      <w:bookmarkStart w:id="947" w:name="Tc_u1VnocUjdkCKKY_SX66zFQ_10_0"/>
      <w:bookmarkStart w:id="948" w:name="Tc_kDz_mINekkaOfyyETdCq7g_9_9"/>
      <w:bookmarkStart w:id="949" w:name="Tc_sTgteZCUs0mI9YyQ4EZmuA_9_6"/>
      <w:bookmarkStart w:id="950" w:name="Tc_AdeZJ8r0rka1lM1EVwPPfQ_9_0"/>
      <w:bookmarkStart w:id="951" w:name="Tc_UOXLyf0u8Eq28Bq__7oP6Q_8_9"/>
      <w:bookmarkStart w:id="952" w:name="Tc_b4jUs3-_5kq88_P4f8tfCQ_8_3"/>
      <w:bookmarkStart w:id="953" w:name="Tc_LcJ3K29G4kyg5gNxvdt_dQ_8_0"/>
      <w:bookmarkStart w:id="954" w:name="Tc_E0bmri0q3EuVpHsQS7-kKA_7_9"/>
      <w:bookmarkStart w:id="955" w:name="Tc_-E6PTlB1NkqaZsNYByOjZg_7_3"/>
      <w:bookmarkStart w:id="956" w:name="Tc_1ygmsLWG1U6Sv7aOMJKulA_7_0"/>
      <w:bookmarkStart w:id="957" w:name="Tc_tQURTRLpbE2E6lpFuC_W-A_6_0"/>
      <w:bookmarkStart w:id="958" w:name="Tc_MtO9plzJA0G2-P-J7FsPLA_5_9"/>
      <w:bookmarkStart w:id="959" w:name="Tc_50lk-KN-6k2C4pVONrGVVA_5_8"/>
      <w:bookmarkStart w:id="960" w:name="Tc_jMk_HuaemkSimkCgayeIFg_5_6"/>
      <w:bookmarkStart w:id="961" w:name="Tc_eMuIPxQL6k2Kk2yuZDljzg_5_5"/>
      <w:bookmarkStart w:id="962" w:name="Tc_6l7kjIul90u1RYEgr8VMJA_5_2"/>
      <w:bookmarkStart w:id="963" w:name="Tc_7fZQck3_6ECSS89ShfH3UQ_5_0"/>
      <w:bookmarkStart w:id="964" w:name="Tc_84g3X9i_GkqLR-2FcgINEw_4_0"/>
      <w:bookmarkStart w:id="965" w:name="Tc_de75hnctpkym1nfr-Kc5fg_3_0"/>
      <w:bookmarkStart w:id="966" w:name="Tc_YedVKFb5r0qKcNrqozAs1A_2_8"/>
      <w:bookmarkStart w:id="967" w:name="Tc_i5s37CfOVUif7W9yUs_TuQ_2_5"/>
      <w:bookmarkStart w:id="968" w:name="Tc_URyECIr96US3AMUh_jstFw_2_2"/>
      <w:bookmarkStart w:id="969" w:name="Tc_xtQ1-MGRN0Opfge814clnQ_1_2"/>
      <w:bookmarkStart w:id="970" w:name="_be4e4021_2632_4f79_aaf7_6cd65893e1c2"/>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r>
        <w:rPr>
          <w:rFonts w:ascii="Times New Roman;Times;serif" w:hAnsi="Times New Roman;Times;serif"/>
          <w:b/>
          <w:sz w:val="20"/>
        </w:rPr>
        <w:t>(5) Fair Value Measurements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that are measured as of December 31, 2023 and December 31, 2022, respectively (in thousands):</w:t>
      </w:r>
    </w:p>
    <w:tbl>
      <w:tblPr>
        <w:tblW w:w="7495"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676"/>
        <w:gridCol w:w="326"/>
        <w:gridCol w:w="211"/>
        <w:gridCol w:w="676"/>
      </w:tblGrid>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8" name="Frame1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9260" cy="175260"/>
                      <wp:effectExtent l="0" t="0" r="0" b="0"/>
                      <wp:wrapNone/>
                      <wp:docPr id="111" name="Frame1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14" name="Frame1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3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3,759</w:t>
            </w:r>
          </w:p>
        </w:tc>
      </w:tr>
    </w:tbl>
    <w:p>
      <w:pPr>
        <w:pStyle w:val="TextBody"/>
        <w:bidi w:val="0"/>
        <w:spacing w:before="0" w:after="240"/>
        <w:ind w:left="0" w:right="0" w:hanging="0"/>
        <w:jc w:val="both"/>
        <w:rPr/>
      </w:pPr>
      <w:r>
        <w:rPr/>
        <w:t>​</w:t>
      </w:r>
    </w:p>
    <w:tbl>
      <w:tblPr>
        <w:tblW w:w="7495"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676"/>
        <w:gridCol w:w="326"/>
        <w:gridCol w:w="211"/>
        <w:gridCol w:w="676"/>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9260" cy="175260"/>
                      <wp:effectExtent l="0" t="0" r="0" b="0"/>
                      <wp:wrapNone/>
                      <wp:docPr id="117" name="Frame1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20" name="Frame1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29260" cy="175260"/>
                      <wp:effectExtent l="0" t="0" r="0" b="0"/>
                      <wp:wrapNone/>
                      <wp:docPr id="123"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Warrant Agreement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2,274</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of December 31, 2023 and December 31, 2022, respectively, the Company has recorded the following financial instruments subject to fair value measurements: 1) Derivative warrant liabilities—Public Warrants and Private Warrants, 2) Forward Warrant Agreement, 3) Available-for-sale securities and 4) Earnout liabilities.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971" w:name="Tc_nplxd09x4kOkscalmG_GoQ_13_11"/>
      <w:bookmarkStart w:id="972" w:name="Tc_AyZZcd-Ji0yZkY3B6VBWFA_13_8"/>
      <w:bookmarkStart w:id="973" w:name="Tc_yTlfK6jdNUqh6oh0CL00LQ_13_5"/>
      <w:bookmarkStart w:id="974" w:name="Tc_0kjy9ToM10y7oAcEYj2Vvw_13_3"/>
      <w:bookmarkStart w:id="975" w:name="Tc_8uOD95Uc5EuOOzREDvoQ4Q_13_2"/>
      <w:bookmarkStart w:id="976" w:name="Tc_udWjWbt99EaqtVqslmollQ_13_0"/>
      <w:bookmarkStart w:id="977" w:name="Tc_4r8OxZf7MEeutLGckD9ifw_12_12"/>
      <w:bookmarkStart w:id="978" w:name="Tc_6z-5qo5iT02WJ0DJF7tRfA_12_6"/>
      <w:bookmarkStart w:id="979" w:name="Tc_xLZylWnhIECAa_XVkIZLfw_12_0"/>
      <w:bookmarkStart w:id="980" w:name="Tc_0azZ0xZLIEa3XpuG8dl9AA_11_0"/>
      <w:bookmarkStart w:id="981" w:name="Tc_iQ4KyvbHNkyg4TM4bDUFrQ_10_9"/>
      <w:bookmarkStart w:id="982" w:name="Tc_4xy6P8AdmUeUyWE_r1ktSw_10_3"/>
      <w:bookmarkStart w:id="983" w:name="Tc_gDITVM6OG0mKnocFrZa22A_10_0"/>
      <w:bookmarkStart w:id="984" w:name="Tc_nAeCMsF2jUCrZQopBA4adA_9_12"/>
      <w:bookmarkStart w:id="985" w:name="Tc_xyW8X5CuEkaNPQ_yFq-GRA_9_11"/>
      <w:bookmarkStart w:id="986" w:name="Tc_jYaSBW-FiEa3xCzR2ayHRA_9_8"/>
      <w:bookmarkStart w:id="987" w:name="Tc_7TYSl91hgEaS38LGoGI6wA_9_6"/>
      <w:bookmarkStart w:id="988" w:name="Tc_lCBeTqbn-kKpuP81HcGMhA_9_5"/>
      <w:bookmarkStart w:id="989" w:name="Tc_ThIKIBBOqEO75U0_Vv7Y2w_9_2"/>
      <w:bookmarkStart w:id="990" w:name="Tc_9Dwmpc49bEWdKdws5I4tXQ_9_0"/>
      <w:bookmarkStart w:id="991" w:name="Tc_4tmjo-qkD0Gucudz12fdPA_7_11"/>
      <w:bookmarkStart w:id="992" w:name="Tc_CM525B0PPki5HJ70nBQvKQ_7_9"/>
      <w:bookmarkStart w:id="993" w:name="Tc_yQdGw3Zhv0qKaB_04Wfv6w_7_8"/>
      <w:bookmarkStart w:id="994" w:name="Tc__Vmr6XLUHk6YNjsRysbcXg_7_5"/>
      <w:bookmarkStart w:id="995" w:name="Tc_fHDzGHvadk2X_611EppdiA_7_3"/>
      <w:bookmarkStart w:id="996" w:name="Tc_KYAK1q_HLEiriuvr8oSLJQ_7_2"/>
      <w:bookmarkStart w:id="997" w:name="Tc_OcJf4Bzn1UmJNuBLRpR6Vg_7_0"/>
      <w:bookmarkStart w:id="998" w:name="Tc_ur6XbjAegUKULuX1WQY67A_6_12"/>
      <w:bookmarkStart w:id="999" w:name="Tc_UOXRwbxL50Wh03ZB0u8wYw_6_9"/>
      <w:bookmarkStart w:id="1000" w:name="Tc_nC8Armf2CUGsQFOHsUmeSA_6_3"/>
      <w:bookmarkStart w:id="1001" w:name="Tc_esi_OI2TfkmUiWiusYjvmQ_6_0"/>
      <w:bookmarkStart w:id="1002" w:name="Tc_fkiJryFdHUm6nm8EAw0dQQ_5_3"/>
      <w:bookmarkStart w:id="1003" w:name="Tc_L9_xihzcvk2agwJqsJtB8A_5_0"/>
      <w:bookmarkStart w:id="1004" w:name="Tc_ZvXyqLc5aE6vc_djGl_Z8Q_4_11"/>
      <w:bookmarkStart w:id="1005" w:name="Tc_qrl6qP-p4USvRx44k0N2lA_4_8"/>
      <w:bookmarkStart w:id="1006" w:name="Tc_TzfjEDZhqUGE5IJ9VNDzXg_4_5"/>
      <w:bookmarkStart w:id="1007" w:name="Tc_AgXryqeuSEyNrictxWCnjQ_4_3"/>
      <w:bookmarkStart w:id="1008" w:name="Tc_M6o5E0UiY0O_PcWVerFnmA_4_2"/>
      <w:bookmarkStart w:id="1009" w:name="Tc_oVl2y83540u9weI49-dpxg_4_0"/>
      <w:bookmarkStart w:id="1010" w:name="Tc_i9HwE6v8wEOAmvujDTUk2A_3_11"/>
      <w:bookmarkStart w:id="1011" w:name="Tc_jnF2MvNI_0WAOsC28pFH4Q_3_8"/>
      <w:bookmarkStart w:id="1012" w:name="Tc_YuLIbNa4vkCJ3UeB__iCBw_3_5"/>
      <w:bookmarkStart w:id="1013" w:name="Tc_9cbZ1mARqkWef7-pirxkMA_3_2"/>
      <w:bookmarkStart w:id="1014" w:name="Tc_OJDIKYpUuUiISZ144azaiA_2_11"/>
      <w:bookmarkStart w:id="1015" w:name="Tc_NlEV6F0jWECjoJyIxRYNMg_2_8"/>
      <w:bookmarkStart w:id="1016" w:name="Tc_hEVMoJAEwUK27EZcZNylnw_2_5"/>
      <w:bookmarkStart w:id="1017" w:name="Tc_C5QjP-4do0GeK6e1WVgHVQ_2_2"/>
      <w:bookmarkStart w:id="1018" w:name="Tc_Rj2mnmUQ10Oa9XH7YCTJqw_1_8"/>
      <w:bookmarkStart w:id="1019" w:name="Tc_Qhqj5euc-Uu6DBZh6HL8Kg_1_5"/>
      <w:bookmarkStart w:id="1020" w:name="Tc_Aulcw4Z8OkCxv2vgYggvtQ_1_2"/>
      <w:bookmarkStart w:id="1021" w:name="_a8fac5ee_f896_473a_9850_7a2a0832b01a"/>
      <w:bookmarkStart w:id="1022" w:name="_bca7c828_9589_4472_acb0_45bd3261b910_3"/>
      <w:bookmarkStart w:id="1023" w:name="_bca7c828_9589_4472_acb0_45bd3261b910_2"/>
      <w:bookmarkStart w:id="1024" w:name="_bca7c828_9589_4472_acb0_45bd3261b910"/>
      <w:bookmarkStart w:id="1025" w:name="_57f5c0e2_5b9e_492c_93fc_189c6065f893_3"/>
      <w:bookmarkStart w:id="1026" w:name="_57f5c0e2_5b9e_492c_93fc_189c6065f893_2"/>
      <w:bookmarkStart w:id="1027" w:name="_57f5c0e2_5b9e_492c_93fc_189c6065f893"/>
      <w:bookmarkStart w:id="1028" w:name="_8a4f23bc_0e55_4483_98f7_84953023e88c_3"/>
      <w:bookmarkStart w:id="1029" w:name="_8a4f23bc_0e55_4483_98f7_84953023e88c_2"/>
      <w:bookmarkStart w:id="1030" w:name="_8a4f23bc_0e55_4483_98f7_84953023e88c"/>
      <w:bookmarkStart w:id="1031" w:name="_52a0d78b_501e_4f93_9950_6ab6f667705f_3"/>
      <w:bookmarkStart w:id="1032" w:name="_52a0d78b_501e_4f93_9950_6ab6f667705f_2"/>
      <w:bookmarkStart w:id="1033" w:name="_52a0d78b_501e_4f93_9950_6ab6f667705f"/>
      <w:bookmarkStart w:id="1034" w:name="_a3fb304c_012a_49fd_b9ed_d0bdf398658b_3"/>
      <w:bookmarkStart w:id="1035" w:name="_a3fb304c_012a_49fd_b9ed_d0bdf398658b_2"/>
      <w:bookmarkStart w:id="1036" w:name="_a3fb304c_012a_49fd_b9ed_d0bdf398658b"/>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ascii="Times New Roman;Times;serif" w:hAnsi="Times New Roman;Times;serif"/>
          <w:sz w:val="20"/>
        </w:rPr>
        <w:t>The Company also has long-term debt and a line of credit that provides for variable interest, and therefore, the carrying value approximates the fair value. The carrying values of the long-term debt and line of credit as of December 31, 2023 and December 31, 2022, respectively, represent the original principal amounts borrowed, accretion of final payment fees, less principal payments and unamortized debt issuance costs.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fair value of the Public Warrants has been measured based on the observable listed prices for such warrants, a Level 1 measurement. Long-term debt and a line of credit issued by the Company are classified within Level 2. The fair value of the Company’s Level 2 financial assets are determined by using inputs based on quoted market prices for similar instruments. The carrying value of the long-term debt and line of credit approximates its fair value given their maturity and variable interest rates.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All other financial instruments are classified as Level 3 instruments as they all include unobservable inputs. The Private Warrants were initially measured at fair value using a Black Scholes model. As of December 31, 2022, the Company estimated the fair value of the Forward Warrant Agreement using a forward analysis with unobservable inputs which included selected risk-free rate and probability outcomes. The Forward Warrant Agreement had no value as of December 31, 2023 because Ampere’s obligation to make the additional payment under the Forward Warrant Agreement expired in October 2023 without taking effect. The fair value of the Earn-out liabilities is estimated using a Monte Carlo simulation model. As of December 31, 2021, the Company recorded a derivative warrant liability for the Trinity Warrants (as defined below) at fair value using a Black-Scholes option model with unobservable inputs including volatility. The Company estimates the volatility of its ordinary share warrants based on implied volatility from the Company’s publicly traded warrants and from historical volatility of select peer company’s ordinary shares that matches the expected remaining life of the warrants. On June 2, 2022, all outstanding Trinity Warrants were exercised into shares of the Company’s Common Stock. The Company has further described the key aspects of the fair value measurements described above in Notes 6, 11 and 12 to the consolidated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year ended December 31, 2023, the Company reduced the estimated probability of occurrence for the Forward Warrant Agreement from 50% to 0% because Ampere’s obligation to make the additional payment under the Forward Warrant Agreement expired in October 2023 without taking effect. There were no other changes in fair value measurement techniques during the years ended December 31, 2023 or December 31, 2022. There were no transfers in or out of Level 3 of the fair value hierarchy during the years ended December 31, 2023 or December 31, 2022, except that during the year ended December 31, 2023, the derivative liability for 1,177,166 warrants was transferred from Level 3 to Level 1 of the fair value hierarchy because the warrants were converted from Private Warrants to Public Warrants. The transfer had a $0.5 million favorable impact on the Company’s net loss. Current estimates of fair value may differ from the amounts presented.</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during the years ended December 31, 2023, and December 31, 2022, respectively, is as follows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152"/>
        <w:gridCol w:w="326"/>
        <w:gridCol w:w="341"/>
        <w:gridCol w:w="1070"/>
        <w:gridCol w:w="326"/>
        <w:gridCol w:w="341"/>
        <w:gridCol w:w="1070"/>
        <w:gridCol w:w="326"/>
        <w:gridCol w:w="211"/>
        <w:gridCol w:w="690"/>
        <w:gridCol w:w="326"/>
        <w:gridCol w:w="211"/>
        <w:gridCol w:w="815"/>
      </w:tblGrid>
      <w:tr>
        <w:trPr/>
        <w:tc>
          <w:tcPr>
            <w:tcW w:w="4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6535" cy="175260"/>
                      <wp:effectExtent l="0" t="0" r="0" b="0"/>
                      <wp:wrapNone/>
                      <wp:docPr id="125" name="Frame122"/>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79450" cy="175260"/>
                      <wp:effectExtent l="0" t="0" r="0" b="0"/>
                      <wp:wrapNone/>
                      <wp:docPr id="126" name="Frame123"/>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6535" cy="175260"/>
                      <wp:effectExtent l="0" t="0" r="0" b="0"/>
                      <wp:wrapNone/>
                      <wp:docPr id="128" name="Frame125"/>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79450" cy="175260"/>
                      <wp:effectExtent l="0" t="0" r="0" b="0"/>
                      <wp:wrapNone/>
                      <wp:docPr id="129" name="Frame126"/>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38150" cy="175260"/>
                      <wp:effectExtent l="0" t="0" r="0" b="0"/>
                      <wp:wrapNone/>
                      <wp:docPr id="132" name="Frame129"/>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17525" cy="175260"/>
                      <wp:effectExtent l="0" t="0" r="0" b="0"/>
                      <wp:wrapNone/>
                      <wp:docPr id="135" name="Frame132"/>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1"/>
              <w:ind w:left="0" w:right="0" w:hanging="0"/>
              <w:jc w:val="left"/>
              <w:rPr/>
            </w:pPr>
            <w:r>
              <w:rPr/>
              <w:t>    </w:t>
            </w:r>
          </w:p>
        </w:tc>
        <w:tc>
          <w:tcPr>
            <w:tcW w:w="14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Forward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center"/>
              <w:rPr/>
            </w:pPr>
            <w:r>
              <w:rPr/>
              <w:t>​</w:t>
            </w:r>
          </w:p>
        </w:tc>
      </w:tr>
      <w:tr>
        <w:trPr/>
        <w:tc>
          <w:tcPr>
            <w:tcW w:w="4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1"/>
              <w:ind w:left="0" w:right="0" w:hanging="0"/>
              <w:jc w:val="left"/>
              <w:rPr/>
            </w:pPr>
            <w:r>
              <w:rPr/>
              <w:t>​</w:t>
            </w:r>
          </w:p>
        </w:tc>
        <w:tc>
          <w:tcPr>
            <w:tcW w:w="14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1"/>
              <w:ind w:left="0" w:right="0" w:hanging="0"/>
              <w:jc w:val="left"/>
              <w:rPr/>
            </w:pPr>
            <w:r>
              <w:rPr/>
              <w:t>​</w:t>
            </w:r>
          </w:p>
        </w:tc>
        <w:tc>
          <w:tcPr>
            <w:tcW w:w="10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4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Trinity Warrants</w:t>
            </w:r>
          </w:p>
        </w:tc>
        <w:tc>
          <w:tcPr>
            <w:tcW w:w="326" w:type="dxa"/>
            <w:tcBorders/>
            <w:vAlign w:val="center"/>
          </w:tcPr>
          <w:p>
            <w:pPr>
              <w:pStyle w:val="TableContents"/>
              <w:bidi w:val="0"/>
              <w:spacing w:before="0" w:after="1"/>
              <w:ind w:left="0" w:right="0" w:hanging="0"/>
              <w:jc w:val="left"/>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1"/>
              <w:ind w:left="0" w:right="0" w:hanging="0"/>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4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4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during the year</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w:t>
            </w:r>
          </w:p>
        </w:tc>
      </w:tr>
      <w:tr>
        <w:trPr/>
        <w:tc>
          <w:tcPr>
            <w:tcW w:w="4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 from Private Warrants to Public Warrants during the year</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26" w:type="dxa"/>
            <w:tcBorders/>
            <w:vAlign w:val="center"/>
          </w:tcPr>
          <w:p>
            <w:pPr>
              <w:pStyle w:val="TableContents"/>
              <w:bidi w:val="0"/>
              <w:spacing w:before="0" w:after="1"/>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415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r>
      <w:tr>
        <w:trPr/>
        <w:tc>
          <w:tcPr>
            <w:tcW w:w="4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2021</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1"/>
              <w:ind w:left="0" w:right="0" w:hanging="0"/>
              <w:jc w:val="right"/>
              <w:rPr/>
            </w:pPr>
            <w:r>
              <w:rPr/>
              <w:t>—</w:t>
            </w:r>
          </w:p>
        </w:tc>
      </w:tr>
      <w:tr>
        <w:trPr/>
        <w:tc>
          <w:tcPr>
            <w:tcW w:w="4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Initial measurement upon Business Combination March 2, 2022 (Note 3)</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20,413</w:t>
            </w:r>
          </w:p>
        </w:tc>
      </w:tr>
      <w:tr>
        <w:trPr/>
        <w:tc>
          <w:tcPr>
            <w:tcW w:w="4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during the year</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2,015</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(19,207)</w:t>
            </w:r>
          </w:p>
        </w:tc>
      </w:tr>
      <w:tr>
        <w:trPr/>
        <w:tc>
          <w:tcPr>
            <w:tcW w:w="4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Extinguishment due to exercise of the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(6,370)</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2022</w:t>
            </w:r>
          </w:p>
        </w:tc>
        <w:tc>
          <w:tcPr>
            <w:tcW w:w="326" w:type="dxa"/>
            <w:tcBorders/>
            <w:vAlign w:val="center"/>
          </w:tcPr>
          <w:p>
            <w:pPr>
              <w:pStyle w:val="TableContents"/>
              <w:bidi w:val="0"/>
              <w:spacing w:before="0" w:after="1"/>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1,206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sz w:val="20"/>
        </w:rPr>
      </w:pPr>
      <w:bookmarkStart w:id="1037" w:name="Tc_2WSOWH3nwEqNTxsk3D_XKA_5_2"/>
      <w:bookmarkStart w:id="1038" w:name="Tc_jA4ZNCMVl0yaYz37o8pN2g_5_0"/>
      <w:bookmarkStart w:id="1039" w:name="Tc_ZXWv7AyIIUqIGXq0OcnwsA_4_0"/>
      <w:bookmarkStart w:id="1040" w:name="Tc_dK_elSti10ORFbp6Ng4Elg_3_0"/>
      <w:bookmarkStart w:id="1041" w:name="Tc_na86TEqdP0-xBVEEZnlgmw_2_0"/>
      <w:bookmarkStart w:id="1042" w:name="Tc_ralcLiYTIEC9Tz6n1_CoIQ_1_2"/>
      <w:bookmarkStart w:id="1043" w:name="Tc_5B3HdMhRTkKbgcoSr45lFg_1_0"/>
      <w:bookmarkEnd w:id="1037"/>
      <w:bookmarkEnd w:id="1038"/>
      <w:bookmarkEnd w:id="1039"/>
      <w:bookmarkEnd w:id="1040"/>
      <w:bookmarkEnd w:id="1041"/>
      <w:bookmarkEnd w:id="1042"/>
      <w:bookmarkEnd w:id="1043"/>
      <w:r>
        <w:rPr>
          <w:rFonts w:ascii="Times New Roman;Times;serif" w:hAnsi="Times New Roman;Times;serif"/>
          <w:b/>
          <w:sz w:val="20"/>
        </w:rPr>
        <w:t>(6) Forward Warrant Agreement</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execution of the Merger Agreement in October 2021 (See Note 2), Rigetti entered into a warrant subscription agreement (“Forward Warrant Agreement”) with a strategic partner, Ampere Computing LLC (“Ampere”) for the purchase of a warrant for an aggregate purchase price (including amounts from exercise) of $10.0 million. The Forward Warrant Agreement provided for the issuance of a warrant for the purchase of up to an aggregate of 1,000,000 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 million to Rigetti no later than the later of (i) the Closing and (ii) June 30, 2022.</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June 30, 2022, pursuant to the Forward Warrant Agreement, the Company issued the warrant to Ampere upon receipt of an aggregate of $5.0 million (including the exercise price), and upon such payment and issuance, 500,000 shares of the Company’s Common Stock vested under the warrant and were immediately exercised by Ampere pursuant to the terms of the warrant. Ampere was required to pay an additional $5.0 million to Rigetti no later than the closing date of the listing of Ampere’s capital stock on a stock exchange, provided that if the listing had not occurred by the second anniversary of the Forward Warrant Agreement (October 2023), Ampere was not obligated to make the additional payment. Ampere’s obligation to make the additional $5.0 million payment has now expired. The Company filed a registration statement, pursuant to a Registration Rights Agreement with Ampere, registering the resale of the initial 500,000 shares issued under the warrant which was declared effective during the year ended December 31, 2022.</w:t>
      </w:r>
    </w:p>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evaluated the Forward Warrant Agreement as a derivative in conjunction with the guidance of ASC 480, “Distinguishing Liabilities from Equity”. The Company calculated the fair value of the Forward Warrant Agreement at inception using the Forward Contract Pricing methodology. The Forward Warrant Agreement was subsequently re-measured at each reporting period using the Forward Contract Pricing methodology with the change in fair value recorded in selling, general and administrative expense in the consolidated statement of operations.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 ended December 31, 2023, the Company reduced the estimated probability of occurrence for the Forward Warrant Agreement from 50% to 0% because Ampere’s obligation to make the additional payment under the Forward Warrant Agreement expired without taking effect. As a result, the Forward Warrant Agreement had no value as of December 31,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calculated fair value of the Forward Warrant Agreement as of December 31, 2022 (derivative asset) was $2.2 million. The change in the fair value of the Forward Warrant Agreement during the years ended December 31, 2023 and December 31, 2022 was a loss of $2.2 million and a gain of $5.8 million,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 represents key valuation assumptions for the Forward Warrant Agreement as of December 31, 2022:</w:t>
      </w:r>
    </w:p>
    <w:p>
      <w:pPr>
        <w:pStyle w:val="TextBody"/>
        <w:bidi w:val="0"/>
        <w:spacing w:before="0" w:after="0"/>
        <w:ind w:left="0" w:right="0" w:hanging="0"/>
        <w:jc w:val="left"/>
        <w:rPr/>
      </w:pPr>
      <w:r>
        <w:rPr/>
        <w:t>​</w:t>
      </w:r>
    </w:p>
    <w:tbl>
      <w:tblPr>
        <w:tblW w:w="5987" w:type="dxa"/>
        <w:jc w:val="left"/>
        <w:tblInd w:w="0" w:type="dxa"/>
        <w:tblLayout w:type="fixed"/>
        <w:tblCellMar>
          <w:top w:w="0" w:type="dxa"/>
          <w:left w:w="0" w:type="dxa"/>
          <w:bottom w:w="0" w:type="dxa"/>
          <w:right w:w="0" w:type="dxa"/>
        </w:tblCellMar>
      </w:tblPr>
      <w:tblGrid>
        <w:gridCol w:w="3766"/>
        <w:gridCol w:w="566"/>
        <w:gridCol w:w="405"/>
        <w:gridCol w:w="1096"/>
        <w:gridCol w:w="154"/>
      </w:tblGrid>
      <w:tr>
        <w:trPr/>
        <w:tc>
          <w:tcPr>
            <w:tcW w:w="3766" w:type="dxa"/>
            <w:tcBorders/>
            <w:vAlign w:val="center"/>
          </w:tcPr>
          <w:p>
            <w:pPr>
              <w:pStyle w:val="TableContents"/>
              <w:bidi w:val="0"/>
              <w:spacing w:before="0" w:after="1"/>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59410" cy="175260"/>
                      <wp:effectExtent l="0" t="0" r="0" b="0"/>
                      <wp:wrapNone/>
                      <wp:docPr id="136" name="Frame133"/>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7175" cy="175260"/>
                      <wp:effectExtent l="0" t="0" r="0" b="0"/>
                      <wp:wrapNone/>
                      <wp:docPr id="137" name="Frame134"/>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5960" cy="175260"/>
                      <wp:effectExtent l="0" t="0" r="0" b="0"/>
                      <wp:wrapNone/>
                      <wp:docPr id="138" name="Frame13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97790" cy="175260"/>
                      <wp:effectExtent l="0" t="0" r="0" b="0"/>
                      <wp:wrapNone/>
                      <wp:docPr id="139" name="Frame13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1"/>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vAlign w:val="center"/>
          </w:tcPr>
          <w:p>
            <w:pPr>
              <w:pStyle w:val="TableContents"/>
              <w:bidi w:val="0"/>
              <w:spacing w:before="0" w:after="1"/>
              <w:ind w:left="0" w:right="0" w:hanging="0"/>
              <w:jc w:val="center"/>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Holding period (in years)</w:t>
            </w:r>
          </w:p>
        </w:tc>
        <w:tc>
          <w:tcPr>
            <w:tcW w:w="566" w:type="dxa"/>
            <w:tcBorders/>
            <w:shd w:fill="CCEEFF" w:val="clear"/>
            <w:vAlign w:val="center"/>
          </w:tcPr>
          <w:p>
            <w:pPr>
              <w:pStyle w:val="TableContents"/>
              <w:bidi w:val="0"/>
              <w:spacing w:before="0" w:after="1"/>
              <w:ind w:left="0" w:right="0" w:hanging="0"/>
              <w:jc w:val="left"/>
              <w:rPr/>
            </w:pPr>
            <w:r>
              <w:rPr/>
              <w:t> </w:t>
            </w:r>
          </w:p>
        </w:tc>
        <w:tc>
          <w:tcPr>
            <w:tcW w:w="405"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0.767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1"/>
              <w:ind w:left="0" w:right="0" w:hanging="0"/>
              <w:jc w:val="left"/>
              <w:rPr/>
            </w:pPr>
            <w:r>
              <w:rPr/>
              <w:t> </w:t>
            </w:r>
          </w:p>
        </w:tc>
        <w:tc>
          <w:tcPr>
            <w:tcW w:w="405"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154" w:type="dxa"/>
            <w:tcBorders/>
            <w:vAlign w:val="center"/>
          </w:tcPr>
          <w:p>
            <w:pPr>
              <w:pStyle w:val="TableContents"/>
              <w:bidi w:val="0"/>
              <w:spacing w:before="0" w:after="1"/>
              <w:ind w:left="0" w:right="0" w:hanging="0"/>
              <w:jc w:val="lef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Probability of the contingency occurring (%)</w:t>
            </w:r>
          </w:p>
        </w:tc>
        <w:tc>
          <w:tcPr>
            <w:tcW w:w="566" w:type="dxa"/>
            <w:tcBorders/>
            <w:shd w:fill="CCEEFF" w:val="clear"/>
            <w:vAlign w:val="center"/>
          </w:tcPr>
          <w:p>
            <w:pPr>
              <w:pStyle w:val="TableContents"/>
              <w:bidi w:val="0"/>
              <w:spacing w:before="0" w:after="1"/>
              <w:ind w:left="0" w:right="0" w:hanging="0"/>
              <w:jc w:val="left"/>
              <w:rPr/>
            </w:pPr>
            <w:r>
              <w:rPr/>
              <w:t> </w:t>
            </w:r>
          </w:p>
        </w:tc>
        <w:tc>
          <w:tcPr>
            <w:tcW w:w="405"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Underlying value per share</w:t>
            </w:r>
          </w:p>
        </w:tc>
        <w:tc>
          <w:tcPr>
            <w:tcW w:w="56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0.73</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540"/>
        <w:jc w:val="both"/>
        <w:rPr/>
      </w:pPr>
      <w:r>
        <w:rPr/>
        <w:t>​</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44" w:name="Tc_YnHNixCG0ESNQmnw74PjJw_10_5"/>
      <w:bookmarkStart w:id="1045" w:name="Tc_xNPxX4YXnUWXWio7gcwNbA_10_2"/>
      <w:bookmarkStart w:id="1046" w:name="Tc_8YoqsHyK70iuMQMlLgpfdQ_10_0"/>
      <w:bookmarkStart w:id="1047" w:name="Tc_5JYuKWsCbUWix_Aav-8SwA_9_0"/>
      <w:bookmarkStart w:id="1048" w:name="Tc_ZI8jOXz5cEm2fw_NQjfzBw_8_0"/>
      <w:bookmarkStart w:id="1049" w:name="Tc_FrTX0Mv5gEyhUWopXZILvw_7_0"/>
      <w:bookmarkStart w:id="1050" w:name="Tc_PZvNHIsZuU6j2J2PMwCjAw_6_0"/>
      <w:bookmarkStart w:id="1051" w:name="Tc_wOSsLX20YEG6OjfMRi2kDg_5_0"/>
      <w:bookmarkStart w:id="1052" w:name="Tc_ta7s2C09F0632TXjJ_tUgw_4_0"/>
      <w:bookmarkStart w:id="1053" w:name="Tc_zg5wNM4ag0G2ofww1elOtQ_3_5"/>
      <w:bookmarkStart w:id="1054" w:name="Tc_uleTWZBFIE6wItzzlCmBwA_3_2"/>
      <w:bookmarkStart w:id="1055" w:name="Tc_rfYkQZQnNESCAtSHk1xVcg_3_0"/>
      <w:bookmarkStart w:id="1056" w:name="Tc_QFUCe8eiDUeZfUbx5_9C4A_2_5"/>
      <w:bookmarkStart w:id="1057" w:name="Tc_usrnjySKuUalHZb3HpJWzw_2_2"/>
      <w:bookmarkStart w:id="1058" w:name="Tc__1CO1OvlUUSx0-rL5t2vOQ_1_5"/>
      <w:bookmarkStart w:id="1059" w:name="Tc_LyuyMfKvBkSZ4JgrIg7S7w_1_2"/>
      <w:bookmarkStart w:id="1060" w:name="_0c396079_1dab_476b_b9db_8176c00b8367"/>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Pr>
          <w:rFonts w:ascii="Times New Roman;Times;serif" w:hAnsi="Times New Roman;Times;serif"/>
          <w:b/>
          <w:sz w:val="20"/>
        </w:rPr>
        <w:t>(7) Property and Equipment, Net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Property and equipment as of December 31, 2023 and 2022 are composed of the following (in thousands):</w:t>
      </w:r>
    </w:p>
    <w:tbl>
      <w:tblPr>
        <w:tblW w:w="7133" w:type="dxa"/>
        <w:jc w:val="left"/>
        <w:tblInd w:w="0" w:type="dxa"/>
        <w:tblLayout w:type="fixed"/>
        <w:tblCellMar>
          <w:top w:w="0" w:type="dxa"/>
          <w:left w:w="0" w:type="dxa"/>
          <w:bottom w:w="0" w:type="dxa"/>
          <w:right w:w="0" w:type="dxa"/>
        </w:tblCellMar>
      </w:tblPr>
      <w:tblGrid>
        <w:gridCol w:w="4156"/>
        <w:gridCol w:w="326"/>
        <w:gridCol w:w="254"/>
        <w:gridCol w:w="886"/>
        <w:gridCol w:w="326"/>
        <w:gridCol w:w="248"/>
        <w:gridCol w:w="937"/>
      </w:tblGrid>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1290" cy="175260"/>
                      <wp:effectExtent l="0" t="0" r="0" b="0"/>
                      <wp:wrapNone/>
                      <wp:docPr id="141" name="Frame13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62610" cy="175260"/>
                      <wp:effectExtent l="0" t="0" r="0" b="0"/>
                      <wp:wrapNone/>
                      <wp:docPr id="142" name="Frame1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7480" cy="175260"/>
                      <wp:effectExtent l="0" t="0" r="0" b="0"/>
                      <wp:wrapNone/>
                      <wp:docPr id="144" name="Frame14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94995" cy="175260"/>
                      <wp:effectExtent l="0" t="0" r="0" b="0"/>
                      <wp:wrapNone/>
                      <wp:docPr id="145" name="Frame142"/>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Quantum computing fridges</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39,801</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30,218</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Process equipment</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25,121</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8,372</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Hardware</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77,785</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65,390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(33,302)</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(25,860)</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 net</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44,483</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39,530</w:t>
            </w:r>
          </w:p>
        </w:tc>
      </w:tr>
    </w:tbl>
    <w:p>
      <w:pPr>
        <w:pStyle w:val="TextBody"/>
        <w:bidi w:val="0"/>
        <w:spacing w:before="0" w:after="0"/>
        <w:ind w:left="0" w:right="0" w:hanging="0"/>
        <w:jc w:val="both"/>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of December 31, 2023 and December 31, 2022, 99.95% and 98.8%, respectively, of the total gross property and equipment was located in the United States, and 0.05%  and 1.2%  respectively, of the total gross property and equipment was located in the United Kingdom. Total depreciation and amortization expense for the years ended December 31, 2023 and December 31, 2022 was $7.4 million and $7.0 million, respectively</w:t>
      </w:r>
      <w:r>
        <w:rPr>
          <w:rFonts w:ascii="Times-Roman" w:hAnsi="Times-Roman"/>
          <w:sz w:val="20"/>
        </w:rPr>
        <w:t>.</w:t>
      </w:r>
    </w:p>
    <w:p>
      <w:pPr>
        <w:pStyle w:val="TextBody"/>
        <w:bidi w:val="0"/>
        <w:spacing w:before="0" w:after="240"/>
        <w:ind w:left="0" w:right="0" w:hanging="0"/>
        <w:jc w:val="both"/>
        <w:rPr>
          <w:rFonts w:ascii="Times New Roman;Times;serif" w:hAnsi="Times New Roman;Times;serif"/>
          <w:b/>
          <w:sz w:val="20"/>
        </w:rPr>
      </w:pPr>
      <w:bookmarkStart w:id="1061" w:name="Tc_BKswm2ZGyUOrDaoV8Ashyg_4_3"/>
      <w:bookmarkStart w:id="1062" w:name="Tc_uS6parD--UiQXvP4eoclfw_4_2"/>
      <w:bookmarkStart w:id="1063" w:name="Tc_0abIcQzickisjdx6_NCdUA_4_0"/>
      <w:bookmarkStart w:id="1064" w:name="Tc_CyZ2yDMYZEiz31uols4UCw_3_0"/>
      <w:bookmarkStart w:id="1065" w:name="Tc_2XI6UzxCa0aPloq_tkvy7w_2_3"/>
      <w:bookmarkStart w:id="1066" w:name="Tc_8jF8qcSGzEGbCo1KroFOCw_2_0"/>
      <w:bookmarkStart w:id="1067" w:name="Tc_lNvPNbpzQkaybXJF0aQd5A_1_2"/>
      <w:bookmarkStart w:id="1068" w:name="Tc_19uCFgX140CbenJWcJwjQg_1_0"/>
      <w:bookmarkStart w:id="1069" w:name="_9b4f1832_0089_4a4b_983e_bf038fd24faa"/>
      <w:bookmarkEnd w:id="1061"/>
      <w:bookmarkEnd w:id="1062"/>
      <w:bookmarkEnd w:id="1063"/>
      <w:bookmarkEnd w:id="1064"/>
      <w:bookmarkEnd w:id="1065"/>
      <w:bookmarkEnd w:id="1066"/>
      <w:bookmarkEnd w:id="1067"/>
      <w:bookmarkEnd w:id="1068"/>
      <w:bookmarkEnd w:id="1069"/>
      <w:r>
        <w:rPr>
          <w:rFonts w:ascii="Times New Roman;Times;serif" w:hAnsi="Times New Roman;Times;serif"/>
          <w:b/>
          <w:sz w:val="20"/>
        </w:rPr>
        <w:t>(8) Goodwill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 sets forth the change in goodwill for the year ended December 31, 2022 (in thousands):</w:t>
      </w:r>
    </w:p>
    <w:tbl>
      <w:tblPr>
        <w:tblW w:w="4094" w:type="dxa"/>
        <w:jc w:val="left"/>
        <w:tblInd w:w="0" w:type="dxa"/>
        <w:tblLayout w:type="fixed"/>
        <w:tblCellMar>
          <w:top w:w="0" w:type="dxa"/>
          <w:left w:w="0" w:type="dxa"/>
          <w:bottom w:w="0" w:type="dxa"/>
          <w:right w:w="0" w:type="dxa"/>
        </w:tblCellMar>
      </w:tblPr>
      <w:tblGrid>
        <w:gridCol w:w="2821"/>
        <w:gridCol w:w="326"/>
        <w:gridCol w:w="211"/>
        <w:gridCol w:w="736"/>
      </w:tblGrid>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67360" cy="175260"/>
                      <wp:effectExtent l="0" t="0" r="0" b="0"/>
                      <wp:wrapNone/>
                      <wp:docPr id="148" name="Frame14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acquired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year ended December 31, 2022, the Company conducted its annual goodwill impairment testing using qualitative and qualitative factors that indicated a possible impairment of goodwill. Under the qualitative assessment, management considered relevant events and circumstances including but not limited to macroeconomic conditions, industry and market considerations, Company performance and events directly affecting the Company. It was noted that the Company experienced a sustained decline in stock price resulting in a triggering event for goodwill impairment. As a result, further quantitative analysis was conducted to determine the extent to which the Company’s carrying value exceeded its fair value as of December 31, 2022. Fair value for the quantitative analysis was based on the Company’s market capitalization adjusted for a control premium determined from market comparable transactions. Based on the quantitative analysis, it was determined that the Company’s fair value was significantly less than its carrying value, resulting in a non-cash goodwill impairment charge of $5.4 million for the year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70" w:name="Tc_HQaZd1uI5E-1ehoVzRNgYw_11_5"/>
      <w:bookmarkStart w:id="1071" w:name="Tc_Tb6MkgR2F0WlMbILAymGhg_11_2"/>
      <w:bookmarkStart w:id="1072" w:name="Tc_wsNfuzj100y7KpfD5aTIXw_10_0"/>
      <w:bookmarkStart w:id="1073" w:name="Tc_b5CVm-KBvkOJRRt329fGhQ_9_0"/>
      <w:bookmarkStart w:id="1074" w:name="Tc_DFRrjjNjjkmMwlHhG2tuUw_8_0"/>
      <w:bookmarkStart w:id="1075" w:name="Tc_8hdzMXA-2US0R7RMfwho7g_7_0"/>
      <w:bookmarkStart w:id="1076" w:name="Tc_D37-CLlNk0yAsLOqneWuQA_6_0"/>
      <w:bookmarkStart w:id="1077" w:name="Tc_nFC214ilnkmWEa7jquoKKA_5_0"/>
      <w:bookmarkStart w:id="1078" w:name="Tc_rLFlAf4ZE0K9k-5z39OrfQ_4_0"/>
      <w:bookmarkStart w:id="1079" w:name="Tc_w8UvyS-dZEySsgz5dOF_rA_3_5"/>
      <w:bookmarkStart w:id="1080" w:name="Tc__-rOKjHIXkSQOUIk2v5PCQ_3_2"/>
      <w:bookmarkStart w:id="1081" w:name="Tc_yoYTPZjR3kGiECDhB0-IGA_3_0"/>
      <w:bookmarkStart w:id="1082" w:name="Tc_zmI50swNnU2OtbD3iUjwbQ_2_5"/>
      <w:bookmarkStart w:id="1083" w:name="Tc_UuIAjKuC6k6MkZU4QdXfoQ_2_2"/>
      <w:bookmarkStart w:id="1084" w:name="Tc_TpUkLayG4U6iXznBBpkdPw_1_5"/>
      <w:bookmarkStart w:id="1085" w:name="Tc_2-FblQS8ckGjVzNVg6seBw_1_2"/>
      <w:bookmarkStart w:id="1086" w:name="_3a164110_a2cb_42ab_b267_c187e0e57935"/>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r>
        <w:rPr>
          <w:rFonts w:ascii="Times New Roman;Times;serif" w:hAnsi="Times New Roman;Times;serif"/>
          <w:b/>
          <w:sz w:val="20"/>
        </w:rPr>
        <w:t>(9) Accrued Expenses and Other Current Liabilities</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Accrued expenses and other current liabilities consist of the following (in thousands):</w:t>
      </w:r>
    </w:p>
    <w:tbl>
      <w:tblPr>
        <w:tblW w:w="5843" w:type="dxa"/>
        <w:jc w:val="left"/>
        <w:tblInd w:w="0" w:type="dxa"/>
        <w:tblLayout w:type="fixed"/>
        <w:tblCellMar>
          <w:top w:w="0" w:type="dxa"/>
          <w:left w:w="0" w:type="dxa"/>
          <w:bottom w:w="0" w:type="dxa"/>
          <w:right w:w="0" w:type="dxa"/>
        </w:tblCellMar>
      </w:tblPr>
      <w:tblGrid>
        <w:gridCol w:w="2866"/>
        <w:gridCol w:w="326"/>
        <w:gridCol w:w="307"/>
        <w:gridCol w:w="833"/>
        <w:gridCol w:w="326"/>
        <w:gridCol w:w="278"/>
        <w:gridCol w:w="907"/>
      </w:tblGrid>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94945" cy="175260"/>
                      <wp:effectExtent l="0" t="0" r="0" b="0"/>
                      <wp:wrapNone/>
                      <wp:docPr id="150" name="Frame147"/>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28955" cy="175260"/>
                      <wp:effectExtent l="0" t="0" r="0" b="0"/>
                      <wp:wrapNone/>
                      <wp:docPr id="151" name="Frame148"/>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76530" cy="175260"/>
                      <wp:effectExtent l="0" t="0" r="0" b="0"/>
                      <wp:wrapNone/>
                      <wp:docPr id="153" name="Frame15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75945" cy="175260"/>
                      <wp:effectExtent l="0" t="0" r="0" b="0"/>
                      <wp:wrapNone/>
                      <wp:docPr id="154" name="Frame151"/>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2,273</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1,818</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other taxes</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and other payroll costs</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1,654</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Subcontractor cost</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and subscription fees</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w:t>
            </w:r>
          </w:p>
        </w:tc>
      </w:tr>
      <w:tr>
        <w:trPr/>
        <w:tc>
          <w:tcPr>
            <w:tcW w:w="28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8,563</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8,205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val="false"/>
          <w:sz w:val="20"/>
        </w:rPr>
        <w:t>(</w:t>
      </w:r>
      <w:r>
        <w:rPr>
          <w:rFonts w:ascii="Times New Roman;Times;serif" w:hAnsi="Times New Roman;Times;serif"/>
          <w:b/>
          <w:sz w:val="20"/>
        </w:rPr>
        <w:t>10)  Financing Arrangements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March 2021, the Company entered into an agreement (the “Loan Agreement”) with Trinity Capital Inc. (“Trinity”) to secure a debt commitment of $12.0 million (the “Tranche A”) which was drawn at the closing. The term loan is collateralized by a first-priority, senior secured interest in substantially all of the Company’s assets. In conjunction with the Loan Agreement, the Company issued Trinity a warrant to purchase shares of Common Stock (the “Initial Trinity Warrants”) which was recorded at fair value using the Black-Scholes model, see Note 11 for the fair value assumptions.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The Loan Agreement contains customary representations, warranties and covenants; however, the Loan Agreement does not include any financial covenants. In May 2021, the Loan Agreement was modified to increase the overall debt commitment by $15.0 million (the “Tranche B” or the “First Loan Agreement Amendment”) and $8.0 million of the additional commitment was drawn at the closing and the remaining commitment of $7.0 million was available at the Company’s option at any time through March 10, 2022 subject to certain conditions. The Company drew the remaining $7.0 million in November 2021. In conjunction with the First Loan Agreement Amendment, the Company cancelled the Initial Trinity Warrants and issued 995,099 (783,129 shares post conversion upon the closing of the Business Combination) warrants to purchase the Common Stock (the “Trinity Warrants”) which was an incremental cost allocated between Tranche A and Tranche B, see Note 11 for further information on the Trinity Warrants.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First Loan Agreement Amendment was considered a modification for accounting purposes. The Company capitalized $2.8 million of debt issuance costs which consist of incremental costs incurred for the lenders and third-party legal firms as well as the fair value of the warrant issued in conjunction with the term loan.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October 21, 2021, the Company entered into a second amendment to the Loan Agreement (the “Second Loan Agreement Amendment”), which modified the date requiring the Company to deliver evidence of completion of the PIPE Financing and execution of a definitive merger agreement with a special purpose acquisition company to October 31, 2021.</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Under the  Second Loan Agreement Amendment, the maturity date was modified to be the date equal to </w:t>
      </w:r>
      <w:r>
        <w:rPr>
          <w:rFonts w:ascii="Times New Roman;Times;serif" w:hAnsi="Times New Roman;Times;serif"/>
          <w:b w:val="false"/>
          <w:i w:val="false"/>
          <w:caps w:val="false"/>
          <w:smallCaps w:val="false"/>
          <w:sz w:val="20"/>
        </w:rPr>
        <w:t>48</w:t>
      </w:r>
      <w:r>
        <w:rPr>
          <w:rFonts w:ascii="Times New Roman;Times;serif" w:hAnsi="Times New Roman;Times;serif"/>
          <w:sz w:val="20"/>
        </w:rPr>
        <w:t> months from the first payment date of each specific cash advance. Subject to an interest only period of 19 months following each specific cash advance date, the term loan incurs interest at a rate of the greater of 11% or the US Prime Rate plus 7.50% per annum, payable monthly. The Term Loan Agreement includes certain negative covenants, primarily consisting of restrictions on the Company’s ability to incur indebtedness, pay dividends, execute fundamental change transactions, and other specified 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bookmarkStart w:id="1087" w:name="Tc_m9OYCRMJfEGI_4np79xJdg_5_2"/>
      <w:bookmarkStart w:id="1088" w:name="Tc_pZQe7ILN4USK2gGncDcdqA_4_0"/>
      <w:bookmarkStart w:id="1089" w:name="Tc_GnGAL-k3PkCEUuV_rIRG5w_3_0"/>
      <w:bookmarkStart w:id="1090" w:name="Tc_vfq7fKxtjkGJLaXydvYT8Q_2_2"/>
      <w:bookmarkStart w:id="1091" w:name="Tc_AA3bRvL8d0WTtK4zoAgMSw_2_0"/>
      <w:bookmarkStart w:id="1092" w:name="Tc_mthTvbMtSEeizkIwf9RRmg_1_2"/>
      <w:bookmarkStart w:id="1093" w:name="_735b0b67_b835_4031_be7a_fd7a53788bbe"/>
      <w:bookmarkStart w:id="1094" w:name="Tc_m3Ny--NNI0mfj90-PJ_o7A_9_5"/>
      <w:bookmarkStart w:id="1095" w:name="Tc_Y2QxTciUtEysEit74FbRtw_9_2"/>
      <w:bookmarkStart w:id="1096" w:name="Tc_9Gcg-7SVJk-1Rlp4Qe2kQw_9_0"/>
      <w:bookmarkStart w:id="1097" w:name="Tc_DypC4XfqfUaKjmCUpmCX2A_8_0"/>
      <w:bookmarkStart w:id="1098" w:name="Tc_OUrIMUO110WhYj-YVhNUcw_7_0"/>
      <w:bookmarkStart w:id="1099" w:name="Tc_qRj1Vo0KgUi0DfhGa1ghOA_6_5"/>
      <w:bookmarkStart w:id="1100" w:name="Tc__Lm7VngjyUyUIuWl0FNi_Q_6_2"/>
      <w:bookmarkStart w:id="1101" w:name="Tc_vhszisSB0kGefqJ6lywnBQ_6_0"/>
      <w:bookmarkStart w:id="1102" w:name="Tc_IYSRPTzac0yfdYhyWxlx2A_5_0"/>
      <w:bookmarkStart w:id="1103" w:name="Tc_ZM5OuBqQX0uuFLRpPCMNVA_4_0"/>
      <w:bookmarkStart w:id="1104" w:name="Tc_Mcp0mbmQY0m8AK8JPZNFew_3_0"/>
      <w:bookmarkStart w:id="1105" w:name="Tc_kJFsHxlPVUGUenmBTsTSYQ_2_5"/>
      <w:bookmarkStart w:id="1106" w:name="Tc_kCORMPnJWEmo5ilDY4nwFQ_2_2"/>
      <w:bookmarkStart w:id="1107" w:name="Tc_R8ajmyqM50-ONIX47NDyZQ_2_0"/>
      <w:bookmarkStart w:id="1108" w:name="Tc_e02A_uQFUk-9hsdiatk2Pg_1_5"/>
      <w:bookmarkStart w:id="1109" w:name="Tc_w3jTVEvRUkmSTjFondgW1w_1_2"/>
      <w:bookmarkStart w:id="1110" w:name="_5ca92782_9201_4254_9ce5_68ce5197d25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Times New Roman;Times;serif" w:hAnsi="Times New Roman;Times;serif"/>
          <w:sz w:val="20"/>
        </w:rPr>
        <w:t>In January 2022, the Loan Agreement was modified to increase the overall debt commitment by $5.0 million (the “Tranche C” or the “Third Loan Agreement Amendment”) which was drawn on January 27, 2022. Subject to an interest only period of 19 months, Tranche C incurs interest at a rate of the greater of 11% or the US Prime Rate plus 7.50% per annum, payable monthly, until the maturity date of February 1, 2026. Other modifications per the Third Loan Agreement Amendment included an extension of the requirement to raise an additional $75 million of equity until April 1, 2022, and a defined exit fee for the additional $5.0 million to be at 20% of the advanced funds under the amendment. The Company met the requirement to raise additional equity of $75 million through the Business Combination mentioned in Note 3. The Company paid an exit fee of $1.0 million which is 20% of the Tranche C amount upon the consummation of the Business Combination. The exit fee was capitalized as a debt issuance cost and is amortized using the effective interest method over the life of Tranche C. The exit fee was not applicable to Tranche A or Tranche B. In conjunction with the Third Loan Agreement Amendment, the Company also guaranteed payment of all monetary amounts owed and performance of all covenants, obligations and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the Company is required to pay a final payment fee equal to 2.75% of the aggregate amount of all term loan advances. The final payment fee is being accreted and amortized into interest expense using the effective interest rate method over the term of the loan. The effective interest rate for all tranches of the debt was approximately 22.5% and 19.7% as of December 31, 2023 and December 31, 2022,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Long term debt and the unamortized discount balances are as follows (in thousands):</w:t>
      </w:r>
    </w:p>
    <w:p>
      <w:pPr>
        <w:pStyle w:val="TextBody"/>
        <w:bidi w:val="0"/>
        <w:spacing w:before="0" w:after="240"/>
        <w:ind w:left="0" w:right="0" w:firstLine="540"/>
        <w:jc w:val="both"/>
        <w:rPr/>
      </w:pPr>
      <w:r>
        <w:rPr/>
        <w:t>​</w:t>
      </w:r>
    </w:p>
    <w:tbl>
      <w:tblPr>
        <w:tblW w:w="7494" w:type="dxa"/>
        <w:jc w:val="left"/>
        <w:tblInd w:w="0" w:type="dxa"/>
        <w:tblLayout w:type="fixed"/>
        <w:tblCellMar>
          <w:top w:w="0" w:type="dxa"/>
          <w:left w:w="0" w:type="dxa"/>
          <w:bottom w:w="0" w:type="dxa"/>
          <w:right w:w="0" w:type="dxa"/>
        </w:tblCellMar>
      </w:tblPr>
      <w:tblGrid>
        <w:gridCol w:w="4231"/>
        <w:gridCol w:w="109"/>
        <w:gridCol w:w="314"/>
        <w:gridCol w:w="1186"/>
        <w:gridCol w:w="109"/>
        <w:gridCol w:w="344"/>
        <w:gridCol w:w="1201"/>
      </w:tblGrid>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99390" cy="175260"/>
                      <wp:effectExtent l="0" t="0" r="0" b="0"/>
                      <wp:wrapNone/>
                      <wp:docPr id="155" name="Frame152"/>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53110" cy="175260"/>
                      <wp:effectExtent l="0" t="0" r="0" b="0"/>
                      <wp:wrapNone/>
                      <wp:docPr id="156" name="Frame15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8440" cy="175260"/>
                      <wp:effectExtent l="0" t="0" r="0" b="0"/>
                      <wp:wrapNone/>
                      <wp:docPr id="158" name="Frame15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62635" cy="175260"/>
                      <wp:effectExtent l="0" t="0" r="0" b="0"/>
                      <wp:wrapNone/>
                      <wp:docPr id="159" name="Frame15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amount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22,376</w:t>
            </w:r>
          </w:p>
        </w:tc>
        <w:tc>
          <w:tcPr>
            <w:tcW w:w="109"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30,709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accreted liability of final payment fee</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109"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discount, long-term</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109"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 principal</w:t>
            </w:r>
          </w:p>
        </w:tc>
        <w:tc>
          <w:tcPr>
            <w:tcW w:w="109"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c>
          <w:tcPr>
            <w:tcW w:w="109" w:type="dxa"/>
            <w:tcBorders/>
            <w:vAlign w:val="center"/>
          </w:tcPr>
          <w:p>
            <w:pPr>
              <w:pStyle w:val="TableContents"/>
              <w:bidi w:val="0"/>
              <w:spacing w:before="0" w:after="0"/>
              <w:ind w:left="0" w:right="0" w:hanging="0"/>
              <w:jc w:val="righ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9,894</w:t>
            </w:r>
          </w:p>
        </w:tc>
        <w:tc>
          <w:tcPr>
            <w:tcW w:w="109" w:type="dxa"/>
            <w:tcBorders/>
            <w:shd w:fill="CCEEFF" w:val="clear"/>
            <w:vAlign w:val="center"/>
          </w:tcPr>
          <w:p>
            <w:pPr>
              <w:pStyle w:val="TableContents"/>
              <w:bidi w:val="0"/>
              <w:spacing w:before="0" w:after="0"/>
              <w:ind w:left="0" w:right="0" w:hanging="0"/>
              <w:jc w:val="righ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 – principal</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c>
          <w:tcPr>
            <w:tcW w:w="109"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unamortized debt discount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109" w:type="dxa"/>
            <w:tcBorders/>
            <w:shd w:fill="CCEEFF" w:val="clear"/>
            <w:vAlign w:val="center"/>
          </w:tcPr>
          <w:p>
            <w:pPr>
              <w:pStyle w:val="TableContents"/>
              <w:bidi w:val="0"/>
              <w:spacing w:before="0" w:after="0"/>
              <w:ind w:left="0" w:right="0" w:hanging="0"/>
              <w:jc w:val="righ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current portion</w:t>
            </w:r>
          </w:p>
        </w:tc>
        <w:tc>
          <w:tcPr>
            <w:tcW w:w="109"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12,164</w:t>
            </w:r>
          </w:p>
        </w:tc>
        <w:tc>
          <w:tcPr>
            <w:tcW w:w="109" w:type="dxa"/>
            <w:tcBorders/>
            <w:vAlign w:val="center"/>
          </w:tcPr>
          <w:p>
            <w:pPr>
              <w:pStyle w:val="TableContents"/>
              <w:bidi w:val="0"/>
              <w:spacing w:before="0" w:after="0"/>
              <w:ind w:left="0" w:right="0" w:hanging="0"/>
              <w:jc w:val="righ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8,303</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During the years ended December 31, 2023 and December 31, 2022, the Company recorded interest expense of $5.8 million and $5.3 million, respectively, which includes accretion of the end of term liability, amortization of the commitment fee asset and amortization of debt issuance costs totaling $1.5 million each year.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unamortized debt discount as of December 31, 2023 and December 31, 2022 of $1.0 million and $2.2 million, respectively, is offset against the carrying value of the term loan in the consolidated balance sheets.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Scheduled principal payments on total outstanding debt are as follows:</w:t>
      </w:r>
    </w:p>
    <w:tbl>
      <w:tblPr>
        <w:tblW w:w="2653" w:type="dxa"/>
        <w:jc w:val="left"/>
        <w:tblInd w:w="0" w:type="dxa"/>
        <w:tblLayout w:type="fixed"/>
        <w:tblCellMar>
          <w:top w:w="0" w:type="dxa"/>
          <w:left w:w="0" w:type="dxa"/>
          <w:bottom w:w="0" w:type="dxa"/>
          <w:right w:w="0" w:type="dxa"/>
        </w:tblCellMar>
      </w:tblPr>
      <w:tblGrid>
        <w:gridCol w:w="541"/>
        <w:gridCol w:w="566"/>
        <w:gridCol w:w="328"/>
        <w:gridCol w:w="1218"/>
      </w:tblGrid>
      <w:tr>
        <w:trPr/>
        <w:tc>
          <w:tcPr>
            <w:tcW w:w="5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59410" cy="175260"/>
                      <wp:effectExtent l="0" t="0" r="0" b="0"/>
                      <wp:wrapNone/>
                      <wp:docPr id="160" name="Frame15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8280" cy="175260"/>
                      <wp:effectExtent l="0" t="0" r="0" b="0"/>
                      <wp:wrapNone/>
                      <wp:docPr id="161" name="Frame15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73430" cy="175260"/>
                      <wp:effectExtent l="0" t="0" r="0" b="0"/>
                      <wp:wrapNone/>
                      <wp:docPr id="162" name="Frame15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56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56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9,047</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56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r>
        <w:trPr/>
        <w:tc>
          <w:tcPr>
            <w:tcW w:w="5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22,376</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w:t>
      </w:r>
      <w:r>
        <w:rPr>
          <w:rFonts w:ascii="Times New Roman;Times;serif" w:hAnsi="Times New Roman;Times;serif"/>
          <w:b/>
          <w:sz w:val="20"/>
        </w:rPr>
        <w:t>11)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(see Note 3), the Company has retroactively adjusted the number and corresponding strike price of Rigetti warrants outstanding prior to March 2, 2022, the date of the Business Combination, to give effect to the Exchange Ratio used to determine the number of shares of Common Stock into which they were converted.</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Classified Warrants</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December 31, 2023, there were 9,802,138 Public Warrants issued and outstanding (Refer to Note 5 for fair value measurement). The Public Warrants are accounted for as a derivative liability. The fair value of the Public Warrants is measured at each reporting period based on the listed price for the warrants, with subsequent changes in the fair value recognized in the consolidated statement of operations at each reporting date.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calculated fair value of the derivative liability for the Public Warrants as of December 31, 2023 and December 31, 2022 was $1.3 million and $0.7 million, respectively. The change in the fair value of the Public Warrants included in the consolidated statement of operations during the years ended December 31, 2023 and December 31, 2022 was a loss of $0.6 million and a gain of $15.6 million, respectively. </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 On August 18, 2022, the Private Warrants were transferred from the initial purchasers to permitted transferees and remain unredeemable by the Company as of December 31, 2023. The Private Warrants are accounted for as a derivative liability. The fair value of the Private Warrants is determined using the Black- Scholes option-pricing model, with subsequent changes in the fair value recognized in the consolidated statements of operations at each reporting date.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calculated fair value of the derivative liability for the Private Warrants as of December 31, 2023 and December 31, 2022 was $1.6 million and $1.1 million, respectively. The change in the fair value of the Private Warrants included in the consolidated statements of operations during the years ended December 31, 2023 and December 31, 2022 was a loss of $0.5 million and a gain of $8.5 million,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111" w:name="Tc_hRWQi6B-JUOqpUsGBxZGKg_7_3"/>
      <w:bookmarkStart w:id="1112" w:name="Tc_9y6P2Fsh7U-v3rkGZNS5LQ_7_0"/>
      <w:bookmarkStart w:id="1113" w:name="Tc_e9QtU5z690ieBSrYf1g3YA_6_0"/>
      <w:bookmarkStart w:id="1114" w:name="Tc_wbQOD9NpO0edzT7co5Bztg_5_0"/>
      <w:bookmarkStart w:id="1115" w:name="Tc_qlCA397iqkGT1mctweQdiQ_4_0"/>
      <w:bookmarkStart w:id="1116" w:name="Tc_BwotbO42e0ms6A-84AA2zg_3_2"/>
      <w:bookmarkStart w:id="1117" w:name="Tc_wKVPQMR2xEGH6fSSixMMIg_3_0"/>
      <w:bookmarkStart w:id="1118" w:name="Tc_093oKQRVw0S_EvhRQ0nn8w_2_2"/>
      <w:bookmarkStart w:id="1119" w:name="Tc_ELeGmO5LKE2ab5Wf46DiSA_2_0"/>
      <w:bookmarkStart w:id="1120" w:name="Tc_2fPVC-Be8kKynoAaVFWETA_1_2"/>
      <w:bookmarkStart w:id="1121" w:name="Tc_I-jd25HIf0uXqRiC5uGFdw_1_0"/>
      <w:bookmarkStart w:id="1122" w:name="_4a85372d_072d_4a15_9cec_9aa6cc014305"/>
      <w:bookmarkStart w:id="1123" w:name="Tc_qcj4NKqImEaVAwukuLx2sg_8_9"/>
      <w:bookmarkStart w:id="1124" w:name="Tc_AhP8mvI1EEW9JWgWWIB8Yg_8_6"/>
      <w:bookmarkStart w:id="1125" w:name="Tc_LUiMlJPh_keELnFbMJ1v6A_8_3"/>
      <w:bookmarkStart w:id="1126" w:name="Tc_xUs6Qap97k63Gn4VytpKLQ_8_0"/>
      <w:bookmarkStart w:id="1127" w:name="Tc_107ckrFAXUC8qEilMcBOXQ_7_0"/>
      <w:bookmarkStart w:id="1128" w:name="Tc_D8EjfhP1H0aVjWi_GfEjYQ_6_0"/>
      <w:bookmarkStart w:id="1129" w:name="Tc_yeljJ0FYJ0mAWsU1gfU68Q_5_0"/>
      <w:bookmarkStart w:id="1130" w:name="Tc_OJqLuDRmfUqx9c79U8VEnA_4_8"/>
      <w:bookmarkStart w:id="1131" w:name="Tc_Vf7YtmoovkmYEMPvcek3SA_4_5"/>
      <w:bookmarkStart w:id="1132" w:name="Tc_0_01I6zfP066GiQ4CDkf6A_4_2"/>
      <w:bookmarkStart w:id="1133" w:name="Tc_1orEcKA5SkGEG1Kmpf4gqQ_4_0"/>
      <w:bookmarkStart w:id="1134" w:name="Tc_MZ8L6mKY7E-Om4UnohHmtA_3_8"/>
      <w:bookmarkStart w:id="1135" w:name="Tc_OZuHZ5k4QESaQ1gbDoyl3g_3_5"/>
      <w:bookmarkStart w:id="1136" w:name="Tc_W2r7SqyK10CI-Trxm66T5w_3_2"/>
      <w:bookmarkStart w:id="1137" w:name="Tc_Mo0-gl3qRU2RpuXOz2AtVg_3_0"/>
      <w:bookmarkStart w:id="1138" w:name="Tc_HYyFxk4Zqk-Gaqgw-IfteA_2_8"/>
      <w:bookmarkStart w:id="1139" w:name="Tc_PDdkhnCHuUSWJh3sJek_OQ_2_5"/>
      <w:bookmarkStart w:id="1140" w:name="Tc_K_uz6VVB2EqkBbaMNze-bA_2_2"/>
      <w:bookmarkStart w:id="1141" w:name="Tc_bJh_B1IjI0W7tofYBrDgUQ_2_0"/>
      <w:bookmarkStart w:id="1142" w:name="_f8355886_c00e_4a84_85a9_f3f4962fd2f6"/>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r>
        <w:rPr>
          <w:rFonts w:ascii="Times New Roman;Times;serif" w:hAnsi="Times New Roman;Times;serif"/>
          <w:sz w:val="20"/>
        </w:rPr>
        <w:t>Significant inputs into the Black-Scholes option-pricing models used to value the Private Warrants at December 31, 2023, December 31, 2022 and March 2, 2022 (initial recognition date) are as follows:</w:t>
      </w:r>
    </w:p>
    <w:tbl>
      <w:tblPr>
        <w:tblW w:w="9041" w:type="dxa"/>
        <w:jc w:val="left"/>
        <w:tblInd w:w="0" w:type="dxa"/>
        <w:tblLayout w:type="fixed"/>
        <w:tblCellMar>
          <w:top w:w="0" w:type="dxa"/>
          <w:left w:w="0" w:type="dxa"/>
          <w:bottom w:w="0" w:type="dxa"/>
          <w:right w:w="0" w:type="dxa"/>
        </w:tblCellMar>
      </w:tblPr>
      <w:tblGrid>
        <w:gridCol w:w="3016"/>
        <w:gridCol w:w="566"/>
        <w:gridCol w:w="488"/>
        <w:gridCol w:w="1013"/>
        <w:gridCol w:w="566"/>
        <w:gridCol w:w="488"/>
        <w:gridCol w:w="1013"/>
        <w:gridCol w:w="566"/>
        <w:gridCol w:w="425"/>
        <w:gridCol w:w="746"/>
        <w:gridCol w:w="154"/>
      </w:tblGrid>
      <w:tr>
        <w:trPr/>
        <w:tc>
          <w:tcPr>
            <w:tcW w:w="301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59410" cy="175260"/>
                      <wp:effectExtent l="0" t="0" r="0" b="0"/>
                      <wp:wrapNone/>
                      <wp:docPr id="163" name="Frame160"/>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09880" cy="175260"/>
                      <wp:effectExtent l="0" t="0" r="0" b="0"/>
                      <wp:wrapNone/>
                      <wp:docPr id="164" name="Frame161"/>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3255" cy="175260"/>
                      <wp:effectExtent l="0" t="0" r="0" b="0"/>
                      <wp:wrapNone/>
                      <wp:docPr id="165" name="Frame162"/>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59410" cy="175260"/>
                      <wp:effectExtent l="0" t="0" r="0" b="0"/>
                      <wp:wrapNone/>
                      <wp:docPr id="166" name="Frame163"/>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09880" cy="175260"/>
                      <wp:effectExtent l="0" t="0" r="0" b="0"/>
                      <wp:wrapNone/>
                      <wp:docPr id="167" name="Frame164"/>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3255" cy="175260"/>
                      <wp:effectExtent l="0" t="0" r="0" b="0"/>
                      <wp:wrapNone/>
                      <wp:docPr id="168" name="Frame165"/>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59410" cy="175260"/>
                      <wp:effectExtent l="0" t="0" r="0" b="0"/>
                      <wp:wrapNone/>
                      <wp:docPr id="169" name="Frame166"/>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69875" cy="175260"/>
                      <wp:effectExtent l="0" t="0" r="0" b="0"/>
                      <wp:wrapNone/>
                      <wp:docPr id="170" name="Frame167"/>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73710" cy="175260"/>
                      <wp:effectExtent l="0" t="0" r="0" b="0"/>
                      <wp:wrapNone/>
                      <wp:docPr id="171" name="Frame168"/>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7790" cy="175260"/>
                      <wp:effectExtent l="0" t="0" r="0" b="0"/>
                      <wp:wrapNone/>
                      <wp:docPr id="172" name="Frame1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56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566" w:type="dxa"/>
            <w:tcBorders/>
            <w:vAlign w:val="center"/>
          </w:tcPr>
          <w:p>
            <w:pPr>
              <w:pStyle w:val="TableContents"/>
              <w:bidi w:val="0"/>
              <w:spacing w:before="0" w:after="0"/>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 2022</w:t>
            </w:r>
          </w:p>
        </w:tc>
        <w:tc>
          <w:tcPr>
            <w:tcW w:w="154" w:type="dxa"/>
            <w:tcBorders/>
            <w:vAlign w:val="center"/>
          </w:tcPr>
          <w:p>
            <w:pPr>
              <w:pStyle w:val="TableContents"/>
              <w:bidi w:val="0"/>
              <w:spacing w:before="0" w:after="0"/>
              <w:ind w:left="0" w:right="0" w:hanging="0"/>
              <w:jc w:val="center"/>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66"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566"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56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66"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66"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6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66"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144.50%</w:t>
            </w:r>
          </w:p>
        </w:tc>
        <w:tc>
          <w:tcPr>
            <w:tcW w:w="566"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c>
          <w:tcPr>
            <w:tcW w:w="56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566"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56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66"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566"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56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66"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val="false"/>
          <w:caps w:val="false"/>
          <w:smallCaps w:val="false"/>
          <w:sz w:val="20"/>
        </w:rPr>
        <w:t>During the year ended December 31, 2023, 1,177,166</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Private Warrants were converted to Public Warrants due to certain transfers from the initial purchasers to other holders.</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Trinity Warrants</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Initial Trinity Warrants were issued in March of 2021 for the purchase of 313,252 shares of common stock, and additional warrants to purchase 469,877 shares of common stock were issued in connection with the Tranche B Amendment, see Note 10. Therefore, there were a total of 783,129 Trinity Warrants issued in conjunction with the Loan Agreement in 2021. The Trinity Warrants were classified as a liability under ASC 480, “Distinguishing Liabilities from Equity”. The Company utilized a Black-Scholes model to determine the grant date fair value of the Trinity Warrants of approximately $2.7 million which was recorded as a debt issuance cost. The outstanding Trinity Warrants were subsequently re-measured at each reporting period using the Black-Scholes model with changes recorded as a component of other income in the consolidated statement of operations. The liability related to the Trinity Warrants was $6.4 million as of June 2, 2022, at which time all 783,129 Trinity Warrants were exercised and the fair value of the warrant liability was reclassified to equity.</w:t>
      </w:r>
    </w:p>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change in the fair value of the Trinity Warrants included in the consolidated statements of operations during the year ended December 31, 2022 was a loss of $2.0 million. No loss was recognized in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inputs into the Black-Scholes model used to value the Trinity Warrant liabilities at June 2, 2022, the exercise date, are as follows:</w:t>
      </w:r>
    </w:p>
    <w:tbl>
      <w:tblPr>
        <w:tblW w:w="4788" w:type="dxa"/>
        <w:jc w:val="left"/>
        <w:tblInd w:w="0" w:type="dxa"/>
        <w:tblLayout w:type="fixed"/>
        <w:tblCellMar>
          <w:top w:w="0" w:type="dxa"/>
          <w:left w:w="0" w:type="dxa"/>
          <w:bottom w:w="0" w:type="dxa"/>
          <w:right w:w="0" w:type="dxa"/>
        </w:tblCellMar>
      </w:tblPr>
      <w:tblGrid>
        <w:gridCol w:w="3016"/>
        <w:gridCol w:w="566"/>
        <w:gridCol w:w="211"/>
        <w:gridCol w:w="841"/>
        <w:gridCol w:w="154"/>
      </w:tblGrid>
      <w:tr>
        <w:trPr/>
        <w:tc>
          <w:tcPr>
            <w:tcW w:w="301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59410" cy="175260"/>
                      <wp:effectExtent l="0" t="0" r="0" b="0"/>
                      <wp:wrapNone/>
                      <wp:docPr id="173" name="Frame170"/>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34035" cy="175260"/>
                      <wp:effectExtent l="0" t="0" r="0" b="0"/>
                      <wp:wrapNone/>
                      <wp:docPr id="175" name="Frame17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7790" cy="175260"/>
                      <wp:effectExtent l="0" t="0" r="0" b="0"/>
                      <wp:wrapNone/>
                      <wp:docPr id="176" name="Frame17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 2022</w:t>
            </w:r>
          </w:p>
        </w:tc>
        <w:tc>
          <w:tcPr>
            <w:tcW w:w="154" w:type="dxa"/>
            <w:tcBorders/>
            <w:vAlign w:val="center"/>
          </w:tcPr>
          <w:p>
            <w:pPr>
              <w:pStyle w:val="TableContents"/>
              <w:bidi w:val="0"/>
              <w:spacing w:before="0" w:after="0"/>
              <w:ind w:left="0" w:right="0" w:hanging="0"/>
              <w:jc w:val="center"/>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val="false"/>
          <w:caps w:val="false"/>
          <w:smallCaps w:val="false"/>
          <w:sz w:val="20"/>
        </w:rPr>
      </w:pPr>
      <w:bookmarkStart w:id="1143" w:name="Tc_VXLKeEpc0UOA2r08H4BM9A_3_0"/>
      <w:bookmarkStart w:id="1144" w:name="Tc_Q2VVMRbFvkmYbY0cEZtWrg_2_0"/>
      <w:bookmarkStart w:id="1145" w:name="Tc_afZs2pmUDkyNIuzArJfoGg_1_4"/>
      <w:bookmarkStart w:id="1146" w:name="Tc_rmct1-MTkEiMrHTeZjkzRw_1_2"/>
      <w:bookmarkStart w:id="1147" w:name="_ef01e2eb_925c_4679_923b_93c152dd87c4"/>
      <w:bookmarkEnd w:id="1143"/>
      <w:bookmarkEnd w:id="1144"/>
      <w:bookmarkEnd w:id="1145"/>
      <w:bookmarkEnd w:id="1146"/>
      <w:bookmarkEnd w:id="1147"/>
      <w:r>
        <w:rPr>
          <w:rFonts w:ascii="Times New Roman;Times;serif" w:hAnsi="Times New Roman;Times;serif"/>
          <w:b/>
          <w:i w:val="false"/>
          <w:caps w:val="false"/>
          <w:smallCaps w:val="false"/>
          <w:sz w:val="20"/>
        </w:rPr>
        <w:t>Equity Classified Warrants</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C Preferred Stock Financing Warrants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Between February 2020 and May 2020, a subsidiary of Legacy Rigetti issued and sold an aggregate of 54,478,260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exercise price per share and have a 10-year term to expiration. The Series C Warrants can be exercised for cash or on a cashless basis.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Warrant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February 2020, the Company issued a warrant to purchase 2,680,607 shares of Class A Common Stock to a customer in conjunction with a revenue arrangement (the “Customer Warrant”). The Customer Warrant has an exercise price of  $1.152 per share and has a 10-year term to expiration. </w:t>
      </w:r>
      <w:r>
        <w:rPr>
          <w:rFonts w:ascii="Times New Roman;Times;serif" w:hAnsi="Times New Roman;Times;serif"/>
          <w:sz w:val="20"/>
          <w:shd w:fill="FFFFFF" w:val="clear"/>
        </w:rPr>
        <w:t>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r>
        <w:rPr>
          <w:rFonts w:ascii="Times New Roman;Times;serif" w:hAnsi="Times New Roman;Times;serif"/>
          <w:sz w:val="20"/>
        </w:rPr>
        <w:t xml:space="preserve"> The Customer Warrant was assumed by the Company in connection with the Business Combination and converted into a warrant to purchase shares of Common Stock.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December 31, 2023, the deferred asset balance outstanding is approximately $0.1 million, which will be recognized as a reduction in revenue in future periods.</w:t>
      </w:r>
    </w:p>
    <w:p>
      <w:pPr>
        <w:pStyle w:val="TextBody"/>
        <w:bidi w:val="0"/>
        <w:spacing w:before="0" w:after="240"/>
        <w:ind w:left="0" w:right="0" w:firstLine="630"/>
        <w:jc w:val="both"/>
        <w:rPr>
          <w:rFonts w:ascii="Times New Roman;Times;serif" w:hAnsi="Times New Roman;Times;serif"/>
          <w:sz w:val="20"/>
        </w:rPr>
      </w:pPr>
      <w:r>
        <w:rPr>
          <w:rFonts w:ascii="Times New Roman;Times;serif" w:hAnsi="Times New Roman;Times;serif"/>
          <w:sz w:val="20"/>
        </w:rPr>
        <w:t>The vesting status of the Customer Warrant is as follows:</w:t>
      </w:r>
    </w:p>
    <w:tbl>
      <w:tblPr>
        <w:tblW w:w="7120" w:type="dxa"/>
        <w:jc w:val="left"/>
        <w:tblInd w:w="0" w:type="dxa"/>
        <w:tblLayout w:type="fixed"/>
        <w:tblCellMar>
          <w:top w:w="0" w:type="dxa"/>
          <w:left w:w="0" w:type="dxa"/>
          <w:bottom w:w="0" w:type="dxa"/>
          <w:right w:w="0" w:type="dxa"/>
        </w:tblCellMar>
      </w:tblPr>
      <w:tblGrid>
        <w:gridCol w:w="2941"/>
        <w:gridCol w:w="566"/>
        <w:gridCol w:w="1501"/>
        <w:gridCol w:w="566"/>
        <w:gridCol w:w="1546"/>
      </w:tblGrid>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59410" cy="175260"/>
                      <wp:effectExtent l="0" t="0" r="0" b="0"/>
                      <wp:wrapNone/>
                      <wp:docPr id="177" name="Frame174"/>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953135" cy="175260"/>
                      <wp:effectExtent l="0" t="0" r="0" b="0"/>
                      <wp:wrapNone/>
                      <wp:docPr id="178" name="Frame17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59410" cy="175260"/>
                      <wp:effectExtent l="0" t="0" r="0" b="0"/>
                      <wp:wrapNone/>
                      <wp:docPr id="179" name="Frame176"/>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81710" cy="175260"/>
                      <wp:effectExtent l="0" t="0" r="0" b="0"/>
                      <wp:wrapNone/>
                      <wp:docPr id="180" name="Frame17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6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6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 Earn-out Liabilities</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Sponsor subjected the Sponsor Vesting Shares to forfeiture for a five-year period following the Closing of Business Combination, with vesting occurring only if thresholds related to the weighted average price of the Company’s Common Stock are met as described above in Note 3 - Business Combination (the “Earn-Out Triggering Events”). Any such shares held by the Sponsor that have not vested by the fifth anniversary of the Closing will be forfeited.</w:t>
      </w:r>
    </w:p>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aggregate fair value of the Sponsor Vesting Shares on the Closing Date was estimated using a Monte Carlo simulation model and was determined to be $20.4 million at the Closing Date. The Earn-out liabilities are adjusted to fair value each reporting period using the Monte Carlo simulation model until such time as the Earn-Out Triggering Events are achieved or the Sponsor Vesting Shares are forfeited.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bookmarkStart w:id="1148" w:name="Tc_g4V9sgZXrECqfQmVS73nTQ_6_0"/>
      <w:bookmarkStart w:id="1149" w:name="Tc_zMQTRdSobk-Vjog0RKu-mQ_5_0"/>
      <w:bookmarkStart w:id="1150" w:name="Tc_SvCdR8VazUmL_JGBWkrvnQ_4_0"/>
      <w:bookmarkStart w:id="1151" w:name="Tc_Gw0vY4IAr0Cq4bZ8O8MUSQ_3_0"/>
      <w:bookmarkStart w:id="1152" w:name="Tc_U7C12tJmEUazIiiAbj03Rg_2_8"/>
      <w:bookmarkStart w:id="1153" w:name="Tc_S8vE12fynkK4xfIsIAXkCw_2_5"/>
      <w:bookmarkStart w:id="1154" w:name="Tc_03vjwbU-JUWswzPYnOWTSA_2_2"/>
      <w:bookmarkStart w:id="1155" w:name="Tc_av_-ytzy10-0jUHtDCCJCA_2_0"/>
      <w:bookmarkStart w:id="1156" w:name="Tc_aKLL53Doa0u1yG908ZDK1w_1_8"/>
      <w:bookmarkStart w:id="1157" w:name="Tc_8U_8uw1b4UyDNejazJg4QQ_1_5"/>
      <w:bookmarkStart w:id="1158" w:name="Tc_sXsYdDuglUi_g5lWE0Bs0w_1_2"/>
      <w:bookmarkStart w:id="1159" w:name="Tc_sQ2ZLI7iRUG9fiENSaRNyw_1_0"/>
      <w:bookmarkStart w:id="1160" w:name="_fb2a94a8_d3c8_4f65_abf0_f6d828a58e12"/>
      <w:bookmarkEnd w:id="1148"/>
      <w:bookmarkEnd w:id="1149"/>
      <w:bookmarkEnd w:id="1150"/>
      <w:bookmarkEnd w:id="1151"/>
      <w:bookmarkEnd w:id="1152"/>
      <w:bookmarkEnd w:id="1153"/>
      <w:bookmarkEnd w:id="1154"/>
      <w:bookmarkEnd w:id="1155"/>
      <w:bookmarkEnd w:id="1156"/>
      <w:bookmarkEnd w:id="1157"/>
      <w:bookmarkEnd w:id="1158"/>
      <w:bookmarkEnd w:id="1159"/>
      <w:bookmarkEnd w:id="1160"/>
      <w:r>
        <w:rPr>
          <w:rFonts w:ascii="Times New Roman;Times;serif" w:hAnsi="Times New Roman;Times;serif"/>
          <w:sz w:val="20"/>
        </w:rPr>
        <w:t xml:space="preserve">The calculated fair value of the Earn-out liabilities with respect to the Sponsor Vesting Shares as of December 31, 2023 and December 31, 2022 was $2.2 million and $1.2 million, respectively. The change in the fair value of the Earn-out liabilities included in the consolidated statements of operations for years ended December 31, 2023 and December 31, 2022 was a loss of $0.9 million and a gain of $19.2 million,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inputs into the Monte Carlo simulation models as of December 31, 2023, December 31, 2022 and March 2, 2022, (the date of initial recognition) are as follows:</w:t>
      </w:r>
    </w:p>
    <w:tbl>
      <w:tblPr>
        <w:tblW w:w="8531" w:type="dxa"/>
        <w:jc w:val="left"/>
        <w:tblInd w:w="0" w:type="dxa"/>
        <w:tblLayout w:type="fixed"/>
        <w:tblCellMar>
          <w:top w:w="0" w:type="dxa"/>
          <w:left w:w="0" w:type="dxa"/>
          <w:bottom w:w="0" w:type="dxa"/>
          <w:right w:w="0" w:type="dxa"/>
        </w:tblCellMar>
      </w:tblPr>
      <w:tblGrid>
        <w:gridCol w:w="3226"/>
        <w:gridCol w:w="326"/>
        <w:gridCol w:w="357"/>
        <w:gridCol w:w="1144"/>
        <w:gridCol w:w="326"/>
        <w:gridCol w:w="357"/>
        <w:gridCol w:w="1144"/>
        <w:gridCol w:w="326"/>
        <w:gridCol w:w="315"/>
        <w:gridCol w:w="856"/>
        <w:gridCol w:w="154"/>
      </w:tblGrid>
      <w:tr>
        <w:trPr/>
        <w:tc>
          <w:tcPr>
            <w:tcW w:w="3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6695" cy="175260"/>
                      <wp:effectExtent l="0" t="0" r="0" b="0"/>
                      <wp:wrapNone/>
                      <wp:docPr id="182" name="Frame17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26440" cy="175260"/>
                      <wp:effectExtent l="0" t="0" r="0" b="0"/>
                      <wp:wrapNone/>
                      <wp:docPr id="183" name="Frame180"/>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6695" cy="175260"/>
                      <wp:effectExtent l="0" t="0" r="0" b="0"/>
                      <wp:wrapNone/>
                      <wp:docPr id="185" name="Frame18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26440" cy="175260"/>
                      <wp:effectExtent l="0" t="0" r="0" b="0"/>
                      <wp:wrapNone/>
                      <wp:docPr id="186" name="Frame183"/>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0025" cy="175260"/>
                      <wp:effectExtent l="0" t="0" r="0" b="0"/>
                      <wp:wrapNone/>
                      <wp:docPr id="188" name="Frame18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43560" cy="175260"/>
                      <wp:effectExtent l="0" t="0" r="0" b="0"/>
                      <wp:wrapNone/>
                      <wp:docPr id="189" name="Frame18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7790" cy="175260"/>
                      <wp:effectExtent l="0" t="0" r="0" b="0"/>
                      <wp:wrapNone/>
                      <wp:docPr id="190" name="Frame18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1"/>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1"/>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 2022</w:t>
            </w:r>
          </w:p>
        </w:tc>
        <w:tc>
          <w:tcPr>
            <w:tcW w:w="154" w:type="dxa"/>
            <w:tcBorders/>
            <w:vAlign w:val="center"/>
          </w:tcPr>
          <w:p>
            <w:pPr>
              <w:pStyle w:val="TableContents"/>
              <w:bidi w:val="0"/>
              <w:spacing w:before="0" w:after="1"/>
              <w:ind w:left="0" w:right="0" w:hanging="0"/>
              <w:jc w:val="center"/>
              <w:rPr/>
            </w:pPr>
            <w:r>
              <w:rPr/>
              <w:t>​</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0.98</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0.73</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w:t>
            </w:r>
          </w:p>
        </w:tc>
        <w:tc>
          <w:tcPr>
            <w:tcW w:w="154" w:type="dxa"/>
            <w:tcBorders/>
            <w:vAlign w:val="center"/>
          </w:tcPr>
          <w:p>
            <w:pPr>
              <w:pStyle w:val="TableContents"/>
              <w:bidi w:val="0"/>
              <w:spacing w:before="0" w:after="1"/>
              <w:ind w:left="0" w:right="0" w:hanging="0"/>
              <w:jc w:val="left"/>
              <w:rPr/>
            </w:pPr>
            <w:r>
              <w:rPr/>
              <w:t>​</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109.30%</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154" w:type="dxa"/>
            <w:tcBorders/>
            <w:vAlign w:val="center"/>
          </w:tcPr>
          <w:p>
            <w:pPr>
              <w:pStyle w:val="TableContents"/>
              <w:bidi w:val="0"/>
              <w:spacing w:before="0" w:after="1"/>
              <w:ind w:left="0" w:right="0" w:hanging="0"/>
              <w:jc w:val="left"/>
              <w:rPr/>
            </w:pPr>
            <w:r>
              <w:rPr/>
              <w:t>​</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Estimated time to expiration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54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161" w:name="Tc_9jzoImlG8EWPCTnEHSy2rA_6_5"/>
      <w:bookmarkStart w:id="1162" w:name="Tc_FCMntjZduUKlsJivmIkjiA_6_2"/>
      <w:bookmarkStart w:id="1163" w:name="Tc_06aDi8AdNkCLxRGV7EwN5w_6_0"/>
      <w:bookmarkStart w:id="1164" w:name="Tc_QKupZCZjEEStLM0O3Mr3oA_5_0"/>
      <w:bookmarkStart w:id="1165" w:name="Tc_c4JUrr37MUOYQFCxYxin7g_4_0"/>
      <w:bookmarkStart w:id="1166" w:name="Tc_F0ywc8431Ey4nqAG3ZwRSA_3_5"/>
      <w:bookmarkStart w:id="1167" w:name="Tc_x-uB7p3N3kySc0a0Yvk62Q_3_2"/>
      <w:bookmarkStart w:id="1168" w:name="Tc_vA-bv7Mut0OMXrqq4W1KbA_3_0"/>
      <w:bookmarkStart w:id="1169" w:name="Tc_ACMQJ-qgjkubNI_yAfR4fg_2_5"/>
      <w:bookmarkStart w:id="1170" w:name="Tc_lSBTLGKSNkaofCMOO1mowA_2_2"/>
      <w:bookmarkStart w:id="1171" w:name="Tc_2YfPAbCkB0ynUu6duVqZ5Q_1_2"/>
      <w:bookmarkStart w:id="1172" w:name="_c60cf3f6_90d8_407f_85d9_c29d9f939bce"/>
      <w:bookmarkEnd w:id="1161"/>
      <w:bookmarkEnd w:id="1162"/>
      <w:bookmarkEnd w:id="1163"/>
      <w:bookmarkEnd w:id="1164"/>
      <w:bookmarkEnd w:id="1165"/>
      <w:bookmarkEnd w:id="1166"/>
      <w:bookmarkEnd w:id="1167"/>
      <w:bookmarkEnd w:id="1168"/>
      <w:bookmarkEnd w:id="1169"/>
      <w:bookmarkEnd w:id="1170"/>
      <w:bookmarkEnd w:id="1171"/>
      <w:bookmarkEnd w:id="1172"/>
      <w:r>
        <w:rPr>
          <w:rFonts w:ascii="Times New Roman;Times;serif" w:hAnsi="Times New Roman;Times;serif"/>
          <w:b/>
          <w:sz w:val="20"/>
        </w:rPr>
        <w:t>(13) Leases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leases facilities for its fab, lab and office space, and equipment under various lease agreements with terms extending through 2029. Under the terms of the facility leases the Company bears the costs for certain insurance, property taxes and maintenance, and the lease agreements provide for increasing rental payments at fixed intervals.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Components of lease costs are as follows (in thousands):</w:t>
      </w:r>
    </w:p>
    <w:tbl>
      <w:tblPr>
        <w:tblW w:w="4165" w:type="dxa"/>
        <w:jc w:val="left"/>
        <w:tblInd w:w="0" w:type="dxa"/>
        <w:tblLayout w:type="fixed"/>
        <w:tblCellMar>
          <w:top w:w="0" w:type="dxa"/>
          <w:left w:w="0" w:type="dxa"/>
          <w:bottom w:w="0" w:type="dxa"/>
          <w:right w:w="0" w:type="dxa"/>
        </w:tblCellMar>
      </w:tblPr>
      <w:tblGrid>
        <w:gridCol w:w="1801"/>
        <w:gridCol w:w="326"/>
        <w:gridCol w:w="214"/>
        <w:gridCol w:w="580"/>
        <w:gridCol w:w="331"/>
        <w:gridCol w:w="214"/>
        <w:gridCol w:w="699"/>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143635" cy="175260"/>
                      <wp:effectExtent l="0" t="0" r="0" b="0"/>
                      <wp:wrapNone/>
                      <wp:docPr id="191" name="Frame188"/>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5890" cy="175260"/>
                      <wp:effectExtent l="0" t="0" r="0" b="0"/>
                      <wp:wrapNone/>
                      <wp:docPr id="193" name="Frame19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68300" cy="175260"/>
                      <wp:effectExtent l="0" t="0" r="0" b="0"/>
                      <wp:wrapNone/>
                      <wp:docPr id="194" name="Frame191"/>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0185" cy="175260"/>
                      <wp:effectExtent l="0" t="0" r="0" b="0"/>
                      <wp:wrapNone/>
                      <wp:docPr id="195" name="Frame19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5890" cy="175260"/>
                      <wp:effectExtent l="0" t="0" r="0" b="0"/>
                      <wp:wrapNone/>
                      <wp:docPr id="196" name="Frame19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43865" cy="175260"/>
                      <wp:effectExtent l="0" t="0" r="0" b="0"/>
                      <wp:wrapNone/>
                      <wp:docPr id="197" name="Frame19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shd w:fill="FFFFFF" w:val="clear"/>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1" w:type="dxa"/>
            <w:tcBorders/>
            <w:vAlign w:val="center"/>
          </w:tcPr>
          <w:p>
            <w:pPr>
              <w:pStyle w:val="TableContents"/>
              <w:bidi w:val="0"/>
              <w:spacing w:before="0" w:after="1"/>
              <w:ind w:left="0" w:right="0" w:hanging="0"/>
              <w:jc w:val="center"/>
              <w:rPr/>
            </w:pPr>
            <w:r>
              <w:rPr/>
              <w:t>    </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2,098</w:t>
            </w:r>
          </w:p>
        </w:tc>
        <w:tc>
          <w:tcPr>
            <w:tcW w:w="33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331"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31"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2,781</w:t>
            </w:r>
          </w:p>
        </w:tc>
        <w:tc>
          <w:tcPr>
            <w:tcW w:w="331"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2,355</w:t>
            </w:r>
          </w:p>
        </w:tc>
      </w:tr>
    </w:tbl>
    <w:p>
      <w:pPr>
        <w:pStyle w:val="TextBody"/>
        <w:bidi w:val="0"/>
        <w:spacing w:before="0" w:after="24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Total cash paid for amounts included in the measurement of operating lease liabilities was $2.1 million for each of the years ended December 31, 2023 and December 31, 2022, respectively. In the year ended December 31, 2023, there were no new operating leases with a lease term greater than 12 months. In the year ended December 31, 2022, operating lease liabilities arising from obtaining operating lease right-of-use assets were $4.9 million.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of December 31, 2023 and December 31, 2022, the weighted-average remaining lease term is approximately 5.07 years and 5.87 years, respectively, and the weighted-average discount rate is 8.01% and 7.93%,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Operating lease liabilities are based on the net present value of the remaining lease payments over the remaining lease term. In determining the net present value of its lease payments, the Company used an estimated incremental borrowing rate that is applicable to the Company based on the information available at the later of the lease commencement date, lease modification date or the date of Adoption of Topic 842.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173" w:name="Tc_nIVhjspfrE-NQThZ2wuSoA_13_2"/>
      <w:bookmarkStart w:id="1174" w:name="Tc_CaZnxqQjTkedaRwZoKJnQw_12_0"/>
      <w:bookmarkStart w:id="1175" w:name="Tc_GwxcHQSTz0yew-pNVAm1cA_11_2"/>
      <w:bookmarkStart w:id="1176" w:name="Tc_Y-h9XbyIjUWPFOpDA47CTA_11_0"/>
      <w:bookmarkStart w:id="1177" w:name="Tc_ICfDevUkkEWqHlza6y7hYg_10_2"/>
      <w:bookmarkStart w:id="1178" w:name="Tc_ubEzyznOv0ul1SZEPhjtPg_10_0"/>
      <w:bookmarkStart w:id="1179" w:name="Tc_FeLxQctZR0e59Ntt6ep9Jw_9_0"/>
      <w:bookmarkStart w:id="1180" w:name="Tc_qCScIX0WSEqLPpdtXzZ-yg_8_0"/>
      <w:bookmarkStart w:id="1181" w:name="Tc_cksMOx0Pg0azpiDzfTXbYw_7_0"/>
      <w:bookmarkStart w:id="1182" w:name="Tc_gUEwTM0aikWfWdKgzjXldw_6_0"/>
      <w:bookmarkStart w:id="1183" w:name="Tc_QKkIDqXdvEOSrLd6dxuh3A_5_0"/>
      <w:bookmarkStart w:id="1184" w:name="Tc_txzAl_u6q0qUoDc8-_0I_A_4_0"/>
      <w:bookmarkStart w:id="1185" w:name="Tc_gWpHXccdgEa-S4XyNhw-6Q_3_0"/>
      <w:bookmarkStart w:id="1186" w:name="Tc_QAeeusoIhUaRVKDMq50jmw_2_2"/>
      <w:bookmarkStart w:id="1187" w:name="Tc_nyCsUT0ASUKBUFlziE1iCQ_2_0"/>
      <w:bookmarkStart w:id="1188" w:name="Tc_5mvFPDBerUOMFDqPvrMUsQ_1_0"/>
      <w:bookmarkStart w:id="1189" w:name="_1458c61f_3510_4a49_a365_5ab9c956f09e"/>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Fonts w:ascii="Times New Roman;Times;serif" w:hAnsi="Times New Roman;Times;serif"/>
          <w:sz w:val="20"/>
        </w:rPr>
        <w:t>Maturities of operating lease liabilities are as follows (in thousands):</w:t>
      </w:r>
    </w:p>
    <w:tbl>
      <w:tblPr>
        <w:tblW w:w="4784" w:type="dxa"/>
        <w:jc w:val="left"/>
        <w:tblInd w:w="0" w:type="dxa"/>
        <w:tblLayout w:type="fixed"/>
        <w:tblCellMar>
          <w:top w:w="0" w:type="dxa"/>
          <w:left w:w="0" w:type="dxa"/>
          <w:bottom w:w="0" w:type="dxa"/>
          <w:right w:w="0" w:type="dxa"/>
        </w:tblCellMar>
      </w:tblPr>
      <w:tblGrid>
        <w:gridCol w:w="3511"/>
        <w:gridCol w:w="326"/>
        <w:gridCol w:w="211"/>
        <w:gridCol w:w="736"/>
      </w:tblGrid>
      <w:tr>
        <w:trPr/>
        <w:tc>
          <w:tcPr>
            <w:tcW w:w="3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67360" cy="175260"/>
                      <wp:effectExtent l="0" t="0" r="0" b="0"/>
                      <wp:wrapNone/>
                      <wp:docPr id="200" name="Frame19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2,288</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2,198</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10,417</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(1,910)</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8,507</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6,297</w:t>
            </w:r>
          </w:p>
        </w:tc>
      </w:tr>
      <w:tr>
        <w:trPr/>
        <w:tc>
          <w:tcPr>
            <w:tcW w:w="3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8,507</w:t>
            </w:r>
          </w:p>
        </w:tc>
      </w:tr>
    </w:tbl>
    <w:p>
      <w:pPr>
        <w:pStyle w:val="TextBody"/>
        <w:bidi w:val="0"/>
        <w:spacing w:before="0" w:after="240"/>
        <w:ind w:left="0" w:right="0" w:firstLine="540"/>
        <w:jc w:val="both"/>
        <w:rPr/>
      </w:pPr>
      <w:r>
        <w:rPr/>
        <w:t>​</w:t>
      </w:r>
    </w:p>
    <w:p>
      <w:pPr>
        <w:pStyle w:val="TextBody"/>
        <w:bidi w:val="0"/>
        <w:spacing w:before="0" w:after="240"/>
        <w:ind w:left="0" w:right="0" w:firstLine="540"/>
        <w:jc w:val="both"/>
        <w:rPr/>
      </w:pPr>
      <w:r>
        <w:rPr/>
        <w:t>​</w:t>
      </w:r>
    </w:p>
    <w:p>
      <w:pPr>
        <w:pStyle w:val="TextBody"/>
        <w:bidi w:val="0"/>
        <w:spacing w:before="0" w:after="240"/>
        <w:ind w:left="0" w:right="0" w:hanging="0"/>
        <w:jc w:val="both"/>
        <w:rPr>
          <w:rFonts w:ascii="Times New Roman;Times;serif" w:hAnsi="Times New Roman;Times;serif"/>
          <w:b/>
          <w:sz w:val="20"/>
        </w:rPr>
      </w:pPr>
      <w:bookmarkStart w:id="1190" w:name="_4a785739_0c45_401c_9a6a_3c0b8c01b47d_3"/>
      <w:bookmarkStart w:id="1191" w:name="_4a785739_0c45_401c_9a6a_3c0b8c01b47d_2"/>
      <w:bookmarkStart w:id="1192" w:name="_4a785739_0c45_401c_9a6a_3c0b8c01b47d"/>
      <w:bookmarkEnd w:id="1190"/>
      <w:bookmarkEnd w:id="1191"/>
      <w:bookmarkEnd w:id="1192"/>
      <w:r>
        <w:rPr>
          <w:rFonts w:ascii="Times New Roman;Times;serif" w:hAnsi="Times New Roman;Times;serif"/>
          <w:b/>
          <w:sz w:val="20"/>
        </w:rPr>
        <w:t>(14)  Stockholders’ Equity</w:t>
      </w:r>
    </w:p>
    <w:p>
      <w:pPr>
        <w:pStyle w:val="TextBody"/>
        <w:bidi w:val="0"/>
        <w:spacing w:before="0" w:after="0"/>
        <w:ind w:left="0" w:right="0" w:hanging="0"/>
        <w:jc w:val="left"/>
        <w:rPr>
          <w:rFonts w:ascii="Times-Bold" w:hAnsi="Times-Bold"/>
          <w:b/>
          <w:sz w:val="20"/>
        </w:rPr>
      </w:pPr>
      <w:r>
        <w:rPr>
          <w:rFonts w:ascii="Times-Bold" w:hAnsi="Times-Bold"/>
          <w:b/>
          <w:sz w:val="20"/>
        </w:rPr>
        <w:t>Redeemable Convertible Preferred Stock</w:t>
      </w:r>
    </w:p>
    <w:p>
      <w:pPr>
        <w:pStyle w:val="TextBody"/>
        <w:bidi w:val="0"/>
        <w:spacing w:before="0" w:after="0"/>
        <w:ind w:left="0" w:right="0" w:firstLine="450"/>
        <w:jc w:val="left"/>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shd w:fill="FFFFFF" w:val="clear"/>
        </w:rPr>
        <w:t>Legacy Rigetti was authorized to issue 73,389,000 shares of Series C Preferred Stock and 62,537,577 shares of Series </w:t>
      </w:r>
      <w:r>
        <w:rPr>
          <w:rFonts w:ascii="Times New Roman;Times;serif" w:hAnsi="Times New Roman;Times;serif"/>
          <w:sz w:val="20"/>
        </w:rPr>
        <w:t xml:space="preserve">C-1 </w:t>
      </w:r>
      <w:r>
        <w:rPr>
          <w:rFonts w:ascii="Times New Roman;Times;serif" w:hAnsi="Times New Roman;Times;serif"/>
          <w:sz w:val="20"/>
          <w:shd w:fill="FFFFFF" w:val="clear"/>
        </w:rPr>
        <w:t>Preferred Stock with a par value of $0.000001 per share for each class of Preferred Stock. Legacy Rigetti’s board of directors is authorized to fix the voting rights, if any, designations, powers, preferences, the relative, participating, option or other special rights and any qualifications, limitations and restrictions thereof, applicable to the shares of each series. Immediately prior to the effective time of the Business Combination (Note 3), all Legacy Rigetti Preferred Stock outstanding converted into shares of Common Stock of Legacy Rigetti (the shares in this note do not factor in the exchange ratio).</w:t>
      </w:r>
    </w:p>
    <w:p>
      <w:pPr>
        <w:pStyle w:val="TextBody"/>
        <w:bidi w:val="0"/>
        <w:spacing w:before="0" w:after="0"/>
        <w:ind w:left="0" w:right="0" w:firstLine="45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discussed in Note 3, on March 2, 2022, the Company consummated a Business Combination which has been accounted for as a reverse recapitalization. Pursuant to the certificate of incorporation as amended on March 2, 2022, the Company is authorized to issue 1,000,000,000 shares of Common Stock and 10,000,000 shares of Preferred Stock. The holders of shares of Common Stock are entitled to one vote for each share of Common Stock held. The Preferred Stock is non-voting. No shares of Preferred Stock were issued and outstanding as of December 31, 2023 or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the Company has retroactively adjusted the warrants and stock-based awards outstanding prior to March 2, 2022 to give effect to the Exchange Ratio used to determine the number of shares of Common Stock into which they were converted.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193" w:name="Tc_479Gugql7ECNHK6f9pIoFQ_4_0"/>
      <w:bookmarkStart w:id="1194" w:name="Tc_blpM86bWGUiWm-1fpHdd5g_3_0"/>
      <w:bookmarkStart w:id="1195" w:name="Tc_e-hxiqogUUebHQQOzAua4A_2_0"/>
      <w:bookmarkStart w:id="1196" w:name="Tc_qKTYnXjyskCphyIvJrFPZA_1_0"/>
      <w:bookmarkStart w:id="1197" w:name="_1418832f_85c2_484e_90f8_aef0d5d21162"/>
      <w:bookmarkEnd w:id="1193"/>
      <w:bookmarkEnd w:id="1194"/>
      <w:bookmarkEnd w:id="1195"/>
      <w:bookmarkEnd w:id="1196"/>
      <w:bookmarkEnd w:id="1197"/>
      <w:r>
        <w:rPr>
          <w:rFonts w:ascii="Times New Roman;Times;serif" w:hAnsi="Times New Roman;Times;serif"/>
          <w:sz w:val="20"/>
        </w:rPr>
        <w:t>As of December 31, 2023, the Company has reserved the following shares of Common Stock for issuance upon the conversion, exercise or vesting of the underlying instruments:</w:t>
      </w:r>
    </w:p>
    <w:tbl>
      <w:tblPr>
        <w:tblW w:w="5233" w:type="dxa"/>
        <w:jc w:val="left"/>
        <w:tblInd w:w="0" w:type="dxa"/>
        <w:tblLayout w:type="fixed"/>
        <w:tblCellMar>
          <w:top w:w="0" w:type="dxa"/>
          <w:left w:w="0" w:type="dxa"/>
          <w:bottom w:w="0" w:type="dxa"/>
          <w:right w:w="0" w:type="dxa"/>
        </w:tblCellMar>
      </w:tblPr>
      <w:tblGrid>
        <w:gridCol w:w="3676"/>
        <w:gridCol w:w="326"/>
        <w:gridCol w:w="1231"/>
      </w:tblGrid>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1"/>
              <w:ind w:left="0" w:right="0" w:hanging="0"/>
              <w:jc w:val="left"/>
              <w:rPr/>
            </w:pPr>
            <w:r>
              <w:rPr/>
              <w:t>​</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16,763,277</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2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11,517,422</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7,049,290</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 </w:t>
            </w:r>
          </w:p>
        </w:tc>
        <w:tc>
          <w:tcPr>
            <w:tcW w:w="12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35,329,989</w:t>
            </w:r>
          </w:p>
        </w:tc>
      </w:tr>
    </w:tbl>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entered into a Common Stock Purchase Agreement (the “Purchase Agreement”) with B. Riley Principal Capital II, LLC (“B. Riley”) on August 11, 2022 pursuant to which the Company was able to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filed a registration statement covering the resale of such Common Stock.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Upon the initial satisfaction of the conditions to B. Riley’s purchase obligation set forth in the Purchase Agreement, as of September 14, 2022 (the “Commencement Date”) the Company had the right, but not the obligation, from time to time at the Company’s sole discretion over the 24-month period from and after the Commencement Date, to direct B. Riley to purchase a specified amount of shares not to exceed the lesser of (i) 1,000,000 shares of Common Stock and (ii) 20% of the total aggregate number (or volume) of shares of Common Stock traded on The Nasdaq Capital Market (“Nasdaq”) during the applicable period beginning at the official open (or “commencement”) of the regular trading session on the applicable purchase date for such purchase and ending at such time that the total aggregate volume of shares of common stock traded on Nasdaq reaches the Purchase Share Volume Maximum (as defined below) for such purchase (as applicable) (such period for each purchase, the “Purchase Valuation Period”), provided, that, (i) the closing sale price of the Common Stock on the trading day immediately prior to such Purchase Date (as defined in the Purchase Agreement) is not less than $1.00 and (ii) all shares of Common Stock subject to all prior Purchases (as defined in the Purchase Agreement) and all prior Intraday Purchases (as defined in the Purchase Agreement) by B. Riley under the Purchase Agreement have been received by B. Riley prior to the time the Company delivers a purchase notice to B. Riley. “Purchase Share Volume Maximum” means, with respect to a purchase made pursuant to the Purchase Agreement, the number of shares of Common Stock equal to the quotient obtained by dividing the (i) total number of shares of Common Stock to be purchased by B. Riley in the relevant purchase (the “Purchase Share Amount”), by (ii) 0.20 (subject to certain adjustments).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the year ended December 31, 2023, the Company received proceeds of $20.5 million, from the issuance and sale of 13,421,082 shares of Common Stock to B. Riley under the Purchase Agreement. From December 31, 2023 through February 15, 2024, the Company received proceeds of $12.8 million, from the issuance and sale of 10,056,799 shares of Common Stock to B. Riley under the Purchase Agreement, and there are no remaining shares available for sale under this agreement; the agreement has terminated.</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share price had traded below $1.00 per share for an extended period in early 2023. As a result, the Company recognized impairment charges during the year ended December 31, 2023 of $0.8 million for previously deferred offering costs primarily related to the Purchase Agreement, which were recorded as selling, general and administrative expense in the accompanying consolidated statement of operations. </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198" w:name="Tc_U3CH4yxDRkiF9b7OjS-yJw_10_9"/>
      <w:bookmarkStart w:id="1199" w:name="Tc_FPW2al3BoEO25veL_aG8Rw_10_4"/>
      <w:bookmarkStart w:id="1200" w:name="Tc_Y2VibiHEm0GQ4gm0Otq2wQ_10_0"/>
      <w:bookmarkStart w:id="1201" w:name="Tc_HS_fv2qHgEK3C490SZcLCw_9_9"/>
      <w:bookmarkStart w:id="1202" w:name="Tc_F223DXZlc0-oFfMQ82-hBw_9_4"/>
      <w:bookmarkStart w:id="1203" w:name="Tc_g3qg2X31nkKbsdvQqODUkw_9_0"/>
      <w:bookmarkStart w:id="1204" w:name="Tc_EP97kGgsckaAkQcoWqjwzQ_8_0"/>
      <w:bookmarkStart w:id="1205" w:name="Tc_U0SnBf_yzk-ywwQpBjTDCA_7_9"/>
      <w:bookmarkStart w:id="1206" w:name="Tc_knCVn1_CTUSrK5C2ezunsg_7_0"/>
      <w:bookmarkStart w:id="1207" w:name="Tc_mrhi4xz0TE66kRCc7uzc8Q_6_0"/>
      <w:bookmarkStart w:id="1208" w:name="Tc_-gZoPwdKdEC2XW1bmk2GOg_5_9"/>
      <w:bookmarkStart w:id="1209" w:name="Tc_LfP7LIAD4kmAGkhdH1zTBw_5_4"/>
      <w:bookmarkStart w:id="1210" w:name="Tc_SOGwl1bh9EiO56IxjzVNGg_5_0"/>
      <w:bookmarkStart w:id="1211" w:name="Tc_t_mgwI0j1UCosxnjKwuw7A_4_9"/>
      <w:bookmarkStart w:id="1212" w:name="Tc_Zi0nMS5jJUO7QbwPnPakKw_4_7"/>
      <w:bookmarkStart w:id="1213" w:name="Tc_-90-B6LyC0Gu44veLxFUaw_4_4"/>
      <w:bookmarkStart w:id="1214" w:name="Tc_R5jXcNOfd0eOS-SY9qe_Jw_4_2"/>
      <w:bookmarkStart w:id="1215" w:name="Tc_kNgBa4y2Z0KKDVeEZHEBdg_3_9"/>
      <w:bookmarkStart w:id="1216" w:name="Tc_O8qbIltFTkOC3nQDr9Tt8g_3_7"/>
      <w:bookmarkStart w:id="1217" w:name="Tc_2zdbxKR1o06Tcp6z1I-xEA_3_4"/>
      <w:bookmarkStart w:id="1218" w:name="Tc_hSK0CA9cFE6ULQ8liii_0g_2_9"/>
      <w:bookmarkStart w:id="1219" w:name="Tc_DuS-YqqneUSiNkG2CJdx0w_2_7"/>
      <w:bookmarkStart w:id="1220" w:name="Tc_GfMo623eqEKnPLMa6weuUQ_2_4"/>
      <w:bookmarkStart w:id="1221" w:name="Tc_E6GJ96YwhUCWc-dQ8r_ThQ_1_7"/>
      <w:bookmarkStart w:id="1222" w:name="Tc_ZH4TmYDKq0eIemHd8fJukQ_1_4"/>
      <w:bookmarkStart w:id="1223" w:name="_Hlk157519022"/>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r>
        <w:rPr>
          <w:rFonts w:ascii="Times New Roman;Times;serif" w:hAnsi="Times New Roman;Times;serif"/>
          <w:b/>
          <w:sz w:val="20"/>
        </w:rPr>
        <w:t>(15) Stock-Based Compensation</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 Equity Incentive Plan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2013, the Company adopted the 2013 Equity Incentive Plan ( the “2013 Plan”) which provided for the grant of qualified incentive stock options (“ISO”) and nonqualified stock options (“NSO”), restricted stock, restricted stock units (“RSU”) or other awards to the Company’s employees, officers, directors, advisors, and outside consultants. After the Closing Date and Business Combination effective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Equity Incentive Plan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connection with the Business Combination (Note 3), the shareholders approved the Rigetti Computing, Inc. 2022 Equity Incentive Plan (the “2022 Plan”) in February, 2022, which became effective immediately upon the Closing Date. The 2022 Plan provides for the grant of ISOs, NSOs, stock appreciation rights, restricted stock awards (“RSA”), restricted stock unit awards, performance awards and other forms of awards to employees, directors, and consultants, including employees and consultants of the Company’s affiliates. As of December 31, 2023, there were 19,900,944 shares of common stock reserved for issuance under the 2022 Plan and 4,558,706 shares remain available for future issuance. The number of shares reserved for issuance under the 2022 Plan will automatically increase on January 1st of each year for a period of nine years commencing on January 1, 2023 and ending on (and including) January 1, 2032, in an amount equal to 5% of the common stock of all classes outstanding on December 31 of the preceding year; provided, however, that the board of directors of the Company may act prior to January 1st of a given year to provide that the increase for such year will be a lesser number of shares of Common Stock. Accordingly, as of January 1, 2024, the number of shares of common stock reserved for issuance under the “2022 Plan” was increased by 9,120,013 shares.</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 Activity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is a summary of stock option activity (intrinsic values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47"/>
        <w:gridCol w:w="326"/>
        <w:gridCol w:w="1537"/>
        <w:gridCol w:w="326"/>
        <w:gridCol w:w="368"/>
        <w:gridCol w:w="814"/>
        <w:gridCol w:w="326"/>
        <w:gridCol w:w="1117"/>
        <w:gridCol w:w="326"/>
        <w:gridCol w:w="326"/>
        <w:gridCol w:w="692"/>
      </w:tblGrid>
      <w:tr>
        <w:trPr/>
        <w:tc>
          <w:tcPr>
            <w:tcW w:w="4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75995" cy="175260"/>
                      <wp:effectExtent l="0" t="0" r="0" b="0"/>
                      <wp:wrapNone/>
                      <wp:docPr id="203" name="Frame200"/>
                      <a:graphic xmlns:a="http://schemas.openxmlformats.org/drawingml/2006/main">
                        <a:graphicData uri="http://schemas.microsoft.com/office/word/2010/wordprocessingShape">
                          <wps:wsp>
                            <wps:cNvSpPr txBox="1"/>
                            <wps:spPr>
                              <a:xfrm>
                                <a:off x="0" y="0"/>
                                <a:ext cx="975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33680" cy="175260"/>
                      <wp:effectExtent l="0" t="0" r="0" b="0"/>
                      <wp:wrapNone/>
                      <wp:docPr id="205" name="Frame202"/>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16890" cy="175260"/>
                      <wp:effectExtent l="0" t="0" r="0" b="0"/>
                      <wp:wrapNone/>
                      <wp:docPr id="206" name="Frame203"/>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09295" cy="175260"/>
                      <wp:effectExtent l="0" t="0" r="0" b="0"/>
                      <wp:wrapNone/>
                      <wp:docPr id="208" name="Frame205"/>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9420" cy="175260"/>
                      <wp:effectExtent l="0" t="0" r="0" b="0"/>
                      <wp:wrapNone/>
                      <wp:docPr id="211" name="Frame208"/>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center"/>
              <w:rPr/>
            </w:pPr>
            <w:r>
              <w:rPr/>
              <w:t>​</w:t>
            </w:r>
          </w:p>
        </w:tc>
      </w:tr>
      <w:tr>
        <w:trPr/>
        <w:tc>
          <w:tcPr>
            <w:tcW w:w="4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26" w:type="dxa"/>
            <w:tcBorders/>
            <w:vAlign w:val="center"/>
          </w:tcPr>
          <w:p>
            <w:pPr>
              <w:pStyle w:val="TableContents"/>
              <w:bidi w:val="0"/>
              <w:spacing w:before="0" w:after="0"/>
              <w:ind w:left="0" w:right="0" w:hanging="0"/>
              <w:jc w:val="left"/>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0"/>
              <w:ind w:left="0" w:right="0" w:hanging="0"/>
              <w:jc w:val="left"/>
              <w:rPr/>
            </w:pPr>
            <w:r>
              <w:rPr/>
              <w:t>​</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5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8,845,903</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w:t>
            </w:r>
          </w:p>
        </w:tc>
      </w:tr>
      <w:tr>
        <w:trPr/>
        <w:tc>
          <w:tcPr>
            <w:tcW w:w="4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2,791,100</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pPr>
            <w:r>
              <w:rPr/>
              <w:t>  </w:t>
            </w:r>
          </w:p>
        </w:tc>
      </w:tr>
      <w:tr>
        <w:trPr/>
        <w:tc>
          <w:tcPr>
            <w:tcW w:w="4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5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(4,046,365)</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w:t>
            </w:r>
          </w:p>
        </w:tc>
      </w:tr>
      <w:tr>
        <w:trPr/>
        <w:tc>
          <w:tcPr>
            <w:tcW w:w="4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0"/>
              <w:ind w:left="0" w:right="0" w:hanging="0"/>
              <w:jc w:val="left"/>
              <w:rPr/>
            </w:pPr>
            <w:r>
              <w:rPr/>
              <w:t> </w:t>
            </w:r>
          </w:p>
        </w:tc>
        <w:tc>
          <w:tcPr>
            <w:tcW w:w="1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(541,348)</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pPr>
            <w:r>
              <w:rPr/>
              <w:t>  </w:t>
            </w:r>
          </w:p>
        </w:tc>
      </w:tr>
      <w:tr>
        <w:trPr/>
        <w:tc>
          <w:tcPr>
            <w:tcW w:w="4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53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7,049,290</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w:t>
            </w:r>
          </w:p>
        </w:tc>
      </w:tr>
      <w:tr>
        <w:trPr/>
        <w:tc>
          <w:tcPr>
            <w:tcW w:w="4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December 31, 2023</w:t>
            </w:r>
          </w:p>
        </w:tc>
        <w:tc>
          <w:tcPr>
            <w:tcW w:w="326" w:type="dxa"/>
            <w:tcBorders/>
            <w:vAlign w:val="center"/>
          </w:tcPr>
          <w:p>
            <w:pPr>
              <w:pStyle w:val="TableContents"/>
              <w:bidi w:val="0"/>
              <w:spacing w:before="0" w:after="0"/>
              <w:ind w:left="0" w:right="0" w:hanging="0"/>
              <w:jc w:val="left"/>
              <w:rPr/>
            </w:pPr>
            <w:r>
              <w:rPr/>
              <w:t> </w:t>
            </w:r>
          </w:p>
        </w:tc>
        <w:tc>
          <w:tcPr>
            <w:tcW w:w="1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2,766,376</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1,608</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weighted-average grant date fair value of stock options granted during the years ended December 31, 2023 and December 31, 2022 was $1.03 and $0.81 per share, respectively. The total intrinsic value of stock options exercised during the years ended December 31, 2023 and December 31, 2022 was $2.0 million and $9.9 million, respectively. The Company received proceeds from stock option exercises of $1.1 million and $1.0 million during the years ended December 31, 2023 and December 31, 2022,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stock options granted to employees was $1.5 million for each of the years ended December 31, 2023 and December 31, 2022, respectively. As of December 31, 2023, the unrecognized compensation expense related to unvested stock options was $3.5 million, which is expected to be recognized over a weighted-average period of 2.67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24" w:name="Tc_Pt8405GeykOuGdiNV7GBSw_8_4"/>
      <w:bookmarkStart w:id="1225" w:name="Tc_lb4JTtdLWUKJJh3GgRwk5w_8_0"/>
      <w:bookmarkStart w:id="1226" w:name="Tc_pSWTXN3oDE2WeAD4Qgq56A_7_0"/>
      <w:bookmarkStart w:id="1227" w:name="Tc_RctP6dvLB0CRQUNMdIMjbA_6_0"/>
      <w:bookmarkStart w:id="1228" w:name="Tc_j1zQ4e6GzUOHjDZ_79lCYg_5_0"/>
      <w:bookmarkStart w:id="1229" w:name="Tc_634BQnVLvUyE6Q9aHf2qiw_4_4"/>
      <w:bookmarkStart w:id="1230" w:name="Tc_J_mPtPmp8U2Y4dpR12dF1Q_4_0"/>
      <w:bookmarkStart w:id="1231" w:name="Tc_oCn6WA9LVkKc3U8VRqyFhQ_3_4"/>
      <w:bookmarkStart w:id="1232" w:name="Tc_84OMhb0LJUiyUu1F-Obomg_3_2"/>
      <w:bookmarkStart w:id="1233" w:name="Tc_bZVRShdefEe1sXVcdYXGvw_2_4"/>
      <w:bookmarkStart w:id="1234" w:name="Tc_oapX9_xEVEGDIsfVSxwGJg_1_4"/>
      <w:bookmarkStart w:id="1235" w:name="Tc__Dpy7WerUEK5Bw6jrZbRaQ_8_0"/>
      <w:bookmarkStart w:id="1236" w:name="Tc_bSi_Zl7ZqUi5OJPhLsg5lw_7_0"/>
      <w:bookmarkStart w:id="1237" w:name="Tc_qfP2tEplfUaCK2i9VTiK8A_6_0"/>
      <w:bookmarkStart w:id="1238" w:name="Tc_qqy0t0NUU0KWCcBbg0rwdg_5_10"/>
      <w:bookmarkStart w:id="1239" w:name="Tc_l9OvtmII1k6juW1tD0FUyQ_5_7"/>
      <w:bookmarkStart w:id="1240" w:name="Tc_pZjbKf_VGkaSYiDrdjZ51w_5_4"/>
      <w:bookmarkStart w:id="1241" w:name="Tc_mloHEcSxdUqKfHADFFasZg_5_1"/>
      <w:bookmarkStart w:id="1242" w:name="Tc_3-LAa2zI7EanCWWbfWOTUA_5_0"/>
      <w:bookmarkStart w:id="1243" w:name="Tc_8HLVKsdQEEGR3edHy2qPVw_4_10"/>
      <w:bookmarkStart w:id="1244" w:name="Tc_ik3-dcG78kCdmksgSIMoMA_4_7"/>
      <w:bookmarkStart w:id="1245" w:name="Tc__FOLLINFwEOn2qpvlOj4Pw_4_4"/>
      <w:bookmarkStart w:id="1246" w:name="Tc_M6tvotHnYkamwOLGNfDtWA_4_1"/>
      <w:bookmarkStart w:id="1247" w:name="Tc_BTnDH10r7Uei1LXfFFxmRQ_4_0"/>
      <w:bookmarkStart w:id="1248" w:name="Tc_QdF5SZJ3MU6wy_u7pNc5_Q_3_11"/>
      <w:bookmarkStart w:id="1249" w:name="Tc_zuhlTpHIy0eY6m_gqb5MJw_3_8"/>
      <w:bookmarkStart w:id="1250" w:name="Tc_AX01BdJtU060OCkEDbnqTA_3_5"/>
      <w:bookmarkStart w:id="1251" w:name="Tc_ORu5Yr1w3EqrNHYPKcMaYA_3_2"/>
      <w:bookmarkStart w:id="1252" w:name="Tc_N-8nGbjERkC1u1JJwahYpQ_2_10"/>
      <w:bookmarkStart w:id="1253" w:name="Tc_JvGp-2zfVk-tUYN7yHE04Q_2_7"/>
      <w:bookmarkStart w:id="1254" w:name="Tc_i9IKxSqmiEeNJYlX3iyO2w_2_4"/>
      <w:bookmarkStart w:id="1255" w:name="Tc_sXqHtnCpxUCOrsyW03PqPw_2_1"/>
      <w:bookmarkStart w:id="1256" w:name="Tc_HuOJguqs80CACeD_q6iOCw_1_10"/>
      <w:bookmarkStart w:id="1257" w:name="Tc_CWqxXUc4rEKryZix7IC4mA_1_7"/>
      <w:bookmarkStart w:id="1258" w:name="Tc_C41TnzhYA0OEMjy2DdEpcw_1_4"/>
      <w:bookmarkStart w:id="1259" w:name="Tc__ajYnKrwOEykFM8M1kcZLw_1_1"/>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r>
        <w:rPr>
          <w:rFonts w:ascii="Times New Roman;Times;serif" w:hAnsi="Times New Roman;Times;serif"/>
          <w:b/>
          <w:sz w:val="20"/>
        </w:rPr>
        <w:t>Fair Value of Stock Option Grants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fair value of each stock option award is estimated on the date of grant using the Black-Scholes option-pricing model that uses the assumptions noted in the table below. Expected volatility for the Company’s Common Stock was determined based on a blended average of the historical volatility of a peer group of similar public companies and the implied volatility from the Company’s traded warrants. The Company has not been public for a sufficient length of time to derive expected volatility from trading in its common stock. The expected term of stock options granted was calculated using the simplified method, which represents the average of the contractual term and the weighted-average vesting period of the option. The Company uses the simplified method because it does not have sufficient historical option exercise data to provide a reasonable basis upon which to estimate expected term.</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assumed dividend yield is based upon the Company’s expectation of not paying dividends in the foreseeable future. The risk-free rate is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(including redeemable convertible preferred stock), the effect of the rights and preferences of the preferred shareholders, and the prospects of a liquidity event, among others. All of the Company’s outstanding stock options have a time-based vesting condition ranging from 1-5 years, except that 500,000 stock options granted in 2022 have a market-based vesting condition.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weighted average valuation assumptions used as inputs to the Black-Scholes option-pricing model to value stock options granted during the year ended December 31, 2023, were as follows:</w:t>
      </w:r>
    </w:p>
    <w:p>
      <w:pPr>
        <w:pStyle w:val="TextBody"/>
        <w:bidi w:val="0"/>
        <w:spacing w:before="0" w:after="0"/>
        <w:ind w:left="0" w:right="0" w:hanging="0"/>
        <w:jc w:val="left"/>
        <w:rPr/>
      </w:pPr>
      <w:r>
        <w:rPr/>
        <w:t>​</w:t>
      </w:r>
    </w:p>
    <w:tbl>
      <w:tblPr>
        <w:tblW w:w="8075" w:type="dxa"/>
        <w:jc w:val="left"/>
        <w:tblInd w:w="0" w:type="dxa"/>
        <w:tblLayout w:type="fixed"/>
        <w:tblCellMar>
          <w:top w:w="0" w:type="dxa"/>
          <w:left w:w="0" w:type="dxa"/>
          <w:bottom w:w="0" w:type="dxa"/>
          <w:right w:w="0" w:type="dxa"/>
        </w:tblCellMar>
      </w:tblPr>
      <w:tblGrid>
        <w:gridCol w:w="1876"/>
        <w:gridCol w:w="306"/>
        <w:gridCol w:w="1224"/>
        <w:gridCol w:w="109"/>
        <w:gridCol w:w="306"/>
        <w:gridCol w:w="1224"/>
        <w:gridCol w:w="109"/>
        <w:gridCol w:w="287"/>
        <w:gridCol w:w="1003"/>
        <w:gridCol w:w="326"/>
        <w:gridCol w:w="250"/>
        <w:gridCol w:w="1055"/>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191260" cy="175260"/>
                      <wp:effectExtent l="0" t="0" r="0" b="0"/>
                      <wp:wrapNone/>
                      <wp:docPr id="212" name="Frame20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94310" cy="175260"/>
                      <wp:effectExtent l="0" t="0" r="0" b="0"/>
                      <wp:wrapNone/>
                      <wp:docPr id="213" name="Frame21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77240" cy="175260"/>
                      <wp:effectExtent l="0" t="0" r="0" b="0"/>
                      <wp:wrapNone/>
                      <wp:docPr id="214" name="Frame211"/>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94310" cy="175260"/>
                      <wp:effectExtent l="0" t="0" r="0" b="0"/>
                      <wp:wrapNone/>
                      <wp:docPr id="216" name="Frame213"/>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777240" cy="175260"/>
                      <wp:effectExtent l="0" t="0" r="0" b="0"/>
                      <wp:wrapNone/>
                      <wp:docPr id="217" name="Frame214"/>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82245" cy="175260"/>
                      <wp:effectExtent l="0" t="0" r="0" b="0"/>
                      <wp:wrapNone/>
                      <wp:docPr id="219" name="Frame21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36905" cy="175260"/>
                      <wp:effectExtent l="0" t="0" r="0" b="0"/>
                      <wp:wrapNone/>
                      <wp:docPr id="220" name="Frame217"/>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58750" cy="175260"/>
                      <wp:effectExtent l="0" t="0" r="0" b="0"/>
                      <wp:wrapNone/>
                      <wp:docPr id="222" name="Frame21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69925" cy="175260"/>
                      <wp:effectExtent l="0" t="0" r="0" b="0"/>
                      <wp:wrapNone/>
                      <wp:docPr id="223" name="Frame220"/>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Time-based</w:t>
            </w:r>
          </w:p>
        </w:tc>
        <w:tc>
          <w:tcPr>
            <w:tcW w:w="109"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Time-based</w:t>
            </w:r>
          </w:p>
        </w:tc>
        <w:tc>
          <w:tcPr>
            <w:tcW w:w="109" w:type="dxa"/>
            <w:tcBorders/>
            <w:vAlign w:val="center"/>
          </w:tcPr>
          <w:p>
            <w:pPr>
              <w:pStyle w:val="TableContents"/>
              <w:bidi w:val="0"/>
              <w:spacing w:before="0" w:after="1"/>
              <w:ind w:left="0" w:right="0" w:hanging="0"/>
              <w:jc w:val="left"/>
              <w:rPr/>
            </w:pPr>
            <w:r>
              <w:rPr/>
              <w:t>​</w:t>
            </w:r>
          </w:p>
        </w:tc>
        <w:tc>
          <w:tcPr>
            <w:tcW w:w="12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Time-based</w:t>
            </w:r>
          </w:p>
        </w:tc>
        <w:tc>
          <w:tcPr>
            <w:tcW w:w="326" w:type="dxa"/>
            <w:tcBorders/>
            <w:vAlign w:val="center"/>
          </w:tcPr>
          <w:p>
            <w:pPr>
              <w:pStyle w:val="TableContents"/>
              <w:bidi w:val="0"/>
              <w:spacing w:before="0" w:after="1"/>
              <w:ind w:left="0" w:right="0" w:hanging="0"/>
              <w:jc w:val="left"/>
              <w:rPr/>
            </w:pPr>
            <w:r>
              <w:rPr/>
              <w:t>    </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Time-based</w:t>
            </w:r>
          </w:p>
        </w:tc>
      </w:tr>
      <w:tr>
        <w:trPr/>
        <w:tc>
          <w:tcPr>
            <w:tcW w:w="187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Option</w:t>
            </w:r>
          </w:p>
        </w:tc>
        <w:tc>
          <w:tcPr>
            <w:tcW w:w="109"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Option</w:t>
            </w:r>
          </w:p>
        </w:tc>
        <w:tc>
          <w:tcPr>
            <w:tcW w:w="109" w:type="dxa"/>
            <w:tcBorders/>
            <w:vAlign w:val="center"/>
          </w:tcPr>
          <w:p>
            <w:pPr>
              <w:pStyle w:val="TableContents"/>
              <w:bidi w:val="0"/>
              <w:spacing w:before="0" w:after="1"/>
              <w:ind w:left="0" w:right="0" w:hanging="0"/>
              <w:jc w:val="left"/>
              <w:rPr/>
            </w:pPr>
            <w:r>
              <w:rPr/>
              <w:t>​</w:t>
            </w:r>
          </w:p>
        </w:tc>
        <w:tc>
          <w:tcPr>
            <w:tcW w:w="12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Option</w:t>
            </w:r>
          </w:p>
        </w:tc>
        <w:tc>
          <w:tcPr>
            <w:tcW w:w="32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Option</w:t>
            </w:r>
          </w:p>
        </w:tc>
      </w:tr>
      <w:tr>
        <w:trPr/>
        <w:tc>
          <w:tcPr>
            <w:tcW w:w="187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center"/>
              <w:rPr/>
            </w:pPr>
            <w:r>
              <w:rPr/>
              <w:t>​</w:t>
            </w:r>
          </w:p>
        </w:tc>
        <w:tc>
          <w:tcPr>
            <w:tcW w:w="122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Grants</w:t>
            </w:r>
          </w:p>
        </w:tc>
        <w:tc>
          <w:tcPr>
            <w:tcW w:w="109" w:type="dxa"/>
            <w:tcBorders/>
            <w:vAlign w:val="center"/>
          </w:tcPr>
          <w:p>
            <w:pPr>
              <w:pStyle w:val="TableContents"/>
              <w:bidi w:val="0"/>
              <w:spacing w:before="0" w:after="1"/>
              <w:ind w:left="0" w:right="0" w:hanging="0"/>
              <w:jc w:val="center"/>
              <w:rPr/>
            </w:pPr>
            <w:r>
              <w:rPr/>
              <w:t>​</w:t>
            </w:r>
          </w:p>
        </w:tc>
        <w:tc>
          <w:tcPr>
            <w:tcW w:w="306" w:type="dxa"/>
            <w:tcBorders/>
            <w:vAlign w:val="center"/>
          </w:tcPr>
          <w:p>
            <w:pPr>
              <w:pStyle w:val="TableContents"/>
              <w:bidi w:val="0"/>
              <w:spacing w:before="0" w:after="1"/>
              <w:ind w:left="0" w:right="0" w:hanging="0"/>
              <w:jc w:val="center"/>
              <w:rPr/>
            </w:pPr>
            <w:r>
              <w:rPr/>
              <w:t>​</w:t>
            </w:r>
          </w:p>
        </w:tc>
        <w:tc>
          <w:tcPr>
            <w:tcW w:w="122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Grants</w:t>
            </w:r>
          </w:p>
        </w:tc>
        <w:tc>
          <w:tcPr>
            <w:tcW w:w="109"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Grants</w:t>
            </w:r>
          </w:p>
        </w:tc>
        <w:tc>
          <w:tcPr>
            <w:tcW w:w="326"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105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Grants</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1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November 22, 2023</w:t>
            </w:r>
          </w:p>
        </w:tc>
        <w:tc>
          <w:tcPr>
            <w:tcW w:w="109" w:type="dxa"/>
            <w:tcBorders/>
            <w:vAlign w:val="center"/>
          </w:tcPr>
          <w:p>
            <w:pPr>
              <w:pStyle w:val="TableContents"/>
              <w:bidi w:val="0"/>
              <w:spacing w:before="0" w:after="1"/>
              <w:ind w:left="0" w:right="0" w:hanging="0"/>
              <w:jc w:val="left"/>
              <w:rPr/>
            </w:pPr>
            <w:r>
              <w:rPr/>
              <w:t>​</w:t>
            </w:r>
          </w:p>
        </w:tc>
        <w:tc>
          <w:tcPr>
            <w:tcW w:w="1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November 15, 2023</w:t>
            </w:r>
          </w:p>
        </w:tc>
        <w:tc>
          <w:tcPr>
            <w:tcW w:w="109" w:type="dxa"/>
            <w:tcBorders/>
            <w:vAlign w:val="center"/>
          </w:tcPr>
          <w:p>
            <w:pPr>
              <w:pStyle w:val="TableContents"/>
              <w:bidi w:val="0"/>
              <w:spacing w:before="0" w:after="1"/>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16, 2023</w:t>
            </w:r>
          </w:p>
        </w:tc>
        <w:tc>
          <w:tcPr>
            <w:tcW w:w="326" w:type="dxa"/>
            <w:tcBorders/>
            <w:vAlign w:val="center"/>
          </w:tcPr>
          <w:p>
            <w:pPr>
              <w:pStyle w:val="TableContents"/>
              <w:bidi w:val="0"/>
              <w:spacing w:before="0" w:after="1"/>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30, 2023</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06" w:type="dxa"/>
            <w:tcBorders/>
            <w:vAlign w:val="center"/>
          </w:tcPr>
          <w:p>
            <w:pPr>
              <w:pStyle w:val="TableContents"/>
              <w:bidi w:val="0"/>
              <w:spacing w:before="0" w:after="1"/>
              <w:ind w:left="0" w:right="0" w:hanging="0"/>
              <w:jc w:val="left"/>
              <w:rPr/>
            </w:pPr>
            <w:r>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122.00%</w:t>
            </w:r>
          </w:p>
        </w:tc>
        <w:tc>
          <w:tcPr>
            <w:tcW w:w="109"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114.00%</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99.00%</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10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119.00%</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 (%)</w:t>
            </w:r>
          </w:p>
        </w:tc>
        <w:tc>
          <w:tcPr>
            <w:tcW w:w="306" w:type="dxa"/>
            <w:tcBorders/>
            <w:shd w:fill="CCEEFF" w:val="clear"/>
            <w:vAlign w:val="center"/>
          </w:tcPr>
          <w:p>
            <w:pPr>
              <w:pStyle w:val="TableContents"/>
              <w:bidi w:val="0"/>
              <w:spacing w:before="0" w:after="1"/>
              <w:ind w:left="0" w:right="0" w:hanging="0"/>
              <w:jc w:val="left"/>
              <w:rPr/>
            </w:pPr>
            <w:r>
              <w:rPr/>
              <w:t>​</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10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06" w:type="dxa"/>
            <w:tcBorders/>
            <w:vAlign w:val="center"/>
          </w:tcPr>
          <w:p>
            <w:pPr>
              <w:pStyle w:val="TableContents"/>
              <w:bidi w:val="0"/>
              <w:spacing w:before="0" w:after="1"/>
              <w:ind w:left="0" w:right="0" w:hanging="0"/>
              <w:jc w:val="left"/>
              <w:rPr/>
            </w:pPr>
            <w:r>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c>
          <w:tcPr>
            <w:tcW w:w="109"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1055"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6.02</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is a summary of RSU activity:</w:t>
      </w:r>
    </w:p>
    <w:p>
      <w:pPr>
        <w:pStyle w:val="TextBody"/>
        <w:bidi w:val="0"/>
        <w:spacing w:before="0" w:after="0"/>
        <w:ind w:left="0" w:right="0" w:hanging="0"/>
        <w:jc w:val="left"/>
        <w:rPr/>
      </w:pPr>
      <w:r>
        <w:rPr/>
        <w:t>​</w:t>
      </w:r>
    </w:p>
    <w:tbl>
      <w:tblPr>
        <w:tblW w:w="6069" w:type="dxa"/>
        <w:jc w:val="left"/>
        <w:tblInd w:w="0" w:type="dxa"/>
        <w:tblLayout w:type="fixed"/>
        <w:tblCellMar>
          <w:top w:w="0" w:type="dxa"/>
          <w:left w:w="0" w:type="dxa"/>
          <w:bottom w:w="0" w:type="dxa"/>
          <w:right w:w="0" w:type="dxa"/>
        </w:tblCellMar>
      </w:tblPr>
      <w:tblGrid>
        <w:gridCol w:w="2866"/>
        <w:gridCol w:w="326"/>
        <w:gridCol w:w="1051"/>
        <w:gridCol w:w="326"/>
        <w:gridCol w:w="403"/>
        <w:gridCol w:w="1097"/>
      </w:tblGrid>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67385" cy="175260"/>
                      <wp:effectExtent l="0" t="0" r="0" b="0"/>
                      <wp:wrapNone/>
                      <wp:docPr id="225" name="Frame22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55905" cy="175260"/>
                      <wp:effectExtent l="0" t="0" r="0" b="0"/>
                      <wp:wrapNone/>
                      <wp:docPr id="227" name="Frame224"/>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6595" cy="175260"/>
                      <wp:effectExtent l="0" t="0" r="0" b="0"/>
                      <wp:wrapNone/>
                      <wp:docPr id="228" name="Frame225"/>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11,332,591</w:t>
            </w:r>
          </w:p>
        </w:tc>
        <w:tc>
          <w:tcPr>
            <w:tcW w:w="326"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9,046,029</w:t>
            </w:r>
          </w:p>
        </w:tc>
        <w:tc>
          <w:tcPr>
            <w:tcW w:w="326"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(4,998,582)</w:t>
            </w:r>
          </w:p>
        </w:tc>
        <w:tc>
          <w:tcPr>
            <w:tcW w:w="326"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(3,862,616)</w:t>
            </w:r>
          </w:p>
        </w:tc>
        <w:tc>
          <w:tcPr>
            <w:tcW w:w="326" w:type="dxa"/>
            <w:tcBorders/>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11,517,422</w:t>
            </w:r>
          </w:p>
        </w:tc>
        <w:tc>
          <w:tcPr>
            <w:tcW w:w="326" w:type="dxa"/>
            <w:tcBorders/>
            <w:shd w:fill="CCEEFF" w:val="clear"/>
            <w:vAlign w:val="center"/>
          </w:tcPr>
          <w:p>
            <w:pPr>
              <w:pStyle w:val="TableContents"/>
              <w:bidi w:val="0"/>
              <w:spacing w:before="0" w:after="1"/>
              <w:ind w:left="0" w:right="0" w:hanging="0"/>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2.20</w:t>
            </w:r>
          </w:p>
        </w:tc>
      </w:tr>
    </w:tbl>
    <w:p>
      <w:pPr>
        <w:pStyle w:val="TextBody"/>
        <w:bidi w:val="0"/>
        <w:spacing w:before="0" w:after="24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bookmarkStart w:id="1260" w:name="Tc_P8jt3n7MAUyjatRC86zJcg_5_5"/>
      <w:bookmarkStart w:id="1261" w:name="Tc_YWcwvKT73UaQHWPgxXQeiA_5_2"/>
      <w:bookmarkStart w:id="1262" w:name="Tc_Rrz0FwUBQUmDSOIeESC2vw_5_0"/>
      <w:bookmarkStart w:id="1263" w:name="Tc_Z41j0CMtw0yydYeNU7Fzyg_4_0"/>
      <w:bookmarkStart w:id="1264" w:name="Tc_UMgcwYyEYEqJslgKG3dFwg_3_5"/>
      <w:bookmarkStart w:id="1265" w:name="Tc_R7V6WmOiq0aPZemyiJ7JmA_3_2"/>
      <w:bookmarkStart w:id="1266" w:name="Tc_XPyosHt9Q0-c1IjFRKSkfg_3_0"/>
      <w:bookmarkStart w:id="1267" w:name="Tc_zzD3bPA0ikmMeNqWmDRJhA_2_5"/>
      <w:bookmarkStart w:id="1268" w:name="Tc_JhprR9oKhUGEazkotqwGrQ_2_2"/>
      <w:bookmarkStart w:id="1269" w:name="Tc_bdvJDw9fs0WSZnixDh3A-A_1_2"/>
      <w:bookmarkStart w:id="1270" w:name="Tc_TgHt6bxR1028iFttZEX_BQ_7_0"/>
      <w:bookmarkStart w:id="1271" w:name="Tc_apxnjsTuqE-GeAfPWBm1rg_6_0"/>
      <w:bookmarkStart w:id="1272" w:name="Tc_h_IN0PQsr0WvJ1LiyLmVWQ_5_0"/>
      <w:bookmarkStart w:id="1273" w:name="Tc_AZXrZIe1PEqRoEv6z_lSKw_4_0"/>
      <w:bookmarkStart w:id="1274" w:name="Tc_BnxWYH0wzkybtZjGB8EL0A_3_2"/>
      <w:bookmarkStart w:id="1275" w:name="Tc_UHPyCKZAEU6YGRVdMzqNOA_3_0"/>
      <w:bookmarkStart w:id="1276" w:name="Tc_xvLj54DDJ0GGlvusIA3IOw_2_2"/>
      <w:bookmarkStart w:id="1277" w:name="Tc_5DVDq6JSmU2hIz7I7yy19A_2_0"/>
      <w:bookmarkStart w:id="1278" w:name="Tc_L3e5DuVaj0K1R6FU-zh2GA_1_2"/>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rFonts w:ascii="Times New Roman;Times;serif" w:hAnsi="Times New Roman;Times;serif"/>
          <w:sz w:val="20"/>
        </w:rPr>
        <w:t>On March 2, 2022, the performance condition of all then outstanding RSUs was met due to the closing of the Business Combination. As a result, the Company recorded cumulative catch-up compensation expense for the vesting period that was satisfied as of March 2, 2022 and continues amortizing compensation expenses for unvested RSUs over their remaining vesting period.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aggregate fair value of outstanding RSUs based on the closing share price of the Company’s common stock at December 31, 2023 and December 31, 2022 was $11.3 million and $8.3 million, respectively. The aggregate fair value of RSUs that vested during the years ended December 31, 2023 and December 31, 2022 was $5.0 million and $24.6 million,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year ended December 31, 2023, the Company issued 5,196,029 time-based RSUs and 3,850,000 market-based RSUs. The time-based RSUs vest over periods ranging from 1-4 years and require continuous employment. The market-based RSUs vest only if certain share price thresholds are achieved and require continuous employment. Based upon the terms of such awards, 50% of the shares vest if the Company’s common stock trades at or above $2.00 per share, and the other 50% of the shares vest if the Company’s common stock trades at above $4.00 per share, for 20 out of 30 trading days through the fifth anniversary of the grant date.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fair value of the Company’s time-based RSUs was calculated based on the fair market value of the Company’s common stock on the date of grant. The fair value of the Company’s market-based RSUs was calculated using a Monte Carlo simulation model at the date of grant. The weighted-average grant date fair value for market-based RSUs granted during the year ended December 31, 2023 was $0.56 per RSU.</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inputs into the Monte Carlo simulation model used to value market based RSUs granted during the year ended December 31, 2023 were as follows:</w:t>
      </w:r>
    </w:p>
    <w:p>
      <w:pPr>
        <w:pStyle w:val="TextBody"/>
        <w:bidi w:val="0"/>
        <w:spacing w:before="0" w:after="0"/>
        <w:ind w:left="0" w:right="0" w:hanging="0"/>
        <w:jc w:val="left"/>
        <w:rPr/>
      </w:pPr>
      <w:r>
        <w:rPr/>
        <w:t>​</w:t>
      </w:r>
    </w:p>
    <w:tbl>
      <w:tblPr>
        <w:tblW w:w="4498" w:type="dxa"/>
        <w:jc w:val="left"/>
        <w:tblInd w:w="0" w:type="dxa"/>
        <w:tblLayout w:type="fixed"/>
        <w:tblCellMar>
          <w:top w:w="0" w:type="dxa"/>
          <w:left w:w="0" w:type="dxa"/>
          <w:bottom w:w="0" w:type="dxa"/>
          <w:right w:w="0" w:type="dxa"/>
        </w:tblCellMar>
      </w:tblPr>
      <w:tblGrid>
        <w:gridCol w:w="3016"/>
        <w:gridCol w:w="326"/>
        <w:gridCol w:w="261"/>
        <w:gridCol w:w="895"/>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915160" cy="175260"/>
                      <wp:effectExtent l="0" t="0" r="0" b="0"/>
                      <wp:wrapNone/>
                      <wp:docPr id="229" name="Frame22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5735" cy="175260"/>
                      <wp:effectExtent l="0" t="0" r="0" b="0"/>
                      <wp:wrapNone/>
                      <wp:docPr id="231" name="Frame22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1"/>
              <w:ind w:left="0" w:right="0" w:hanging="0"/>
              <w:jc w:val="left"/>
              <w:rPr/>
            </w:pPr>
            <w:r>
              <w:rPr/>
              <w:t>​</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Market-based</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RSUs</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 (%)</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5.00</w:t>
            </w:r>
          </w:p>
        </w:tc>
      </w:tr>
    </w:tbl>
    <w:p>
      <w:pPr>
        <w:pStyle w:val="TextBody"/>
        <w:bidi w:val="0"/>
        <w:spacing w:before="0" w:after="240"/>
        <w:ind w:left="0" w:right="0" w:firstLine="547"/>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RSUs granted to employees was $10.9 million and $43.3 million for the years ended December 31, 2023 and December 31, 2022, respectively. As of December 31, 2023, the unrecognized compensation expense related to unvested RSUs was $19.6 million which is expected to be recognized over a weighted-average period of 1.79 years.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Summarized Stock-Based Compensation Expenses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table below summarizes total stock-based compensation expenses for the years ended December 31, 2023 and December 31, 2022 (in thousands):</w:t>
      </w:r>
    </w:p>
    <w:p>
      <w:pPr>
        <w:pStyle w:val="TextBody"/>
        <w:bidi w:val="0"/>
        <w:spacing w:before="0" w:after="0"/>
        <w:ind w:left="0" w:right="0" w:hanging="0"/>
        <w:jc w:val="left"/>
        <w:rPr/>
      </w:pPr>
      <w:r>
        <w:rPr/>
        <w:t>​</w:t>
      </w:r>
    </w:p>
    <w:tbl>
      <w:tblPr>
        <w:tblW w:w="6316" w:type="dxa"/>
        <w:jc w:val="left"/>
        <w:tblInd w:w="0" w:type="dxa"/>
        <w:tblLayout w:type="fixed"/>
        <w:tblCellMar>
          <w:top w:w="0" w:type="dxa"/>
          <w:left w:w="0" w:type="dxa"/>
          <w:bottom w:w="0" w:type="dxa"/>
          <w:right w:w="0" w:type="dxa"/>
        </w:tblCellMar>
      </w:tblPr>
      <w:tblGrid>
        <w:gridCol w:w="3736"/>
        <w:gridCol w:w="326"/>
        <w:gridCol w:w="211"/>
        <w:gridCol w:w="676"/>
        <w:gridCol w:w="326"/>
        <w:gridCol w:w="211"/>
        <w:gridCol w:w="676"/>
        <w:gridCol w:w="154"/>
      </w:tblGrid>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29260" cy="175260"/>
                      <wp:effectExtent l="0" t="0" r="0" b="0"/>
                      <wp:wrapNone/>
                      <wp:docPr id="234" name="Frame2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29260" cy="175260"/>
                      <wp:effectExtent l="0" t="0" r="0" b="0"/>
                      <wp:wrapNone/>
                      <wp:docPr id="237" name="Frame2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97790" cy="175260"/>
                      <wp:effectExtent l="0" t="0" r="0" b="0"/>
                      <wp:wrapNone/>
                      <wp:docPr id="238" name="Frame23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30,720</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44,812</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279" w:name="Tc_FDv5rbVm-kebwDoU7znK9w_5_0"/>
      <w:bookmarkStart w:id="1280" w:name="Tc_R9eYe0aDv0yYe9CRltlzVg_4_0"/>
      <w:bookmarkStart w:id="1281" w:name="Tc_tip8Fjl3akOnarwPiZRtow_3_0"/>
      <w:bookmarkStart w:id="1282" w:name="Tc_Q6-5LA2DrE6yeeZ8TmgC1A_2_4"/>
      <w:bookmarkStart w:id="1283" w:name="Tc_gzmJ2mXWB0iMbaCP2zvoBQ_2_2"/>
      <w:bookmarkStart w:id="1284" w:name="Tc_XT7PC-YrP0aO9gAHt2Vniw_1_2"/>
      <w:bookmarkStart w:id="1285" w:name="_1d383106_e83b_4e2b_85fd_7cf05aff5c52"/>
      <w:bookmarkStart w:id="1286" w:name="Tc_phx3BHpsI0eSUPO_azLJrw_7_5"/>
      <w:bookmarkStart w:id="1287" w:name="Tc_2qzHeC4sX0amJN70RV2ksw_7_2"/>
      <w:bookmarkStart w:id="1288" w:name="Tc_iP1XQVEQrk-3h79ok4TWEQ_7_0"/>
      <w:bookmarkStart w:id="1289" w:name="Tc_bTVVzELOm0WM20KXbRO-ag_6_0"/>
      <w:bookmarkStart w:id="1290" w:name="Tc_6Nc5wHhiGk2huZdEfIMQdQ_5_0"/>
      <w:bookmarkStart w:id="1291" w:name="Tc_E2amAMaaC0Wx7VYfbnU9MA_4_5"/>
      <w:bookmarkStart w:id="1292" w:name="Tc_JVXWRd-xrkGPgP1ZAnfzyg_4_2"/>
      <w:bookmarkStart w:id="1293" w:name="Tc_QtsAQOrZwE2whRepq_ELIg_4_0"/>
      <w:bookmarkStart w:id="1294" w:name="Tc_u2JqJ0fGpECUNzFy2Vc3bA_3_0"/>
      <w:bookmarkStart w:id="1295" w:name="Tc_LOm_4O1G2k2cla8f9LKqAg_2_5"/>
      <w:bookmarkStart w:id="1296" w:name="Tc_cTgyKfYTg0qHYIEti7uJ9w_2_2"/>
      <w:bookmarkStart w:id="1297" w:name="Tc_0DCMhVLTo0WHL3w0dcDwsQ_1_2"/>
      <w:bookmarkStart w:id="1298" w:name="_c7803bef_fc80_458d_a33d_c1119a38317c"/>
      <w:bookmarkStart w:id="1299" w:name="_2114a55c_3e67_4aaf_a586_8920c85ba195"/>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r>
        <w:rPr>
          <w:rFonts w:ascii="Times New Roman;Times;serif" w:hAnsi="Times New Roman;Times;serif"/>
          <w:b/>
          <w:sz w:val="20"/>
        </w:rPr>
        <w:t>(16)  Net Loss Per Share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a result of the Business Combination (see Note 3), the Company has retroactively adjusted the weighted average shares outstanding prior to March 2, 2022 to give effect to the Exchange Ratio used to determine the number of shares of Common Stock into which they were converted.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 sets forth the computation of basic and diluted net loss per share attributable to common stockholders (in thousands, except per share amounts):</w:t>
      </w:r>
    </w:p>
    <w:tbl>
      <w:tblPr>
        <w:tblW w:w="7422" w:type="dxa"/>
        <w:jc w:val="left"/>
        <w:tblInd w:w="0" w:type="dxa"/>
        <w:tblLayout w:type="fixed"/>
        <w:tblCellMar>
          <w:top w:w="0" w:type="dxa"/>
          <w:left w:w="0" w:type="dxa"/>
          <w:bottom w:w="0" w:type="dxa"/>
          <w:right w:w="0" w:type="dxa"/>
        </w:tblCellMar>
      </w:tblPr>
      <w:tblGrid>
        <w:gridCol w:w="4711"/>
        <w:gridCol w:w="326"/>
        <w:gridCol w:w="211"/>
        <w:gridCol w:w="796"/>
        <w:gridCol w:w="326"/>
        <w:gridCol w:w="211"/>
        <w:gridCol w:w="841"/>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991485" cy="175260"/>
                      <wp:effectExtent l="0" t="0" r="0" b="0"/>
                      <wp:wrapNone/>
                      <wp:docPr id="239" name="Frame236"/>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05460" cy="175260"/>
                      <wp:effectExtent l="0" t="0" r="0" b="0"/>
                      <wp:wrapNone/>
                      <wp:docPr id="242" name="Frame2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34035" cy="175260"/>
                      <wp:effectExtent l="0" t="0" r="0" b="0"/>
                      <wp:wrapNone/>
                      <wp:docPr id="245" name="Frame24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(71,521)</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102,301</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There are 3,059,273 Sponsor Vesting Shares that were not included in the computations of basic and diluted net loss per share for the years ended December 31, 2023 and 2022, respectively, because the contingencies for the issuance of these shares have not been met. The weighted-average common shares outstanding for the years ended </w:t>
      </w:r>
      <w:r>
        <w:rPr>
          <w:rFonts w:ascii="Times New Roman;Times;serif" w:hAnsi="Times New Roman;Times;serif"/>
          <w:b w:val="false"/>
          <w:i w:val="false"/>
          <w:caps w:val="false"/>
          <w:smallCaps w:val="false"/>
          <w:sz w:val="20"/>
        </w:rPr>
        <w:t>December 31, 2023</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December 31, 2022</w:t>
      </w:r>
      <w:r>
        <w:rPr>
          <w:rFonts w:ascii="Times New Roman;Times;serif" w:hAnsi="Times New Roman;Times;serif"/>
          <w:sz w:val="20"/>
        </w:rPr>
        <w:t xml:space="preserve"> include 1,194,069 and 2,541,856 weighted-average shares for warrants having an exercise price of $0.01 per share each, respectively.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Company’s potential dilutive securities, which include stock options, restricted stock units, convertible preferred stock and warrants have been excluded from the computation of diluted net loss per share as the effect would be anti-dilutive. Therefore, the weighted average number of common shares outstanding used to calculate both basic and diluted net loss per share is the same.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excluded the following potential common shares from the computation of diluted net loss per share for the years ended December 31, 2023 and December 31, 2022:</w:t>
      </w:r>
    </w:p>
    <w:tbl>
      <w:tblPr>
        <w:tblW w:w="5294" w:type="dxa"/>
        <w:jc w:val="left"/>
        <w:tblInd w:w="0" w:type="dxa"/>
        <w:tblLayout w:type="fixed"/>
        <w:tblCellMar>
          <w:top w:w="0" w:type="dxa"/>
          <w:left w:w="0" w:type="dxa"/>
          <w:bottom w:w="0" w:type="dxa"/>
          <w:right w:w="0" w:type="dxa"/>
        </w:tblCellMar>
      </w:tblPr>
      <w:tblGrid>
        <w:gridCol w:w="2416"/>
        <w:gridCol w:w="326"/>
        <w:gridCol w:w="1036"/>
        <w:gridCol w:w="326"/>
        <w:gridCol w:w="1036"/>
        <w:gridCol w:w="154"/>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534160" cy="175260"/>
                      <wp:effectExtent l="0" t="0" r="0" b="0"/>
                      <wp:wrapNone/>
                      <wp:docPr id="246" name="Frame243"/>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57860" cy="175260"/>
                      <wp:effectExtent l="0" t="0" r="0" b="0"/>
                      <wp:wrapNone/>
                      <wp:docPr id="248" name="Frame2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57860" cy="175260"/>
                      <wp:effectExtent l="0" t="0" r="0" b="0"/>
                      <wp:wrapNone/>
                      <wp:docPr id="250" name="Frame2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7790" cy="175260"/>
                      <wp:effectExtent l="0" t="0" r="0" b="0"/>
                      <wp:wrapNone/>
                      <wp:docPr id="251" name="Frame2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154" w:type="dxa"/>
            <w:tcBorders/>
            <w:vAlign w:val="center"/>
          </w:tcPr>
          <w:p>
            <w:pPr>
              <w:pStyle w:val="TableContents"/>
              <w:bidi w:val="0"/>
              <w:spacing w:before="0" w:after="1"/>
              <w:ind w:left="0" w:right="0" w:hanging="0"/>
              <w:jc w:val="center"/>
              <w:rPr/>
            </w:pPr>
            <w:r>
              <w:rPr/>
              <w:t>​</w:t>
            </w:r>
          </w:p>
        </w:tc>
      </w:tr>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1"/>
              <w:ind w:left="0" w:right="0" w:hanging="0"/>
              <w:jc w:val="center"/>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14,450,430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14,444,127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7,049,290</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8,845,903</w:t>
            </w:r>
          </w:p>
        </w:tc>
        <w:tc>
          <w:tcPr>
            <w:tcW w:w="154" w:type="dxa"/>
            <w:tcBorders/>
            <w:vAlign w:val="center"/>
          </w:tcPr>
          <w:p>
            <w:pPr>
              <w:pStyle w:val="TableContents"/>
              <w:bidi w:val="0"/>
              <w:spacing w:before="0" w:after="1"/>
              <w:ind w:left="0" w:right="0" w:hanging="0"/>
              <w:jc w:val="left"/>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11,517,422</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11,332,591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33,017,142</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34,622,621</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does not include 1,340,310</w:t>
            </w:r>
            <w:r>
              <w:rPr>
                <w:caps w:val="false"/>
                <w:smallCaps w:val="false"/>
              </w:rPr>
              <w:t xml:space="preserve"> </w:t>
            </w:r>
            <w:r>
              <w:rPr>
                <w:rFonts w:ascii="Times New Roman;Times;serif" w:hAnsi="Times New Roman;Times;serif"/>
                <w:b w:val="false"/>
                <w:i w:val="false"/>
                <w:caps w:val="false"/>
                <w:smallCaps w:val="false"/>
                <w:sz w:val="20"/>
              </w:rPr>
              <w:t>Unvested Customer Warrants as of December 31, 2023 and December 31, 2022, respectively.</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00" w:name="Tc_zL1Xw-niSEGZWg9dSKgr8w_6_5"/>
      <w:bookmarkStart w:id="1301" w:name="Tc_yRebTZbPrEibU7AcipIW1g_6_2"/>
      <w:bookmarkStart w:id="1302" w:name="Tc_4IGn3713PUmRRr1zPfDe3Q_6_0"/>
      <w:bookmarkStart w:id="1303" w:name="Tc_SPENfS_l4kqrbk87TTYU3g_5_0"/>
      <w:bookmarkStart w:id="1304" w:name="Tc_l1NZUucr5USFZQhC4DuMkQ_4_0"/>
      <w:bookmarkStart w:id="1305" w:name="Tc_GmMoQa_zuEuJLjwNNPmjkA_3_5"/>
      <w:bookmarkStart w:id="1306" w:name="Tc_7KpexlIywkeqKc21OiI6VA_3_2"/>
      <w:bookmarkStart w:id="1307" w:name="Tc__vCxZUToi0iobUFar4kdtQ_3_0"/>
      <w:bookmarkStart w:id="1308" w:name="Tc_zqb2_c4vfUKst93DD8cdUQ_2_5"/>
      <w:bookmarkStart w:id="1309" w:name="Tc_KEkP2xP3Yk-SqNj8arJGnw_2_2"/>
      <w:bookmarkStart w:id="1310" w:name="Tc_w7CRZ-CDoU-RY7gnAQbNFw_1_2"/>
      <w:bookmarkStart w:id="1311" w:name="Tc_sZ9M2Nuk1U-_h3ZjxlCeAA_4_8"/>
      <w:bookmarkStart w:id="1312" w:name="Tc_pIH5sVinA0WgK-DAXIiyjw_4_5"/>
      <w:bookmarkStart w:id="1313" w:name="Tc_vFvpRj9L_kmudbg7co2vEA_4_2"/>
      <w:bookmarkStart w:id="1314" w:name="Tc_a2Odj3pTCEqt6tBo2CIVkg_4_0"/>
      <w:bookmarkStart w:id="1315" w:name="Tc_nNHuKwWS90i0ZNejGKf-8A_3_8"/>
      <w:bookmarkStart w:id="1316" w:name="Tc_g4sfGqNnFUGgmtvG7rEVTQ_3_5"/>
      <w:bookmarkStart w:id="1317" w:name="Tc_4lmltTH1jUGNBwN2avOqhQ_3_2"/>
      <w:bookmarkStart w:id="1318" w:name="Tc_nDwH6SbzTEGwhV1NDPwJ6w_3_0"/>
      <w:bookmarkStart w:id="1319" w:name="Tc_DKxzbDgs30yCPqYgIdbd1w_2_8"/>
      <w:bookmarkStart w:id="1320" w:name="Tc_JBV1aVIsQEeCszCuOr90JQ_2_5"/>
      <w:bookmarkStart w:id="1321" w:name="Tc_-Oy9llZx30yXUHRnGoMuwg_2_2"/>
      <w:bookmarkStart w:id="1322" w:name="Tc_zi9UsUYNYEGp5RAS_4gOqw_2_0"/>
      <w:bookmarkStart w:id="1323" w:name="Tc_wi4rsRkDOkGAmvtuPyVrGQ_1_8"/>
      <w:bookmarkStart w:id="1324" w:name="Tc_RacKfKSOyEKkrPatlCvX1Q_1_5"/>
      <w:bookmarkStart w:id="1325" w:name="Tc_9KDTmN-rME6HbGh1x06p7A_1_2"/>
      <w:bookmarkStart w:id="1326" w:name="Tc_BV4YbNkHUEy4WxcBNt5Ntg_5_5"/>
      <w:bookmarkStart w:id="1327" w:name="Tc_7TBwQZrXG0mqChxuP8wBqA_5_2"/>
      <w:bookmarkStart w:id="1328" w:name="Tc_76vF9CA63kCYfaPjSH1PzQ_4_0"/>
      <w:bookmarkStart w:id="1329" w:name="Tc_mXoq0Ugz5kKsENcUGSvrIA_3_6"/>
      <w:bookmarkStart w:id="1330" w:name="Tc_fF7qAQsEsE2g2xIdnJ3kSA_3_5"/>
      <w:bookmarkStart w:id="1331" w:name="Tc_q2SI_LmvGUSWK7240y4xuw_3_2"/>
      <w:bookmarkStart w:id="1332" w:name="Tc_uN8zl0EONUufgtRZwWFiuA_3_0"/>
      <w:bookmarkStart w:id="1333" w:name="Tc_wRxkg2WhWUWpWd1D4eglXg_2_5"/>
      <w:bookmarkStart w:id="1334" w:name="Tc_mRmfges_8U6TUdwVHiGjmA_2_2"/>
      <w:bookmarkStart w:id="1335" w:name="Tc_VUK5xjrFfUKhFUKtwhFgpg_1_2"/>
      <w:bookmarkStart w:id="1336" w:name="_0c4b1e76_f811_474b_a100_3e520ad6a8a3"/>
      <w:bookmarkStart w:id="1337" w:name="Tc_8Yv3J8uipk-0ma4qa6zO9A_5_5"/>
      <w:bookmarkStart w:id="1338" w:name="Tc_BcDF9JQJ6UmzVCkd1Wf2HQ_5_2"/>
      <w:bookmarkStart w:id="1339" w:name="Tc_qFJXqq5bqE67b5XmXI9Ulg_4_0"/>
      <w:bookmarkStart w:id="1340" w:name="Tc_aCnm1nRJMkmsAy2Rzq_Rwg_3_5"/>
      <w:bookmarkStart w:id="1341" w:name="Tc_neGkbxh4eEGHbSO86IR-kQ_3_2"/>
      <w:bookmarkStart w:id="1342" w:name="Tc_h7k515d_R0-H-JUEvyV-cg_3_0"/>
      <w:bookmarkStart w:id="1343" w:name="Tc_DFAKyGLDWUeZT1J9UjEZAg_2_5"/>
      <w:bookmarkStart w:id="1344" w:name="Tc_LBUTLuVjiUGdaC0tJpOmhg_2_2"/>
      <w:bookmarkStart w:id="1345" w:name="Tc_RyYaNCch2kWckTPNoXKTCw_1_2"/>
      <w:bookmarkStart w:id="1346" w:name="_544c28b4_e581_431d_9856_f5ebcc09c48e"/>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Pr>
          <w:rFonts w:ascii="Times New Roman;Times;serif" w:hAnsi="Times New Roman;Times;serif"/>
          <w:b/>
          <w:sz w:val="20"/>
        </w:rPr>
        <w:t>(17) Revenue Recognition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years ended December 31, 2023 and December 31, 2022 (in thousands):</w:t>
      </w:r>
    </w:p>
    <w:tbl>
      <w:tblPr>
        <w:tblW w:w="8491" w:type="dxa"/>
        <w:jc w:val="left"/>
        <w:tblInd w:w="0" w:type="dxa"/>
        <w:tblLayout w:type="fixed"/>
        <w:tblCellMar>
          <w:top w:w="0" w:type="dxa"/>
          <w:left w:w="0" w:type="dxa"/>
          <w:bottom w:w="0" w:type="dxa"/>
          <w:right w:w="0" w:type="dxa"/>
        </w:tblCellMar>
      </w:tblPr>
      <w:tblGrid>
        <w:gridCol w:w="5911"/>
        <w:gridCol w:w="326"/>
        <w:gridCol w:w="211"/>
        <w:gridCol w:w="676"/>
        <w:gridCol w:w="326"/>
        <w:gridCol w:w="211"/>
        <w:gridCol w:w="676"/>
        <w:gridCol w:w="154"/>
      </w:tblGrid>
      <w:tr>
        <w:trPr/>
        <w:tc>
          <w:tcPr>
            <w:tcW w:w="5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29260" cy="175260"/>
                      <wp:effectExtent l="0" t="0" r="0" b="0"/>
                      <wp:wrapNone/>
                      <wp:docPr id="254" name="Frame2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29260" cy="175260"/>
                      <wp:effectExtent l="0" t="0" r="0" b="0"/>
                      <wp:wrapNone/>
                      <wp:docPr id="257" name="Frame2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97790" cy="175260"/>
                      <wp:effectExtent l="0" t="0" r="0" b="0"/>
                      <wp:wrapNone/>
                      <wp:docPr id="258" name="Frame25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54" w:type="dxa"/>
            <w:tcBorders/>
            <w:vAlign w:val="center"/>
          </w:tcPr>
          <w:p>
            <w:pPr>
              <w:pStyle w:val="TableContents"/>
              <w:bidi w:val="0"/>
              <w:spacing w:before="0" w:after="0"/>
              <w:ind w:left="0" w:right="0" w:hanging="0"/>
              <w:jc w:val="center"/>
              <w:rPr/>
            </w:pPr>
            <w:r>
              <w:rPr/>
              <w:t>​</w:t>
            </w:r>
          </w:p>
        </w:tc>
      </w:tr>
      <w:tr>
        <w:trPr/>
        <w:tc>
          <w:tcPr>
            <w:tcW w:w="5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center"/>
              <w:rPr/>
            </w:pPr>
            <w:r>
              <w:rPr/>
              <w:t>​</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Collaborative research, other professional services and related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3,185</w:t>
            </w:r>
          </w:p>
        </w:tc>
        <w:tc>
          <w:tcPr>
            <w:tcW w:w="154" w:type="dxa"/>
            <w:tcBorders/>
            <w:vAlign w:val="center"/>
          </w:tcPr>
          <w:p>
            <w:pPr>
              <w:pStyle w:val="TableContents"/>
              <w:bidi w:val="0"/>
              <w:spacing w:before="0" w:after="0"/>
              <w:ind w:left="0" w:right="0" w:hanging="0"/>
              <w:jc w:val="left"/>
              <w:rPr/>
            </w:pPr>
            <w:r>
              <w:rPr/>
              <w:t>​</w:t>
            </w:r>
          </w:p>
        </w:tc>
      </w:tr>
      <w:tr>
        <w:trPr/>
        <w:tc>
          <w:tcPr>
            <w:tcW w:w="59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5742" w:type="dxa"/>
        <w:jc w:val="left"/>
        <w:tblInd w:w="0" w:type="dxa"/>
        <w:tblLayout w:type="fixed"/>
        <w:tblCellMar>
          <w:top w:w="0" w:type="dxa"/>
          <w:left w:w="0" w:type="dxa"/>
          <w:bottom w:w="0" w:type="dxa"/>
          <w:right w:w="0" w:type="dxa"/>
        </w:tblCellMar>
      </w:tblPr>
      <w:tblGrid>
        <w:gridCol w:w="3211"/>
        <w:gridCol w:w="326"/>
        <w:gridCol w:w="211"/>
        <w:gridCol w:w="676"/>
        <w:gridCol w:w="326"/>
        <w:gridCol w:w="211"/>
        <w:gridCol w:w="781"/>
      </w:tblGrid>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95935" cy="175260"/>
                      <wp:effectExtent l="0" t="0" r="0" b="0"/>
                      <wp:wrapNone/>
                      <wp:docPr id="264" name="Frame2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13,102</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13,102</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Selected consolidated balance sheet line items that reflect accounts receivable, contract assets and liabilities as of December 31, 2023, December 31, 2022 and December 31, 2021 were as follows (in thousands):</w:t>
      </w:r>
    </w:p>
    <w:p>
      <w:pPr>
        <w:pStyle w:val="TextBody"/>
        <w:bidi w:val="0"/>
        <w:spacing w:before="0" w:after="0"/>
        <w:ind w:left="0" w:right="0" w:hanging="0"/>
        <w:jc w:val="left"/>
        <w:rPr/>
      </w:pPr>
      <w:r>
        <w:rPr/>
        <w:t>​</w:t>
      </w:r>
    </w:p>
    <w:tbl>
      <w:tblPr>
        <w:tblW w:w="7327" w:type="dxa"/>
        <w:jc w:val="left"/>
        <w:tblInd w:w="0" w:type="dxa"/>
        <w:tblLayout w:type="fixed"/>
        <w:tblCellMar>
          <w:top w:w="0" w:type="dxa"/>
          <w:left w:w="0" w:type="dxa"/>
          <w:bottom w:w="0" w:type="dxa"/>
          <w:right w:w="0" w:type="dxa"/>
        </w:tblCellMar>
      </w:tblPr>
      <w:tblGrid>
        <w:gridCol w:w="1801"/>
        <w:gridCol w:w="326"/>
        <w:gridCol w:w="405"/>
        <w:gridCol w:w="1096"/>
        <w:gridCol w:w="326"/>
        <w:gridCol w:w="405"/>
        <w:gridCol w:w="1096"/>
        <w:gridCol w:w="326"/>
        <w:gridCol w:w="442"/>
        <w:gridCol w:w="1104"/>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143635" cy="175260"/>
                      <wp:effectExtent l="0" t="0" r="0" b="0"/>
                      <wp:wrapNone/>
                      <wp:docPr id="265" name="Frame26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57175" cy="175260"/>
                      <wp:effectExtent l="0" t="0" r="0" b="0"/>
                      <wp:wrapNone/>
                      <wp:docPr id="267" name="Frame264"/>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5960" cy="175260"/>
                      <wp:effectExtent l="0" t="0" r="0" b="0"/>
                      <wp:wrapNone/>
                      <wp:docPr id="268" name="Frame26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57175" cy="175260"/>
                      <wp:effectExtent l="0" t="0" r="0" b="0"/>
                      <wp:wrapNone/>
                      <wp:docPr id="270" name="Frame267"/>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5960" cy="175260"/>
                      <wp:effectExtent l="0" t="0" r="0" b="0"/>
                      <wp:wrapNone/>
                      <wp:docPr id="271" name="Frame26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80670" cy="175260"/>
                      <wp:effectExtent l="0" t="0" r="0" b="0"/>
                      <wp:wrapNone/>
                      <wp:docPr id="273" name="Frame27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01040" cy="175260"/>
                      <wp:effectExtent l="0" t="0" r="0" b="0"/>
                      <wp:wrapNone/>
                      <wp:docPr id="274" name="Frame271"/>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5680" w:type="dxa"/>
        <w:jc w:val="left"/>
        <w:tblInd w:w="0" w:type="dxa"/>
        <w:tblLayout w:type="fixed"/>
        <w:tblCellMar>
          <w:top w:w="0" w:type="dxa"/>
          <w:left w:w="0" w:type="dxa"/>
          <w:bottom w:w="0" w:type="dxa"/>
          <w:right w:w="0" w:type="dxa"/>
        </w:tblCellMar>
      </w:tblPr>
      <w:tblGrid>
        <w:gridCol w:w="3271"/>
        <w:gridCol w:w="326"/>
        <w:gridCol w:w="217"/>
        <w:gridCol w:w="711"/>
        <w:gridCol w:w="335"/>
        <w:gridCol w:w="217"/>
        <w:gridCol w:w="603"/>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7795" cy="175260"/>
                      <wp:effectExtent l="0" t="0" r="0" b="0"/>
                      <wp:wrapNone/>
                      <wp:docPr id="276" name="Frame27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51485" cy="175260"/>
                      <wp:effectExtent l="0" t="0" r="0" b="0"/>
                      <wp:wrapNone/>
                      <wp:docPr id="277" name="Frame274"/>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2725" cy="175260"/>
                      <wp:effectExtent l="0" t="0" r="0" b="0"/>
                      <wp:wrapNone/>
                      <wp:docPr id="278" name="Frame27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7795" cy="175260"/>
                      <wp:effectExtent l="0" t="0" r="0" b="0"/>
                      <wp:wrapNone/>
                      <wp:docPr id="279" name="Frame27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82905" cy="175260"/>
                      <wp:effectExtent l="0" t="0" r="0" b="0"/>
                      <wp:wrapNone/>
                      <wp:docPr id="280" name="Frame277"/>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5" w:type="dxa"/>
            <w:tcBorders/>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Amounts recognized as revenue from beginning contract liabilities during the years ended December 31. 2023 and December 31, 2022 totaled $0.8 million and $0.6 million, respectively. Remaining performance obligations represent the portion of the transaction price that has not yet been satisfied or achieved. As of December 31, 2023, the aggregate amount of the transaction price allocated to remaining performance obligations was approximately $3.0 million. The Company expects to recognize estimated revenues related to performance obligations that are unsatisfied (or partially satisfied) during the next twelve months.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in accordance with ASC 340-40. Accordingly, the Company does not have any capitalized contract fulfillment costs as of December 31, 2023 or December 31,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347" w:name="Tc_HNAHU64owkKEjjAkN3jx5A_5_5"/>
      <w:bookmarkStart w:id="1348" w:name="Tc_nUg2jDwKa0mIuJdxfp1vkw_5_2"/>
      <w:bookmarkStart w:id="1349" w:name="Tc_PWXrzffqi0u3NJSHNYQDgQ_5_0"/>
      <w:bookmarkStart w:id="1350" w:name="Tc_O1_s5RNv30CNnCPnJt2aUA_4_0"/>
      <w:bookmarkStart w:id="1351" w:name="Tc_PRhOQOYxoEKk2ZSsntSaWQ_3_5"/>
      <w:bookmarkStart w:id="1352" w:name="Tc_HHJaPpfW5Eqxa-d1s5Bu5g_3_2"/>
      <w:bookmarkStart w:id="1353" w:name="Tc_lgjrgOfNUkGnSdg_28AOQA_3_0"/>
      <w:bookmarkStart w:id="1354" w:name="Tc_nkfj76W3eUOhTVNsbtaC7w_2_5"/>
      <w:bookmarkStart w:id="1355" w:name="Tc_ShKkB3Io-EKJVZbNd-Skwg_2_2"/>
      <w:bookmarkStart w:id="1356" w:name="Tc_xV4E-pqzI0Ssv0029e20hQ_1_2"/>
      <w:bookmarkStart w:id="1357" w:name="_c908a094_7ccc_419b_a40d_693dafef2c95"/>
      <w:bookmarkStart w:id="1358" w:name="Tc_a9y8gusyzUWnT411Hkcppw_5_4"/>
      <w:bookmarkStart w:id="1359" w:name="Tc_Y7Oi_LZEmkiFsLFKPxpNlQ_5_0"/>
      <w:bookmarkStart w:id="1360" w:name="Tc_jbURKMaa60uPmvm_K-m8Yg_4_2"/>
      <w:bookmarkStart w:id="1361" w:name="Tc_VMQ3bjYsuE-MPwMUDWhyMw_4_0"/>
      <w:bookmarkStart w:id="1362" w:name="Tc_BuSh0BUEy06AbknFFuQzPw_3_2"/>
      <w:bookmarkStart w:id="1363" w:name="Tc_cCpziwIpQ0qF6X_2G8lkHw_3_0"/>
      <w:bookmarkStart w:id="1364" w:name="Tc_y-79mwjCw06glEhiyPdHcw_2_0"/>
      <w:bookmarkStart w:id="1365" w:name="Tc_snCEAy-GO06vSq4Lp1zfTQ_1_4"/>
      <w:bookmarkStart w:id="1366" w:name="Tc_J8REh7pRE0-QX4nYOLuHMA_1_2"/>
      <w:bookmarkStart w:id="1367" w:name="_81a05f80_2bb0_49ec_aa98_1987d7e06e4f"/>
      <w:bookmarkStart w:id="1368" w:name="Tc_a5i8VgoUwUmS7sx0lOcfng_8_4"/>
      <w:bookmarkStart w:id="1369" w:name="Tc_fs3ZIzTU202Nzm7HRlvRoQ_8_0"/>
      <w:bookmarkStart w:id="1370" w:name="Tc_mqUEQziCKE-ViTBtwvXZlA_7_2"/>
      <w:bookmarkStart w:id="1371" w:name="Tc_y_a7G4Q330qplrv00RVciw_7_0"/>
      <w:bookmarkStart w:id="1372" w:name="Tc_TDbKoUftHEK0W8DEiOo6Mg_6_2"/>
      <w:bookmarkStart w:id="1373" w:name="Tc_xChH2CPtXkmwjX7ypZPGmg_6_0"/>
      <w:bookmarkStart w:id="1374" w:name="Tc_rCImn4jvkUaYsTUJwM_35A_5_0"/>
      <w:bookmarkStart w:id="1375" w:name="Tc_oQaJpA_FMkKjlMXdOluWMg_4_0"/>
      <w:bookmarkStart w:id="1376" w:name="Tc_QbhHErz910-AbgQw2FABkQ_3_0"/>
      <w:bookmarkStart w:id="1377" w:name="Tc_taiETe_7wkayIjk5vwGhbQ_2_4"/>
      <w:bookmarkStart w:id="1378" w:name="Tc_ZVV3nXXPekmCsdRDMJRzGA_2_2"/>
      <w:bookmarkStart w:id="1379" w:name="Tc_Vz-Toh6BV0ix9f-1APjp1g_1_2"/>
      <w:bookmarkStart w:id="1380" w:name="_b76845b5_aaf7_46de_aad3_b5bbe3700e2a"/>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r>
        <w:rPr>
          <w:rFonts w:ascii="Times New Roman;Times;serif" w:hAnsi="Times New Roman;Times;serif"/>
          <w:b/>
          <w:sz w:val="20"/>
        </w:rPr>
        <w:t>(18)  Concentrations, Significant Customers and Geographic Areas</w:t>
      </w:r>
    </w:p>
    <w:p>
      <w:pPr>
        <w:pStyle w:val="TextBody"/>
        <w:bidi w:val="0"/>
        <w:spacing w:before="0" w:after="240"/>
        <w:ind w:left="0" w:right="0" w:firstLine="45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short-term investments in the form of U.S government agency bonds and corporate bonds, and trade accounts receivable. The Company’s cash and cash equivalents and short- term investments are placed with high-credit-quality financial institutions, and at times exceed federally insured limits. To date, the Company has not experienced any credit loss relating to its cash and cash equivalents or short-term investments.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tables:</w:t>
      </w:r>
    </w:p>
    <w:p>
      <w:pPr>
        <w:pStyle w:val="TextBody"/>
        <w:bidi w:val="0"/>
        <w:spacing w:before="0" w:after="0"/>
        <w:ind w:left="0" w:right="0" w:hanging="0"/>
        <w:jc w:val="both"/>
        <w:rPr/>
      </w:pPr>
      <w:r>
        <w:rPr/>
        <w:t>​</w:t>
      </w:r>
    </w:p>
    <w:tbl>
      <w:tblPr>
        <w:tblW w:w="3447" w:type="dxa"/>
        <w:jc w:val="left"/>
        <w:tblInd w:w="0" w:type="dxa"/>
        <w:tblLayout w:type="fixed"/>
        <w:tblCellMar>
          <w:top w:w="0" w:type="dxa"/>
          <w:left w:w="0" w:type="dxa"/>
          <w:bottom w:w="0" w:type="dxa"/>
          <w:right w:w="0" w:type="dxa"/>
        </w:tblCellMar>
      </w:tblPr>
      <w:tblGrid>
        <w:gridCol w:w="1081"/>
        <w:gridCol w:w="326"/>
        <w:gridCol w:w="736"/>
        <w:gridCol w:w="499"/>
        <w:gridCol w:w="805"/>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67360" cy="175260"/>
                      <wp:effectExtent l="0" t="0" r="0" b="0"/>
                      <wp:wrapNone/>
                      <wp:docPr id="282" name="Frame27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16865" cy="175260"/>
                      <wp:effectExtent l="0" t="0" r="0" b="0"/>
                      <wp:wrapNone/>
                      <wp:docPr id="283" name="Frame280"/>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11175" cy="175260"/>
                      <wp:effectExtent l="0" t="0" r="0" b="0"/>
                      <wp:wrapNone/>
                      <wp:docPr id="284" name="Frame281"/>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9" w:type="dxa"/>
            <w:tcBorders/>
            <w:vAlign w:val="center"/>
          </w:tcPr>
          <w:p>
            <w:pPr>
              <w:pStyle w:val="TableContents"/>
              <w:bidi w:val="0"/>
              <w:spacing w:before="0" w:after="0"/>
              <w:ind w:left="0" w:right="0" w:hanging="0"/>
              <w:jc w:val="center"/>
              <w:rPr/>
            </w:pPr>
            <w:r>
              <w:rPr/>
              <w:t>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99"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99"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99"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99"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99"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99"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During the years ended December 31, 2023 and December 31, 2022, sales to government entities comprised 80.9% and 81.3% of the Company’s total revenue, respectively. </w:t>
      </w:r>
    </w:p>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customers that represent 10% or more of accounts receivable are set forth in the following tables:</w:t>
      </w:r>
    </w:p>
    <w:p>
      <w:pPr>
        <w:pStyle w:val="TextBody"/>
        <w:bidi w:val="0"/>
        <w:spacing w:before="0" w:after="0"/>
        <w:ind w:left="0" w:right="0" w:hanging="0"/>
        <w:jc w:val="left"/>
        <w:rPr/>
      </w:pPr>
      <w:r>
        <w:rPr/>
        <w:t>​</w:t>
      </w:r>
    </w:p>
    <w:tbl>
      <w:tblPr>
        <w:tblW w:w="4926" w:type="dxa"/>
        <w:jc w:val="left"/>
        <w:tblInd w:w="0" w:type="dxa"/>
        <w:tblLayout w:type="fixed"/>
        <w:tblCellMar>
          <w:top w:w="0" w:type="dxa"/>
          <w:left w:w="0" w:type="dxa"/>
          <w:bottom w:w="0" w:type="dxa"/>
          <w:right w:w="0" w:type="dxa"/>
        </w:tblCellMar>
      </w:tblPr>
      <w:tblGrid>
        <w:gridCol w:w="1081"/>
        <w:gridCol w:w="326"/>
        <w:gridCol w:w="1501"/>
        <w:gridCol w:w="326"/>
        <w:gridCol w:w="1501"/>
        <w:gridCol w:w="191"/>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953135" cy="175260"/>
                      <wp:effectExtent l="0" t="0" r="0" b="0"/>
                      <wp:wrapNone/>
                      <wp:docPr id="286" name="Frame28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53135" cy="175260"/>
                      <wp:effectExtent l="0" t="0" r="0" b="0"/>
                      <wp:wrapNone/>
                      <wp:docPr id="288" name="Frame28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1285" cy="175260"/>
                      <wp:effectExtent l="0" t="0" r="0" b="0"/>
                      <wp:wrapNone/>
                      <wp:docPr id="289" name="Frame28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91"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91" w:type="dxa"/>
            <w:tcBorders/>
            <w:vAlign w:val="center"/>
          </w:tcPr>
          <w:p>
            <w:pPr>
              <w:pStyle w:val="TableContents"/>
              <w:bidi w:val="0"/>
              <w:spacing w:before="0" w:after="0"/>
              <w:ind w:left="0" w:right="0" w:hanging="0"/>
              <w:jc w:val="left"/>
              <w:rPr/>
            </w:pPr>
            <w:r>
              <w:rPr/>
              <w:t>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Customer accounted for less than 10% of accounts receivable at the respective point in time.</w:t>
      </w:r>
    </w:p>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 presents a summary of revenue by geography (in thousands):</w:t>
      </w:r>
    </w:p>
    <w:tbl>
      <w:tblPr>
        <w:tblW w:w="3717" w:type="dxa"/>
        <w:jc w:val="left"/>
        <w:tblInd w:w="0" w:type="dxa"/>
        <w:tblLayout w:type="fixed"/>
        <w:tblCellMar>
          <w:top w:w="0" w:type="dxa"/>
          <w:left w:w="0" w:type="dxa"/>
          <w:bottom w:w="0" w:type="dxa"/>
          <w:right w:w="0" w:type="dxa"/>
        </w:tblCellMar>
      </w:tblPr>
      <w:tblGrid>
        <w:gridCol w:w="1246"/>
        <w:gridCol w:w="326"/>
        <w:gridCol w:w="211"/>
        <w:gridCol w:w="676"/>
        <w:gridCol w:w="326"/>
        <w:gridCol w:w="211"/>
        <w:gridCol w:w="721"/>
      </w:tblGrid>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29260" cy="175260"/>
                      <wp:effectExtent l="0" t="0" r="0" b="0"/>
                      <wp:wrapNone/>
                      <wp:docPr id="292" name="Frame2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57835" cy="175260"/>
                      <wp:effectExtent l="0" t="0" r="0" b="0"/>
                      <wp:wrapNone/>
                      <wp:docPr id="295" name="Frame29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13,102</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sz w:val="20"/>
        </w:rPr>
      </w:pPr>
      <w:bookmarkStart w:id="1381" w:name="Tc_WG-8b76JlU-3036rFb_D7Q_5_5"/>
      <w:bookmarkStart w:id="1382" w:name="Tc_vR0NATyPEUKbwRUi0LvFyQ_5_2"/>
      <w:bookmarkStart w:id="1383" w:name="Tc_1lNMTZsiAUmUOM4iKOPU2A_4_0"/>
      <w:bookmarkStart w:id="1384" w:name="Tc_q8iAp9Zm-kqdH88S1QkYUA_3_5"/>
      <w:bookmarkStart w:id="1385" w:name="Tc_HNXeD60eUUWLeLbL1DfugA_3_2"/>
      <w:bookmarkStart w:id="1386" w:name="Tc_yh2rc7Vzik26CitbOqog3A_3_0"/>
      <w:bookmarkStart w:id="1387" w:name="Tc_tVTaxFjCakKFHYO2HRp-Gg_2_5"/>
      <w:bookmarkStart w:id="1388" w:name="Tc_btR04xa_AUK8ByVYWQ0iBw_2_2"/>
      <w:bookmarkStart w:id="1389" w:name="Tc_5mGdr-n9TkeET98_eyZVWQ_1_2"/>
      <w:bookmarkStart w:id="1390" w:name="_c9921c09_75ee_4cc2_a14b_5a0f2cccdee9"/>
      <w:bookmarkEnd w:id="1381"/>
      <w:bookmarkEnd w:id="1382"/>
      <w:bookmarkEnd w:id="1383"/>
      <w:bookmarkEnd w:id="1384"/>
      <w:bookmarkEnd w:id="1385"/>
      <w:bookmarkEnd w:id="1386"/>
      <w:bookmarkEnd w:id="1387"/>
      <w:bookmarkEnd w:id="1388"/>
      <w:bookmarkEnd w:id="1389"/>
      <w:bookmarkEnd w:id="1390"/>
      <w:r>
        <w:rPr>
          <w:rFonts w:ascii="Times New Roman;Times;serif" w:hAnsi="Times New Roman;Times;serif"/>
          <w:b/>
          <w:sz w:val="20"/>
        </w:rPr>
        <w:t>(19) Income Taxes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Domestic and foreign components of loss before income taxes are as follows:</w:t>
      </w:r>
    </w:p>
    <w:tbl>
      <w:tblPr>
        <w:tblW w:w="3380" w:type="dxa"/>
        <w:jc w:val="left"/>
        <w:tblInd w:w="0" w:type="dxa"/>
        <w:tblLayout w:type="fixed"/>
        <w:tblCellMar>
          <w:top w:w="0" w:type="dxa"/>
          <w:left w:w="0" w:type="dxa"/>
          <w:bottom w:w="0" w:type="dxa"/>
          <w:right w:w="0" w:type="dxa"/>
        </w:tblCellMar>
      </w:tblPr>
      <w:tblGrid>
        <w:gridCol w:w="886"/>
        <w:gridCol w:w="326"/>
        <w:gridCol w:w="211"/>
        <w:gridCol w:w="796"/>
        <w:gridCol w:w="109"/>
        <w:gridCol w:w="211"/>
        <w:gridCol w:w="841"/>
      </w:tblGrid>
      <w:tr>
        <w:trPr/>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05460" cy="175260"/>
                      <wp:effectExtent l="0" t="0" r="0" b="0"/>
                      <wp:wrapNone/>
                      <wp:docPr id="298" name="Frame2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34035" cy="175260"/>
                      <wp:effectExtent l="0" t="0" r="0" b="0"/>
                      <wp:wrapNone/>
                      <wp:docPr id="301" name="Frame29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(67,677)</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(3,844)</w:t>
            </w:r>
          </w:p>
        </w:tc>
      </w:tr>
      <w:tr>
        <w:trPr/>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(71,521)</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391" w:name="Tc_z9YViG8-R065Pg2bwkszsg_14_5"/>
      <w:bookmarkStart w:id="1392" w:name="Tc_6AKbwmsWMkap1o9Jeinoqw_14_4"/>
      <w:bookmarkStart w:id="1393" w:name="Tc_F16OxHDsLUOjYJWKjV4gbQ_14_3"/>
      <w:bookmarkStart w:id="1394" w:name="Tc_nnADeiYhhkKrfBJWjU9Xlg_14_2"/>
      <w:bookmarkStart w:id="1395" w:name="Tc_y7pAtYDYKE2HX2BJizMSRQ_14_0"/>
      <w:bookmarkStart w:id="1396" w:name="Tc_0BGb2DgzOkeNv-DfA4z_Sg_13_5"/>
      <w:bookmarkStart w:id="1397" w:name="Tc_etWDsZrcjEGuiLQkruDrSw_13_3"/>
      <w:bookmarkStart w:id="1398" w:name="Tc_KpMtxBZAcUWV1FMako4y0A_13_0"/>
      <w:bookmarkStart w:id="1399" w:name="Tc_WHolb1e9DU-hVFbpZHL_aw_12_5"/>
      <w:bookmarkStart w:id="1400" w:name="Tc_Q3p-qDeenEaBqWkcb3Ht0Q_12_4"/>
      <w:bookmarkStart w:id="1401" w:name="Tc_s_nT_05C7EKFDsNIG5cutg_12_3"/>
      <w:bookmarkStart w:id="1402" w:name="Tc_HSjBlgEiQkGb1E8TfdaBGA_12_2"/>
      <w:bookmarkStart w:id="1403" w:name="Tc_8GajhQIdfEmv0E4WhpeuwA_12_0"/>
      <w:bookmarkStart w:id="1404" w:name="Tc_6FlFx1m98kSyZoUnHAdI7g_11_5"/>
      <w:bookmarkStart w:id="1405" w:name="Tc_Cd-8qyyu7kWDsGJD5cMvVQ_11_3"/>
      <w:bookmarkStart w:id="1406" w:name="Tc_1X6TMg4_CUaOwdB3KQd0GA_11_2"/>
      <w:bookmarkStart w:id="1407" w:name="Tc_0t7DDRCMo0OxbfzGSCRKKA_11_0"/>
      <w:bookmarkStart w:id="1408" w:name="Tc_s6WtrtVJOkKsKfSTrEF1gw_10_5"/>
      <w:bookmarkStart w:id="1409" w:name="Tc_RScSDe7Zh0SqCYrlMLOzaQ_10_3"/>
      <w:bookmarkStart w:id="1410" w:name="Tc_sQ5pAvOBnUywYb9VQeWb2Q_10_2"/>
      <w:bookmarkStart w:id="1411" w:name="Tc_RHceZT5gTEiqe6wXi8jn8g_10_0"/>
      <w:bookmarkStart w:id="1412" w:name="Tc_6cvaVtqKUU2gHwD2Iei6Yg_9_5"/>
      <w:bookmarkStart w:id="1413" w:name="Tc_CpKbvQxV9U6aLIgA32HnXQ_9_3"/>
      <w:bookmarkStart w:id="1414" w:name="Tc_jKUbFHq4y0OCi7GhAb_KYA_9_2"/>
      <w:bookmarkStart w:id="1415" w:name="Tc_A-8SKvwJ2Eiiozr4ayqimA_9_0"/>
      <w:bookmarkStart w:id="1416" w:name="Tc_C3FFYFO_sEycv3eBDC6_ng_8_5"/>
      <w:bookmarkStart w:id="1417" w:name="Tc_HKqvQAdsF0a2P6Pf03RQIA_8_3"/>
      <w:bookmarkStart w:id="1418" w:name="Tc_KDoDP1GyBE-XMnHMFLpMxQ_8_0"/>
      <w:bookmarkStart w:id="1419" w:name="Tc_LEWs0PXWXUqHi0lJZEDfkw_7_5"/>
      <w:bookmarkStart w:id="1420" w:name="Tc_or8IenaeJkmA8COCag9g4g_7_4"/>
      <w:bookmarkStart w:id="1421" w:name="Tc_9N7jhrHfykKiiRejGfSINQ_7_3"/>
      <w:bookmarkStart w:id="1422" w:name="Tc_kBo3UhxVWU6U7ZwOS6nsAA_7_2"/>
      <w:bookmarkStart w:id="1423" w:name="Tc_XmAKt7LGYEyQdiTGXE-Q0A_7_0"/>
      <w:bookmarkStart w:id="1424" w:name="Tc_UUPDkhYtwUu9xfqrx1dP7g_6_5"/>
      <w:bookmarkStart w:id="1425" w:name="Tc_wXjdBNHV6UmnOdrqjFb5AA_6_4"/>
      <w:bookmarkStart w:id="1426" w:name="Tc_9O-18TeiQEOST7iyuYSwQQ_6_3"/>
      <w:bookmarkStart w:id="1427" w:name="Tc_vzw5Wa2QVkKHdvxahzapig_6_0"/>
      <w:bookmarkStart w:id="1428" w:name="Tc_N78RpDLijkOE8NdjDSDSSw_5_5"/>
      <w:bookmarkStart w:id="1429" w:name="Tc_zVzVBe_sVEuiAuappJh9Kw_5_3"/>
      <w:bookmarkStart w:id="1430" w:name="Tc_0y3OeT-SfU6LOqHOgEEadQ_5_0"/>
      <w:bookmarkStart w:id="1431" w:name="Tc_6vWVtq6mpkOKkdC2GkL7Bw_4_5"/>
      <w:bookmarkStart w:id="1432" w:name="Tc_44fx_DlYb0yj9ZZ9Pm3bhg_4_3"/>
      <w:bookmarkStart w:id="1433" w:name="Tc_FzgGjnDgH0ishSVjmNeHfA_4_0"/>
      <w:bookmarkStart w:id="1434" w:name="Tc_xhWF_mCl7UK-oNFumYScFg_3_4"/>
      <w:bookmarkStart w:id="1435" w:name="Tc_KikRfChZBEu1b7M--voM8w_3_2"/>
      <w:bookmarkStart w:id="1436" w:name="Tc_ayqjvIIEY0iKUF69RvuOxA_3_0"/>
      <w:bookmarkStart w:id="1437" w:name="Tc_To63i5xHzU2lWSUU6I8b7Q_2_4"/>
      <w:bookmarkStart w:id="1438" w:name="Tc_AqiYAqVbhUCAsDYIBSNs8g_2_2"/>
      <w:bookmarkStart w:id="1439" w:name="Tc_w1I94TlGEk2_Pg-H11YyCA_1_2"/>
      <w:bookmarkStart w:id="1440" w:name="_8b4c47b2_0e76_499d_9810_977c99899bd9"/>
      <w:bookmarkStart w:id="1441" w:name="Tc_cxFrke93oU6eObng6v6mdA_17_6"/>
      <w:bookmarkStart w:id="1442" w:name="Tc_-EM6Dj7ilUGxuNszq9GojQ_17_5"/>
      <w:bookmarkStart w:id="1443" w:name="Tc_m7MWyKrOmU2S7rTP_ikXjA_17_3"/>
      <w:bookmarkStart w:id="1444" w:name="Tc_CidQ9TkGtkiCukWaUk9_Yw_17_2"/>
      <w:bookmarkStart w:id="1445" w:name="Tc_zfZ0aRIfrkqSKt29g6ttFw_17_0"/>
      <w:bookmarkStart w:id="1446" w:name="Tc_KLu-6VRBPkOgtaYOcFgOYw_16_0"/>
      <w:bookmarkStart w:id="1447" w:name="Tc_NStlDdKf2UyIsWd_rHjX7Q_15_0"/>
      <w:bookmarkStart w:id="1448" w:name="Tc_7AxyJJPWE0-DaTO83Pd-IA_14_0"/>
      <w:bookmarkStart w:id="1449" w:name="Tc_kjotqoUfFEmnsbFJlw8JwA_13_0"/>
      <w:bookmarkStart w:id="1450" w:name="Tc_llRYNa8X3EuPJsNNW_1zyA_12_0"/>
      <w:bookmarkStart w:id="1451" w:name="Tc_vpWfhiWAo06Nlmut_kEAaA_11_0"/>
      <w:bookmarkStart w:id="1452" w:name="Tc_3BkJKY7im0aJdpC5hmxJQA_10_0"/>
      <w:bookmarkStart w:id="1453" w:name="Tc_ZdYxPuTTFEu9Or35a_hcGw_9_0"/>
      <w:bookmarkStart w:id="1454" w:name="Tc_ZFE-2t4lLE-_LOy2D7bLVQ_8_0"/>
      <w:bookmarkStart w:id="1455" w:name="Tc_hHdjMNvA7ESx_7f4AqTplw_7_0"/>
      <w:bookmarkStart w:id="1456" w:name="Tc_O7vsItUJt0KmmLViyCGMow_6_0"/>
      <w:bookmarkStart w:id="1457" w:name="Tc_999p48OpY0OMhpZG9SDcww_5_0"/>
      <w:bookmarkStart w:id="1458" w:name="Tc_1mlTrCj470aZyzvErZ6C4Q_4_5"/>
      <w:bookmarkStart w:id="1459" w:name="Tc_H5k0DXS6dkq2OW-0sWbtpQ_4_2"/>
      <w:bookmarkStart w:id="1460" w:name="Tc_TtYCFH-us0aDCnXQsg-TGA_4_0"/>
      <w:bookmarkStart w:id="1461" w:name="Tc_mXnky0Jop0mCxUCAeLEMgQ_3_0"/>
      <w:bookmarkStart w:id="1462" w:name="Tc_xuh_Ple1PUmMxrHa_rwy9Q_2_5"/>
      <w:bookmarkStart w:id="1463" w:name="Tc_GHyhio7RVkqbyJYilCcgdg_2_2"/>
      <w:bookmarkStart w:id="1464" w:name="Tc_clg0hdBY40CX5_Jah52N0w_1_2"/>
      <w:bookmarkStart w:id="1465" w:name="_7e2f4c90_36ac_4d08_8575_96083be958b5"/>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r>
        <w:rPr>
          <w:rFonts w:ascii="Times New Roman;Times;serif" w:hAnsi="Times New Roman;Times;serif"/>
          <w:sz w:val="20"/>
        </w:rPr>
        <w:t>The Company did not pay any income taxes in the years ended December 31, 2023 or December 31, 2022, respectively. All components of the Company’s current and deferred income tax provisions for the years ended December 31, 2023 and December 31, 2022 were zero.</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Deferred income taxes reflect the net tax effects of temporary differences between the carrying amount of assets and liabilities for financial reporting purposes and the amounts used for income tax purposes. Significant components of the deferred income tax assets and liabilities as of December 31, 2023 and December 31, 2022, are as follows:</w:t>
      </w:r>
    </w:p>
    <w:tbl>
      <w:tblPr>
        <w:tblW w:w="5390" w:type="dxa"/>
        <w:jc w:val="left"/>
        <w:tblInd w:w="0" w:type="dxa"/>
        <w:tblLayout w:type="fixed"/>
        <w:tblCellMar>
          <w:top w:w="0" w:type="dxa"/>
          <w:left w:w="0" w:type="dxa"/>
          <w:bottom w:w="0" w:type="dxa"/>
          <w:right w:w="0" w:type="dxa"/>
        </w:tblCellMar>
      </w:tblPr>
      <w:tblGrid>
        <w:gridCol w:w="2896"/>
        <w:gridCol w:w="326"/>
        <w:gridCol w:w="211"/>
        <w:gridCol w:w="796"/>
        <w:gridCol w:w="109"/>
        <w:gridCol w:w="211"/>
        <w:gridCol w:w="841"/>
      </w:tblGrid>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05460" cy="175260"/>
                      <wp:effectExtent l="0" t="0" r="0" b="0"/>
                      <wp:wrapNone/>
                      <wp:docPr id="304" name="Frame30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34035" cy="175260"/>
                      <wp:effectExtent l="0" t="0" r="0" b="0"/>
                      <wp:wrapNone/>
                      <wp:docPr id="307" name="Frame30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61,313</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and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5,233</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credits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11,509</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80,733</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(2,289)</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76,381</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(76,381)</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write-off of federal and state net operating loss carryforwards and research and development tax credit carryforwards under Internal Revenue Code (IRC) section 382 limitation, stock-based compensation and other permanent differences, during the year ended December 31, 2023.</w:t>
      </w:r>
    </w:p>
    <w:tbl>
      <w:tblPr>
        <w:tblW w:w="6436" w:type="dxa"/>
        <w:jc w:val="left"/>
        <w:tblInd w:w="0" w:type="dxa"/>
        <w:tblLayout w:type="fixed"/>
        <w:tblCellMar>
          <w:top w:w="0" w:type="dxa"/>
          <w:left w:w="0" w:type="dxa"/>
          <w:bottom w:w="0" w:type="dxa"/>
          <w:right w:w="0" w:type="dxa"/>
        </w:tblCellMar>
      </w:tblPr>
      <w:tblGrid>
        <w:gridCol w:w="3421"/>
        <w:gridCol w:w="326"/>
        <w:gridCol w:w="1006"/>
        <w:gridCol w:w="361"/>
        <w:gridCol w:w="1006"/>
        <w:gridCol w:w="316"/>
      </w:tblGrid>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38810" cy="175260"/>
                      <wp:effectExtent l="0" t="0" r="0" b="0"/>
                      <wp:wrapNone/>
                      <wp:docPr id="309" name="Frame30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29235" cy="175260"/>
                      <wp:effectExtent l="0" t="0" r="0" b="0"/>
                      <wp:wrapNone/>
                      <wp:docPr id="310" name="Frame30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38810" cy="175260"/>
                      <wp:effectExtent l="0" t="0" r="0" b="0"/>
                      <wp:wrapNone/>
                      <wp:docPr id="311" name="Frame30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0660" cy="175260"/>
                      <wp:effectExtent l="0" t="0" r="0" b="0"/>
                      <wp:wrapNone/>
                      <wp:docPr id="312" name="Frame30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31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w: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Component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 Impact</w:t>
            </w:r>
          </w:p>
        </w:tc>
        <w:tc>
          <w:tcPr>
            <w:tcW w:w="361"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 Impact</w:t>
            </w:r>
          </w:p>
        </w:tc>
        <w:tc>
          <w:tcPr>
            <w:tcW w:w="316" w:type="dxa"/>
            <w:tcBorders/>
            <w:vAlign w:val="center"/>
          </w:tcPr>
          <w:p>
            <w:pPr>
              <w:pStyle w:val="TableContents"/>
              <w:bidi w:val="0"/>
              <w:spacing w:before="0" w:after="0"/>
              <w:ind w:left="0" w:right="0" w:hanging="0"/>
              <w:jc w:val="left"/>
              <w:rPr/>
            </w:pPr>
            <w:r>
              <w:rPr/>
              <w:t> </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pre-tax book income</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 income taxes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IRC section 382 limitation</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market value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executive compensation</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Realization of deferred tax assets is dependent upon future earnings, if any, the timing and amount of which are uncertain. Accordingly, the net U.S. federal and state deferred tax assets have been fully offset by a valuation allowance. The net change in the total valuation allowance was a decrease of approximately $1.2 million and an increase of $30.3 million for the years ended December 31, 2023 and December 31,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bookmarkStart w:id="1466" w:name="Tc_wRMDfi2OvUWrsiSn1jEW4w_6_5"/>
      <w:bookmarkStart w:id="1467" w:name="Tc_ENNLf5ZRmkmXNBCNNFsCEw_6_2"/>
      <w:bookmarkStart w:id="1468" w:name="Tc_Jj4QmvaiU0iRQa_UUXKx6Q_6_0"/>
      <w:bookmarkStart w:id="1469" w:name="Tc_sPSeClqGj02uMFwrCHYAOg_5_0"/>
      <w:bookmarkStart w:id="1470" w:name="Tc_PcffAmdxm0um1R6UUtLcUQ_4_0"/>
      <w:bookmarkStart w:id="1471" w:name="Tc_Mec67g_U0kSY5sIOBV0uBg_3_5"/>
      <w:bookmarkStart w:id="1472" w:name="Tc__9SmcNRXikCN0wRZv0EwGQ_3_2"/>
      <w:bookmarkStart w:id="1473" w:name="Tc_2JZXKkCXBkaTjDgDAL13Aw_3_0"/>
      <w:bookmarkStart w:id="1474" w:name="Tc_G2J7QHsqCkSKCmepIE8dFQ_2_6"/>
      <w:bookmarkStart w:id="1475" w:name="Tc_dZwpxuWfqk-S_mtsa5Y5yA_2_3"/>
      <w:bookmarkStart w:id="1476" w:name="Tc_vrkkzW-wNEerw3lt-t6TCg_1_2"/>
      <w:bookmarkStart w:id="1477" w:name="_c432f11a_3dd5_45ce_ae4a_7be37e0a0754"/>
      <w:bookmarkEnd w:id="1466"/>
      <w:bookmarkEnd w:id="1467"/>
      <w:bookmarkEnd w:id="1468"/>
      <w:bookmarkEnd w:id="1469"/>
      <w:bookmarkEnd w:id="1470"/>
      <w:bookmarkEnd w:id="1471"/>
      <w:bookmarkEnd w:id="1472"/>
      <w:bookmarkEnd w:id="1473"/>
      <w:bookmarkEnd w:id="1474"/>
      <w:bookmarkEnd w:id="1475"/>
      <w:bookmarkEnd w:id="1476"/>
      <w:bookmarkEnd w:id="1477"/>
      <w:r>
        <w:rPr>
          <w:rFonts w:ascii="Times New Roman;Times;serif" w:hAnsi="Times New Roman;Times;serif"/>
          <w:sz w:val="20"/>
        </w:rPr>
        <w:t>As of December 31, 2023, the Company had net operating loss carryforwards for federal income tax purposes of $225.2 million, of which $218.9 million does not expire; federal research and development tax credits of $2.2 million, which will start to expire in 2044; net operating loss carryforwards for state income tax purposes of $105.7 million, which will start to expire in 2033; and state research and development tax credits of $3.7 million, which do not expire.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liability, if any. Such annual limitations could result in the expiration of the net operating loss carryforwards and research and development tax credit carryforwards before their utilization. During the year ended December 31, 2023, the Company assessed whether an ownership change, as defined by Section 382, occurred from its formation through December 31, 2022. Based upon this assessment, the Company reduced the gross deferred tax assets related to its federal and state net operating loss carryforwards and federal research and development tax credit carryforwards. For financial statement purposes, the Company previously included the federal and state net operating loss carryforwards and research and development tax credit carryforwards in the deferred tax assets with a full valuation allowance. Due to the valuation allowance, the reduction in the net operating loss carryforwards and research and development tax credit carryforwards did not have an impact on the Company’s net loss for the year ended December 31, 2023.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files U.S. and various state income tax returns as well as foreign income tax returns in Australia, Canada and the United Kingdom with varying statutes of limitations. All tax years from inception in 2013 remain open to examination due to the carryover of unused net operating losses and tax credits.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had unrecognized tax benefits of $5.9 million as of December 31, 2023, all of which are offset by a full valuation allowance. These unrecognized tax benefits, if recognized, would </w:t>
      </w:r>
      <w:r>
        <w:rPr>
          <w:rFonts w:ascii="Times New Roman;Times;serif" w:hAnsi="Times New Roman;Times;serif"/>
          <w:b w:val="false"/>
          <w:i w:val="false"/>
          <w:caps w:val="false"/>
          <w:smallCaps w:val="false"/>
          <w:sz w:val="20"/>
        </w:rPr>
        <w:t>no</w:t>
      </w:r>
      <w:r>
        <w:rPr>
          <w:rFonts w:ascii="Times New Roman;Times;serif" w:hAnsi="Times New Roman;Times;serif"/>
          <w:sz w:val="20"/>
        </w:rPr>
        <w:t>t affect the effective tax rate. There were no interest or penalties accrued as of December 31,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reconciliation of the beginning and ending amounts of unrecognized income tax benefits is as follows:</w:t>
      </w:r>
    </w:p>
    <w:tbl>
      <w:tblPr>
        <w:tblW w:w="5171" w:type="dxa"/>
        <w:jc w:val="left"/>
        <w:tblInd w:w="0" w:type="dxa"/>
        <w:tblLayout w:type="fixed"/>
        <w:tblCellMar>
          <w:top w:w="0" w:type="dxa"/>
          <w:left w:w="0" w:type="dxa"/>
          <w:bottom w:w="0" w:type="dxa"/>
          <w:right w:w="0" w:type="dxa"/>
        </w:tblCellMar>
      </w:tblPr>
      <w:tblGrid>
        <w:gridCol w:w="2806"/>
        <w:gridCol w:w="326"/>
        <w:gridCol w:w="225"/>
        <w:gridCol w:w="738"/>
        <w:gridCol w:w="116"/>
        <w:gridCol w:w="225"/>
        <w:gridCol w:w="735"/>
      </w:tblGrid>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2875" cy="175260"/>
                      <wp:effectExtent l="0" t="0" r="0" b="0"/>
                      <wp:wrapNone/>
                      <wp:docPr id="314" name="Frame31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68630" cy="175260"/>
                      <wp:effectExtent l="0" t="0" r="0" b="0"/>
                      <wp:wrapNone/>
                      <wp:docPr id="315" name="Frame312"/>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3660" cy="175260"/>
                      <wp:effectExtent l="0" t="0" r="0" b="0"/>
                      <wp:wrapNone/>
                      <wp:docPr id="316" name="Frame313"/>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2875" cy="175260"/>
                      <wp:effectExtent l="0" t="0" r="0" b="0"/>
                      <wp:wrapNone/>
                      <wp:docPr id="317" name="Frame31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66725" cy="175260"/>
                      <wp:effectExtent l="0" t="0" r="0" b="0"/>
                      <wp:wrapNone/>
                      <wp:docPr id="318" name="Frame315"/>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6" w:type="dxa"/>
            <w:tcBorders/>
            <w:vAlign w:val="center"/>
          </w:tcPr>
          <w:p>
            <w:pPr>
              <w:pStyle w:val="TableContents"/>
              <w:bidi w:val="0"/>
              <w:spacing w:before="0" w:after="0"/>
              <w:ind w:left="0" w:right="0" w:hanging="0"/>
              <w:jc w:val="center"/>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4,672</w:t>
            </w:r>
          </w:p>
        </w:tc>
        <w:tc>
          <w:tcPr>
            <w:tcW w:w="116"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4,672</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year increase</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w:t>
            </w:r>
          </w:p>
        </w:tc>
        <w:tc>
          <w:tcPr>
            <w:tcW w:w="116" w:type="dxa"/>
            <w:tcBorders/>
            <w:vAlign w:val="center"/>
          </w:tcPr>
          <w:p>
            <w:pPr>
              <w:pStyle w:val="TableContents"/>
              <w:bidi w:val="0"/>
              <w:spacing w:before="0" w:after="0"/>
              <w:ind w:left="0" w:right="0" w:hanging="0"/>
              <w:jc w:val="right"/>
              <w:rPr/>
            </w:pPr>
            <w:r>
              <w:rPr/>
              <w:t>​</w:t>
            </w:r>
          </w:p>
        </w:tc>
        <w:tc>
          <w:tcPr>
            <w:tcW w:w="225"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year adjustment - (decrease)</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c>
          <w:tcPr>
            <w:tcW w:w="116" w:type="dxa"/>
            <w:tcBorders/>
            <w:shd w:fill="CCEEFF" w:val="clear"/>
            <w:vAlign w:val="center"/>
          </w:tcPr>
          <w:p>
            <w:pPr>
              <w:pStyle w:val="TableContents"/>
              <w:bidi w:val="0"/>
              <w:spacing w:before="0" w:after="0"/>
              <w:ind w:left="0" w:right="0" w:hanging="0"/>
              <w:jc w:val="righ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5,861</w:t>
            </w:r>
          </w:p>
        </w:tc>
        <w:tc>
          <w:tcPr>
            <w:tcW w:w="116" w:type="dxa"/>
            <w:tcBorders/>
            <w:vAlign w:val="center"/>
          </w:tcPr>
          <w:p>
            <w:pPr>
              <w:pStyle w:val="TableContents"/>
              <w:bidi w:val="0"/>
              <w:spacing w:before="0" w:after="0"/>
              <w:ind w:left="0" w:right="0" w:hanging="0"/>
              <w:jc w:val="righ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4,672</w:t>
            </w:r>
          </w:p>
        </w:tc>
      </w:tr>
    </w:tbl>
    <w:p>
      <w:pPr>
        <w:pStyle w:val="TextBody"/>
        <w:bidi w:val="0"/>
        <w:spacing w:before="0" w:after="0"/>
        <w:ind w:left="0" w:right="0" w:hanging="0"/>
        <w:jc w:val="both"/>
        <w:rPr/>
      </w:pPr>
      <w:r>
        <w:rPr/>
        <w:t>​</w:t>
      </w:r>
    </w:p>
    <w:p>
      <w:pPr>
        <w:pStyle w:val="TextBody"/>
        <w:pBdr/>
        <w:bidi w:val="0"/>
        <w:spacing w:lineRule="auto" w:line="328" w:before="240" w:after="240"/>
        <w:ind w:left="0" w:right="0" w:hanging="360"/>
        <w:jc w:val="left"/>
        <w:rPr>
          <w:rFonts w:ascii="Times New Roman;Times;serif" w:hAnsi="Times New Roman;Times;serif"/>
          <w:b/>
          <w:sz w:val="20"/>
        </w:rPr>
      </w:pPr>
      <w:r>
        <w:rPr>
          <w:rFonts w:ascii="Times New Roman;Times;serif" w:hAnsi="Times New Roman;Times;serif"/>
          <w:b/>
          <w:sz w:val="20"/>
        </w:rPr>
        <w:t>(20) Restructuring and severance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the Company announced an updated business strategy, including revisions to the Company’s technology roadmap. In connection with this updated strategy, the Company implemented a workforce reduction to focus the organization and its resources on nearer-term strategic priorities. The reduction in the workforce impacted approximately 50 employees or approximately 28% of the Company’s then workforce. Affected employees were offered separation benefits, including severance payments and temporary healthcare coverage assistance. The Company began implementing activities with respect to the revised business plan, updated technology roadmap and reduction in workforce in February 2023 and incurred a restructuring charge of $1.0 million which was paid during the year. Work activities regarding the revised business plan and updated technology roadmap are ongoing.</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addition to the charge for restructuring, the Company also incurred $1.0 million for contractual severance benefits related to executive officers of the Company that were terminated in the year ended December 31, 2023. The remaining balance in the Company’s accrual for contractual severance benefits related to executive officers as of December 31, 2023 of $0.2 million will be paid out monthly through February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(21) Contingencies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Indemnification Provisions</w:t>
      </w:r>
    </w:p>
    <w:p>
      <w:pPr>
        <w:pStyle w:val="TextBody"/>
        <w:bidi w:val="0"/>
        <w:spacing w:before="0" w:after="240"/>
        <w:ind w:left="0" w:right="0" w:firstLine="540"/>
        <w:jc w:val="both"/>
        <w:rPr>
          <w:rFonts w:ascii="Times New Roman;Times;serif" w:hAnsi="Times New Roman;Times;serif"/>
          <w:b w:val="false"/>
          <w:sz w:val="20"/>
        </w:rPr>
      </w:pPr>
      <w:r>
        <w:rPr>
          <w:rFonts w:ascii="Times New Roman;Times;serif" w:hAnsi="Times New Roman;Times;serif"/>
          <w:b w:val="false"/>
          <w:sz w:val="20"/>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78" w:name="Item9ChangesinandDisagreementsWithAccoun"/>
      <w:bookmarkStart w:id="1479" w:name="_b27b9631_c7fe_4caf_9e00_4527fb5295cd"/>
      <w:bookmarkEnd w:id="1478"/>
      <w:bookmarkEnd w:id="1479"/>
      <w:r>
        <w:rPr>
          <w:rFonts w:ascii="Times New Roman;Times;serif" w:hAnsi="Times New Roman;Times;serif"/>
          <w:b/>
          <w:sz w:val="20"/>
        </w:rPr>
        <w:t>ITEM 9.              CHANGES IN AND DISAGREEMENTS WITH ACCOUNTANT ON ACCOUNTING AND FINANCIAL DISCLOSURE</w:t>
      </w:r>
    </w:p>
    <w:p>
      <w:pPr>
        <w:pStyle w:val="TextBody"/>
        <w:bidi w:val="0"/>
        <w:spacing w:before="0" w:after="240"/>
        <w:ind w:left="0" w:right="0" w:firstLine="540"/>
        <w:jc w:val="both"/>
        <w:rPr>
          <w:rFonts w:ascii="Times New Roman;Times;serif" w:hAnsi="Times New Roman;Times;serif"/>
          <w:b w:val="false"/>
          <w:sz w:val="20"/>
        </w:rPr>
      </w:pPr>
      <w:r>
        <w:rPr>
          <w:rFonts w:ascii="Times New Roman;Times;serif" w:hAnsi="Times New Roman;Times;serif"/>
          <w:b w:val="false"/>
          <w:sz w:val="20"/>
        </w:rPr>
        <w:t>None.</w:t>
      </w:r>
    </w:p>
    <w:p>
      <w:pPr>
        <w:pStyle w:val="TextBody"/>
        <w:bidi w:val="0"/>
        <w:spacing w:before="0" w:after="240"/>
        <w:ind w:left="0" w:right="0" w:hanging="0"/>
        <w:jc w:val="both"/>
        <w:rPr>
          <w:rFonts w:ascii="Times New Roman;Times;serif" w:hAnsi="Times New Roman;Times;serif"/>
          <w:b/>
          <w:sz w:val="20"/>
        </w:rPr>
      </w:pPr>
      <w:bookmarkStart w:id="1480" w:name="Item9AControlsandProcedures_853898"/>
      <w:bookmarkStart w:id="1481" w:name="_72a229e5_e422_422e_b478_d6a491290cdd"/>
      <w:bookmarkEnd w:id="1480"/>
      <w:bookmarkEnd w:id="1481"/>
      <w:r>
        <w:rPr>
          <w:rFonts w:ascii="Times New Roman;Times;serif" w:hAnsi="Times New Roman;Times;serif"/>
          <w:b/>
          <w:sz w:val="20"/>
        </w:rPr>
        <w:t>ITEM 9A.           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(as defined in Rules 13a-15(e) and 15d15(e) under the Exchange Act) as of December 31, 2023. Based on the evaluation of our disclosure controls and procedures, our management concluded that, as of December 31, 2023, our disclosure controls and procedures were not effective due to the material weaknesses described below.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implemented additional controls over review of complex financial instrument valuations as described in our remediation plan below. The material weakness related to review of complex financial instrument valuations will not be considered remediated until such time as the additional controls operate for a sufficient period of time and management has concluded, through testing, that the controls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added and continue to add additional controls over our year-end and quarter-end close processes, which are still being implemented. We have hired and intend to hire additional accounting resources. The material weakness related to our year-end and quarter-end close processes will not be considered remediated until such time as management designs and implements effective controls that operate for a sufficient period of time and has concluded, through testing, that these controls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After giving full consideration to the material weaknesses and the additional procedures that we performed, management has concluded that the consolidated financial statements contained in this Annual Report on Form 10-K fairly present, in all material respects, our financial condition, results of operations and cash flows for the periods presented in conformity with GAAP; however, the material weaknesses could have resulted in a misstatement of account balances or disclosures that would be considered material to the annual or interim consolidated financial statements and certain of the material weaknesses did result in errors in the financial statements and related disclosures as described below for the quarters ended March 31, 2022 and June 30, 2022, which we restated in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Management is responsible for establishing and maintaining adequate internal control over financial reporting, as defined in Rule 13a-15(f) under the Exchange Act, for Rigetti Computing, Inc. and its subsidiaries (collectively, the Company). Our internal control over financial reporting is a process designed to provide reasonable assurance regarding the reliability of financial reporting and the preparation of financial statements for external purposes in accordance with U.S. generally accepted accounting principles (GAAP).</w:t>
      </w:r>
    </w:p>
    <w:p>
      <w:pPr>
        <w:pStyle w:val="TextBody"/>
        <w:pBd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our assets that could have a material effect on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Management, including our Chief Executive Officer and Chief Financial Officer, evaluated the effectiveness of our internal control over financial reporting as of December 31, 2023. In making this evaluation, our management used the criteria for effective internal control over financial reporting described in the “Internal Control—Integrated Framework (2013)” published by the Committee of Sponsoring Organizations of the Treadway Commission. Based on this assessment, management concluded that our internal control over financial reporting was not effective as of December 31, 2023 due to the material weaknesses described below.</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Weaknesses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previously disclosed, in connection with the preparation of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error related to the Company not properly accounting for the liability associated with the warrants to purchase common stock issued to Trinity Capital Inc. that were subsequently cancelled and reissued as new warrants in connection with an amendment to the Loan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in connection with the preparation of the financial statements for the second quarter of 2022, we identified and corrected an immaterial error related to the revaluation of the liability associated with the same warrants issued to Trinity Capital.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connection with the preparation of the financial statements for the third quarter of 2022, we discovered that the previously identified material weakness led to additional material errors related to the valuation of the Earn-out liabilities and the Private Warrant liability that affected the previously issued unaudited condensed consolidated financial statements as of and for the periods ended March 31, 2022 and June 30, 2022. These errors were corrected in the unaudited condensed consolidated financial statements as of and for the periods ended March 31, 2022 and June 30, 2022 through a restatement of previously filed financial statements for such periods.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management concluded that the previously identified material weakness in our internal control over financial reporting related to complex financial instruments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complex financial instruments. This material weakness continued to exist as of December 31, 2023 because the controls that were implemented as part of our plan to remediate this material weakness have not been operating for a sufficient period of time to allow management to conclude through testing that the controls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Additionally, as previously disclosed, in connection with the preparation of the financial statements for the year ended December 31, 2022, we identified a material weakness in our internal control over financial reporting related to the design and operation of our overall closing and financial reporting processes, including the timely preparation of account reconciliations, effective segregation of duties, particularly with respect to change management and logical access over IT systems, and a lack of timely review over the financial statement close process. We have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 This material weakness continued to exist as of December 31, 2023 due to the reasons described above, including the period of time required to hire and train new employees with the appropriate level of experience and technical expertise, and because the necessary controls to remediate the material weakness have only been partially implemented and have not yet been sufficiently tested.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Remediation Plan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remediation plan related to the material weakness over the accounting for complex financial instruments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incorporating additional controls and procedures over the review of complex financial instrument valuations as well as technical accounting resources to identify the inventory of complex accounting and financial instruments that require accounting analysis and evaluation;</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the precision of review controls over complex financial instruments;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augmenting the review process relating to the valuation analyses performed by the third-party valuation experts and accounting firms that are utilized by the Company.</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remediation plan related to the material weakness over our overall closing and financial reporting processes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hiring sufficient personnel with technical accounting and financial reporting experience to augment our current staff, to achieve appropriate segregation of duties and to improve the effectiveness of our closing and financial reporting processes; </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lack of segregation of duties for change management and logical access over IT systems;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improved accounting and financial reporting procedures and systems to improve the completeness, timeliness and accuracy of our financial reporting and disclosures, including the assessment of more judgmental areas of accounting.</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elements of our remediation plans can only be accomplished over time, and we can offer no assurance that these initiatives will ultimately have the intended effects. As management continues to evaluate and work to improve our internal control over financial reporting, management may determine it is necessary to take additional measures to address the material weaknesses. These material weaknesses will not be considered remediated unless and until such time as management designs and implements effective controls that operate for a sufficient period of time and concludes, through testing, that these controls are effective. Until the controls have been operating for a sufficient period of time and management has concluded, through testing, that these controls are operating effectively, the material weaknesses described above will continue to exist.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Management is monitoring the progress of the remediation plan and reporting regularly to the audit committee of the board of directors on the progress and results of the remediation plan, including the identification, status and resolution of internal control deficiencies. We can provide no assurance that the measures we have taken and plan to take in the future will remediate the material weaknesses identified or that any additional material weakness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Other than the remediation efforts described above, there have been no other changes in our internal control over financial reporting, as such term is defined in Rules 13a-15(f) and 15d-15(f) promulgated under the Exchange Act, during the quarter ended December 31, 2023,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0"/>
        <w:ind w:left="0" w:right="0" w:firstLine="547"/>
        <w:jc w:val="both"/>
        <w:rPr>
          <w:rFonts w:ascii="Times New Roman;Times;serif" w:hAnsi="Times New Roman;Times;serif"/>
          <w:b w:val="false"/>
          <w:sz w:val="20"/>
        </w:rPr>
      </w:pPr>
      <w:r>
        <w:rPr>
          <w:rFonts w:ascii="Times New Roman;Times;serif" w:hAnsi="Times New Roman;Times;serif"/>
          <w:b w:val="false"/>
          <w:sz w:val="20"/>
        </w:rPr>
        <w:t>This Annual Report on Form 10-K does not include an attestation report of our registered public accounting firm due to an exemption for “emerging growth companies.”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482" w:name="Item9BOtherInformation_57198"/>
      <w:bookmarkStart w:id="1483" w:name="_dbbdb066_1033_4ddc_b632_6882fe4d9f3b"/>
      <w:bookmarkEnd w:id="1482"/>
      <w:bookmarkEnd w:id="1483"/>
      <w:r>
        <w:rPr>
          <w:rFonts w:ascii="Times New Roman;Times;serif" w:hAnsi="Times New Roman;Times;serif"/>
          <w:b/>
          <w:sz w:val="20"/>
        </w:rPr>
        <w:t>ITEM 9B.           OTHER INFORMATION</w:t>
      </w:r>
    </w:p>
    <w:p>
      <w:pPr>
        <w:pStyle w:val="TextBody"/>
        <w:pBdr/>
        <w:bidi w:val="0"/>
        <w:spacing w:before="0" w:after="0"/>
        <w:ind w:left="0" w:right="0" w:firstLine="540"/>
        <w:jc w:val="both"/>
        <w:rPr>
          <w:rFonts w:ascii="Times New Roman;Times;serif" w:hAnsi="Times New Roman;Times;serif"/>
          <w:b/>
          <w:sz w:val="20"/>
          <w:shd w:fill="FFFFFF" w:val="clear"/>
        </w:rPr>
      </w:pPr>
      <w:r>
        <w:rPr>
          <w:rFonts w:ascii="Times New Roman;Times;serif" w:hAnsi="Times New Roman;Times;serif"/>
          <w:b/>
          <w:sz w:val="20"/>
          <w:shd w:fill="FFFFFF" w:val="clear"/>
        </w:rPr>
        <w:t>Rule 10b5-1 Trading plan</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quarter ended December 31, 2023, Michael Clifton, a member of our Board of directors, adopted a trading plan intended to satisfy the affirmative defense conditions of Rule 10b5-1(c) on November 16, 2023. The plan, which expires on February 13, 2026, provides for the sale of up to 500,000 shares of our common stock.</w:t>
      </w:r>
    </w:p>
    <w:p>
      <w:pPr>
        <w:pStyle w:val="TextBody"/>
        <w:pBdr/>
        <w:bidi w:val="0"/>
        <w:spacing w:before="0" w:after="240"/>
        <w:ind w:left="0" w:right="0" w:hanging="0"/>
        <w:jc w:val="both"/>
        <w:rPr>
          <w:rFonts w:ascii="Times New Roman;Times;serif" w:hAnsi="Times New Roman;Times;serif"/>
          <w:b/>
          <w:sz w:val="20"/>
        </w:rPr>
      </w:pPr>
      <w:bookmarkStart w:id="1484" w:name="Item9CDisclosureRegardingForeignJurisdic"/>
      <w:bookmarkEnd w:id="1484"/>
      <w:r>
        <w:rPr>
          <w:rFonts w:ascii="Times New Roman;Times;serif" w:hAnsi="Times New Roman;Times;serif"/>
          <w:b/>
          <w:sz w:val="20"/>
        </w:rPr>
        <w:t>ITEM 9C.          DISCLOSURE REGARDING FOREIGN JURISDICTION THAT PREVENT INSPECTIONS</w:t>
      </w:r>
    </w:p>
    <w:p>
      <w:pPr>
        <w:pStyle w:val="TextBody"/>
        <w:bidi w:val="0"/>
        <w:spacing w:before="0" w:after="240"/>
        <w:ind w:left="0" w:right="0" w:firstLine="540"/>
        <w:jc w:val="both"/>
        <w:rPr>
          <w:rFonts w:ascii="Times New Roman;Times;serif" w:hAnsi="Times New Roman;Times;serif"/>
          <w:b w:val="false"/>
          <w:sz w:val="20"/>
        </w:rPr>
      </w:pPr>
      <w:r>
        <w:rPr>
          <w:rFonts w:ascii="Times New Roman;Times;serif" w:hAnsi="Times New Roman;Times;serif"/>
          <w:b w:val="false"/>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85" w:name="PARTIII_679073"/>
      <w:bookmarkEnd w:id="1485"/>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b/>
          <w:sz w:val="20"/>
        </w:rPr>
      </w:pPr>
      <w:bookmarkStart w:id="1486" w:name="Item10"/>
      <w:bookmarkStart w:id="1487" w:name="Item10DirectorsExecutiveOfficersandCorpo"/>
      <w:bookmarkEnd w:id="1486"/>
      <w:bookmarkEnd w:id="1487"/>
      <w:r>
        <w:rPr>
          <w:rFonts w:ascii="Times New Roman;Times;serif" w:hAnsi="Times New Roman;Times;serif"/>
          <w:b/>
          <w:sz w:val="20"/>
        </w:rPr>
        <w:t>ITEM 10.        DIRECTORS, EXECUTIVE OFFICERS AND CORPORATE GOVERNANCE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information required by this Item will be set forth in our proxy statement for the 2024 Annual Meeting of Stockholders of the Company, to be filed with the SEC within 120 days of December 31, 2023, and is incorporated herein by reference.</w:t>
      </w:r>
    </w:p>
    <w:p>
      <w:pPr>
        <w:pStyle w:val="TextBody"/>
        <w:bidi w:val="0"/>
        <w:spacing w:before="0" w:after="240"/>
        <w:ind w:left="0" w:right="0" w:hanging="0"/>
        <w:jc w:val="both"/>
        <w:rPr>
          <w:rFonts w:ascii="Times New Roman;Times;serif" w:hAnsi="Times New Roman;Times;serif"/>
          <w:b/>
          <w:sz w:val="20"/>
        </w:rPr>
      </w:pPr>
      <w:bookmarkStart w:id="1488" w:name="Item11"/>
      <w:bookmarkEnd w:id="1488"/>
      <w:r>
        <w:rPr>
          <w:rFonts w:ascii="Times New Roman;Times;serif" w:hAnsi="Times New Roman;Times;serif"/>
          <w:b/>
          <w:sz w:val="20"/>
        </w:rPr>
        <w:t>ITEM 11.           EXECUTIVE COMPENSATION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information required by this Item will be set forth in our proxy statement for the 2024 Annual Meeting of Stockholders of the Company, to be filed with the SEC within 120 days of December 31, 2023, and is incorporated herein by reference.</w:t>
      </w:r>
    </w:p>
    <w:p>
      <w:pPr>
        <w:pStyle w:val="TextBody"/>
        <w:bidi w:val="0"/>
        <w:spacing w:before="0" w:after="240"/>
        <w:ind w:left="0" w:right="0" w:hanging="0"/>
        <w:jc w:val="both"/>
        <w:rPr>
          <w:rFonts w:ascii="Times New Roman;Times;serif" w:hAnsi="Times New Roman;Times;serif"/>
          <w:b/>
          <w:sz w:val="20"/>
        </w:rPr>
      </w:pPr>
      <w:bookmarkStart w:id="1489" w:name="Item12"/>
      <w:bookmarkStart w:id="1490" w:name="_5f0232d0_a117_4044_af02_6cbf16ef3ee8"/>
      <w:bookmarkEnd w:id="1489"/>
      <w:bookmarkEnd w:id="1490"/>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information required by this Item will be set forth in our proxy statement for the 2024 Annual Meeting of Stockholders of the Company, to be filed with the SEC within 120 days of December 31, 2023, and is incorporated herein by reference.</w:t>
      </w:r>
    </w:p>
    <w:p>
      <w:pPr>
        <w:pStyle w:val="TextBody"/>
        <w:bidi w:val="0"/>
        <w:spacing w:before="0" w:after="240"/>
        <w:ind w:left="0" w:right="0" w:hanging="0"/>
        <w:jc w:val="both"/>
        <w:rPr>
          <w:rFonts w:ascii="Times New Roman;Times;serif" w:hAnsi="Times New Roman;Times;serif"/>
          <w:b/>
          <w:sz w:val="20"/>
        </w:rPr>
      </w:pPr>
      <w:bookmarkStart w:id="1491" w:name="Item13"/>
      <w:bookmarkEnd w:id="1491"/>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information required by this Item will be set forth in our proxy statement for the 2024 Annual Meeting of Stockholders of the Company, to be filed with the SEC within 120 days of December 31, 2023, and is incorporated herein by reference.</w:t>
      </w:r>
    </w:p>
    <w:p>
      <w:pPr>
        <w:pStyle w:val="TextBody"/>
        <w:bidi w:val="0"/>
        <w:spacing w:before="0" w:after="240"/>
        <w:ind w:left="0" w:right="0" w:hanging="0"/>
        <w:jc w:val="both"/>
        <w:rPr>
          <w:rFonts w:ascii="Times New Roman;Times;serif" w:hAnsi="Times New Roman;Times;serif"/>
          <w:b/>
          <w:sz w:val="20"/>
        </w:rPr>
      </w:pPr>
      <w:bookmarkStart w:id="1492" w:name="Item14"/>
      <w:bookmarkEnd w:id="1492"/>
      <w:r>
        <w:rPr>
          <w:rFonts w:ascii="Times New Roman;Times;serif" w:hAnsi="Times New Roman;Times;serif"/>
          <w:b/>
          <w:sz w:val="20"/>
        </w:rPr>
        <w:t>ITEM 14.           PRINCIPAL ACCOUNTANT FEES AND SERVICES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information required by this Item will be set forth in our proxy statement for the 2024 Annual Meeting of Stockholders of the Company, to be filed with the SEC within 120 days of December 31, 2023, and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93" w:name="PARTIV_232930"/>
      <w:bookmarkStart w:id="1494" w:name="_f8f9e90a_fcdc_4335_a658_0350e0a9bf8f"/>
      <w:bookmarkEnd w:id="1493"/>
      <w:bookmarkEnd w:id="1494"/>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b/>
          <w:sz w:val="20"/>
        </w:rPr>
      </w:pPr>
      <w:bookmarkStart w:id="1495" w:name="Item15ExhibitsFinancialStatementSchedule"/>
      <w:bookmarkEnd w:id="1495"/>
      <w:r>
        <w:rPr>
          <w:rFonts w:ascii="Times New Roman;Times;serif" w:hAnsi="Times New Roman;Times;serif"/>
          <w:b/>
          <w:sz w:val="20"/>
        </w:rPr>
        <w:t>ITEM 15.           EXHIBITS. FINANCIALSTATEMENT SCHEDULES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 xml:space="preserve">The Following documents are filed as a part of this Annual Report on Form 10-K: </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(a)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information concerning our financial statements, and Report of Independent Registered Public Accounting Firm required by this Item is incorporated by reference herein to the section of this Annual Report on Form 10-K in Item 8, entitled “Consolidated Financial Statements and Supplementary Data.”</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(b) Financial Statement Schedules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All schedules have been omitted because the required information is not present or not present in amounts sufficient to require submission of the schedules, or because the information required is included in Item 8, entitled the “Consolidated Financial Statements and Supplementary Data.”</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(c) Exhibits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list of exhibits filed with this report is set forth in the Exhibit Index following the signature pages and is incorporated herein by reference.</w:t>
      </w:r>
    </w:p>
    <w:p>
      <w:pPr>
        <w:pStyle w:val="TextBody"/>
        <w:bidi w:val="0"/>
        <w:spacing w:before="0" w:after="240"/>
        <w:ind w:left="0" w:right="0" w:hanging="0"/>
        <w:jc w:val="both"/>
        <w:rPr>
          <w:rFonts w:ascii="Times New Roman;Times;serif" w:hAnsi="Times New Roman;Times;serif"/>
          <w:b/>
          <w:sz w:val="20"/>
        </w:rPr>
      </w:pPr>
      <w:bookmarkStart w:id="1496" w:name="ITEM16FORM10KSU_369056"/>
      <w:bookmarkEnd w:id="1496"/>
      <w:r>
        <w:rPr>
          <w:rFonts w:ascii="Times New Roman;Times;serif" w:hAnsi="Times New Roman;Times;serif"/>
          <w:b/>
          <w:sz w:val="20"/>
        </w:rPr>
        <w:t>ITEM 16.           FORM 10-K SUMMARY</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97" w:name="EXHIBITINDEX_965779"/>
      <w:bookmarkStart w:id="1498" w:name="_1263bd8a_1d7b_46a5_9922_24e663d57352"/>
      <w:bookmarkEnd w:id="1497"/>
      <w:bookmarkEnd w:id="1498"/>
      <w:r>
        <w:rPr>
          <w:rFonts w:ascii="Times New Roman;Times;serif" w:hAnsi="Times New Roman;Times;serif"/>
          <w:b/>
          <w:sz w:val="20"/>
        </w:rPr>
        <w:t>EXHIBIT INDEX</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46"/>
        <w:gridCol w:w="326"/>
        <w:gridCol w:w="4633"/>
        <w:gridCol w:w="109"/>
        <w:gridCol w:w="781"/>
        <w:gridCol w:w="109"/>
        <w:gridCol w:w="695"/>
        <w:gridCol w:w="109"/>
        <w:gridCol w:w="631"/>
        <w:gridCol w:w="109"/>
        <w:gridCol w:w="1757"/>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00710" cy="29210"/>
                      <wp:effectExtent l="0" t="0" r="0" b="0"/>
                      <wp:wrapNone/>
                      <wp:docPr id="319" name="Frame316"/>
                      <a:graphic xmlns:a="http://schemas.openxmlformats.org/drawingml/2006/main">
                        <a:graphicData uri="http://schemas.microsoft.com/office/word/2010/wordprocessingShape">
                          <wps:wsp>
                            <wps:cNvSpPr txBox="1"/>
                            <wps:spPr>
                              <a:xfrm>
                                <a:off x="0" y="0"/>
                                <a:ext cx="60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941955" cy="29210"/>
                      <wp:effectExtent l="0" t="0" r="0" b="0"/>
                      <wp:wrapNone/>
                      <wp:docPr id="320" name="Frame317"/>
                      <a:graphic xmlns:a="http://schemas.openxmlformats.org/drawingml/2006/main">
                        <a:graphicData uri="http://schemas.microsoft.com/office/word/2010/wordprocessingShape">
                          <wps:wsp>
                            <wps:cNvSpPr txBox="1"/>
                            <wps:spPr>
                              <a:xfrm>
                                <a:off x="0" y="0"/>
                                <a:ext cx="29419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95935" cy="29210"/>
                      <wp:effectExtent l="0" t="0" r="0" b="0"/>
                      <wp:wrapNone/>
                      <wp:docPr id="321" name="Frame318"/>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both"/>
              <w:rPr/>
            </w:pPr>
            <w:r>
              <w:rPr/>
              <w:t>​</w: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41325" cy="29210"/>
                      <wp:effectExtent l="0" t="0" r="0" b="0"/>
                      <wp:wrapNone/>
                      <wp:docPr id="322" name="Frame319"/>
                      <a:graphic xmlns:a="http://schemas.openxmlformats.org/drawingml/2006/main">
                        <a:graphicData uri="http://schemas.microsoft.com/office/word/2010/wordprocessingShape">
                          <wps:wsp>
                            <wps:cNvSpPr txBox="1"/>
                            <wps:spPr>
                              <a:xfrm>
                                <a:off x="0" y="0"/>
                                <a:ext cx="441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00685" cy="29210"/>
                      <wp:effectExtent l="0" t="0" r="0" b="0"/>
                      <wp:wrapNone/>
                      <wp:docPr id="323" name="Frame320"/>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both"/>
              <w:rPr/>
            </w:pPr>
            <w:r>
              <w:rPr/>
              <w:t>​</w:t>
            </w:r>
          </w:p>
        </w:tc>
        <w:tc>
          <w:tcPr>
            <w:tcW w:w="1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115695" cy="29210"/>
                      <wp:effectExtent l="0" t="0" r="0" b="0"/>
                      <wp:wrapNone/>
                      <wp:docPr id="324" name="Frame321"/>
                      <a:graphic xmlns:a="http://schemas.openxmlformats.org/drawingml/2006/main">
                        <a:graphicData uri="http://schemas.microsoft.com/office/word/2010/wordprocessingShape">
                          <wps:wsp>
                            <wps:cNvSpPr txBox="1"/>
                            <wps:spPr>
                              <a:xfrm>
                                <a:off x="0" y="0"/>
                                <a:ext cx="11156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6" w:type="dxa"/>
            <w:tcBorders/>
            <w:vAlign w:val="center"/>
          </w:tcPr>
          <w:p>
            <w:pPr>
              <w:pStyle w:val="TableContents"/>
              <w:bidi w:val="0"/>
              <w:spacing w:before="0" w:after="2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19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946"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26" w:type="dxa"/>
            <w:tcBorders/>
            <w:vAlign w:val="center"/>
          </w:tcPr>
          <w:p>
            <w:pPr>
              <w:pStyle w:val="TableContents"/>
              <w:bidi w:val="0"/>
              <w:spacing w:before="0" w:after="0"/>
              <w:ind w:left="0" w:right="0" w:hanging="0"/>
              <w:jc w:val="both"/>
              <w:rPr/>
            </w:pPr>
            <w:r>
              <w:rPr/>
              <w:t>    </w:t>
            </w:r>
          </w:p>
        </w:tc>
        <w:tc>
          <w:tcPr>
            <w:tcW w:w="4633"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center"/>
              <w:rPr/>
            </w:pPr>
            <w:r>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Schedule/</w:t>
            </w:r>
            <w:r>
              <w:rPr>
                <w:rFonts w:ascii="Times New Roman;Times;serif" w:hAnsi="Times New Roman;Times;serif"/>
                <w:sz w:val="16"/>
              </w:rPr>
              <w:br/>
            </w:r>
            <w:r>
              <w:rPr>
                <w:rFonts w:ascii="Times New Roman;Times;serif" w:hAnsi="Times New Roman;Times;serif"/>
                <w:b/>
                <w:sz w:val="16"/>
              </w:rPr>
              <w:t>Form</w:t>
            </w:r>
          </w:p>
        </w:tc>
        <w:tc>
          <w:tcPr>
            <w:tcW w:w="109" w:type="dxa"/>
            <w:tcBorders/>
            <w:vAlign w:val="center"/>
          </w:tcPr>
          <w:p>
            <w:pPr>
              <w:pStyle w:val="TableContents"/>
              <w:bidi w:val="0"/>
              <w:spacing w:before="0" w:after="0"/>
              <w:ind w:left="0" w:right="0" w:hanging="0"/>
              <w:jc w:val="center"/>
              <w:rPr/>
            </w:pPr>
            <w:r>
              <w:rPr/>
              <w:t>​</w:t>
            </w:r>
          </w:p>
        </w:tc>
        <w:tc>
          <w:tcPr>
            <w:tcW w:w="69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109" w:type="dxa"/>
            <w:tcBorders/>
            <w:vAlign w:val="center"/>
          </w:tcPr>
          <w:p>
            <w:pPr>
              <w:pStyle w:val="TableContents"/>
              <w:bidi w:val="0"/>
              <w:spacing w:before="0" w:after="0"/>
              <w:ind w:left="0" w:right="0" w:hanging="0"/>
              <w:jc w:val="center"/>
              <w:rPr/>
            </w:pPr>
            <w:r>
              <w:rPr/>
              <w:t>​</w:t>
            </w:r>
          </w:p>
        </w:tc>
        <w:tc>
          <w:tcPr>
            <w:tcW w:w="6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109" w:type="dxa"/>
            <w:tcBorders/>
            <w:vAlign w:val="center"/>
          </w:tcPr>
          <w:p>
            <w:pPr>
              <w:pStyle w:val="TableContents"/>
              <w:bidi w:val="0"/>
              <w:spacing w:before="0" w:after="0"/>
              <w:ind w:left="0" w:right="0" w:hanging="0"/>
              <w:jc w:val="center"/>
              <w:rPr/>
            </w:pPr>
            <w:r>
              <w:rPr/>
              <w:t>​</w:t>
            </w:r>
          </w:p>
        </w:tc>
        <w:tc>
          <w:tcPr>
            <w:tcW w:w="175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 Merger Sub, LLC and Rigetti Holdings, Inc.</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both"/>
              <w:rPr/>
            </w:pPr>
            <w:r>
              <w:rPr/>
              <w:t>​</w:t>
            </w:r>
          </w:p>
        </w:tc>
        <w:tc>
          <w:tcPr>
            <w:tcW w:w="17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October 6,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both"/>
              <w:rPr/>
            </w:pPr>
            <w:r>
              <w:rPr/>
              <w:t>​</w:t>
            </w:r>
          </w:p>
        </w:tc>
        <w:tc>
          <w:tcPr>
            <w:tcW w:w="17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December 23,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both"/>
              <w:rPr/>
            </w:pPr>
            <w:r>
              <w:rPr/>
              <w:t>​</w:t>
            </w:r>
          </w:p>
        </w:tc>
        <w:tc>
          <w:tcPr>
            <w:tcW w:w="17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January 10,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Amended and Restated Bylaws of Rigetti Computing, Inc.</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November 14,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Specimen Common Stock Certificate.</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Specimen Warrant Certificate.</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Warrant Agreement between American Stock Transfer &amp; Trust Company, LLC and Supernova Partners Acquisition Company II, Ltd., dated March 1, 2021.</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4,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Description of the Registrant’s Securities</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both"/>
              <w:rPr/>
            </w:pPr>
            <w:r>
              <w:rPr/>
              <w:t>​</w:t>
            </w:r>
          </w:p>
        </w:tc>
        <w:tc>
          <w:tcPr>
            <w:tcW w:w="6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0"/>
              <w:ind w:left="0" w:right="0" w:hanging="0"/>
              <w:jc w:val="both"/>
              <w:rPr/>
            </w:pPr>
            <w:r>
              <w:rPr/>
              <w:t>​</w:t>
            </w:r>
          </w:p>
        </w:tc>
        <w:tc>
          <w:tcPr>
            <w:tcW w:w="17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27, 2023</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Amended and Restated Registration Rights Agreement, dated March 2, 2022, by and among New Rigetti, the Sponsor and the other holders party thereto.</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Subscription Agreement for PIPE Financing.</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October 6,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Sponsor Support Agreement, dated as of October 6, 2021, by and among Supernova Partners Acquisition Company II, Ltd., Rigetti Holdings, Inc., Supernova Partners II LLC and certain other parties thereto.</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October 6,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Rigetti Holders Support Agreement, dated as of October 6, 2021, by and among Supernova Partners Acquisition Company II, Ltd., Rigetti Holdings, Inc. and certain other parties thereto.</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October 6,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10.5</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4633"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Letter Agreement, dated as of March 1, 2021, among Supernova, the Sponsor and Supernova’s officers and directors.</w:t>
              </w:r>
            </w:hyperlink>
          </w:p>
        </w:tc>
        <w:tc>
          <w:tcPr>
            <w:tcW w:w="109"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69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75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4, 2021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64"/>
        <w:gridCol w:w="109"/>
        <w:gridCol w:w="5496"/>
        <w:gridCol w:w="109"/>
        <w:gridCol w:w="448"/>
        <w:gridCol w:w="109"/>
        <w:gridCol w:w="875"/>
        <w:gridCol w:w="109"/>
        <w:gridCol w:w="571"/>
        <w:gridCol w:w="109"/>
        <w:gridCol w:w="1606"/>
      </w:tblGrid>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Loan and Security Agreement dated March 10, 2021, by and between Rigetti and Trinity Capital Inc.</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Amendment No. 1 to Trinity Loan and Security Agreement dated May 18, 2021, by and between Rigetti and Trinity Capital Inc</w:t>
              </w:r>
            </w:hyperlink>
            <w:r>
              <w:rPr>
                <w:rFonts w:ascii="Times New Roman;Times;serif" w:hAnsi="Times New Roman;Times;serif"/>
                <w:sz w:val="20"/>
              </w:rPr>
              <w:t>.</w:t>
            </w:r>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Amendment No. 2 to Trinity Loan and Security Agreement dated October 21, 2021, by and between Rigetti and Trinity Capital Inc.</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Amendment No. 3 to Trinity Loan and Security Agreement dated January 27, 2022, by and between Rigetti &amp; Co. LLC and Trinity Capital Inc.</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January 28,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Guaranty Agreement dated January 27, 2022, by and between Rigetti Holdings, Inc. and Trinity Capital Inc.</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January 28,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Amended and Restated Warrant to Purchase Stock, dated March 9, 2021, issued to Trinity Capital Inc. by Rigetti &amp; Co, Inc</w:t>
              </w:r>
            </w:hyperlink>
            <w:r>
              <w:rPr>
                <w:rFonts w:ascii="Times New Roman;Times;serif" w:hAnsi="Times New Roman;Times;serif"/>
                <w:sz w:val="20"/>
              </w:rPr>
              <w:t>.</w:t>
            </w:r>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Manufacturing Agreement dated May 28, 2020, by and between Rigetti and Sparqtron Corporation.</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Rigetti &amp; Co, Inc. 2013 Equity Incentive Plan, as amended.</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May 16,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Form of Stock Option Grant Notice and Form of Stock Option Agreement under Rigetti &amp; Co, Inc. 2013 Equity Incentive Plan.</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January 14,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Form of Restricted Stock Unit Grant Notice and Form of Restricted Stock Unit Agreement under Rigetti &amp; Co, Inc. 2013 Equity Incentive Plan.</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January 14,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Rigetti Computing, Inc. 2022 Equity Incentive Plan.</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Form of Stock Option Grant Package under 2022 Equity Incentive Plan.</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Form of RSU Grant Package under 2022 Equity Incentive Plan.</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Form of Stock Award Grant Package under 2022 Equity Incentive Plan.</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Rigetti Computing, Inc. 2022 Employee Stock Purchase Plan.</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Form of Indemnification Agreement by and between the Company and its directors and officers.</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Non-Employee Director Compensation Policy.</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pPr>
            <w:r>
              <w:rPr/>
              <w:t>​</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pPr>
            <w:r>
              <w:rPr/>
              <w:t>​</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pPr>
            <w:r>
              <w:rPr/>
              <w:t>​</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Lease Agreement dated August 9, 2016 by and between Rigetti and Prologis Limited Partnership I, as amended.</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Lease Agreement dated April 15, 2015, by and among Rigetti, Temescal, LP and Contra Costa Industrial Park, Ltd., as amended.</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6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0"/>
              <w:ind w:left="0" w:right="0" w:hanging="0"/>
              <w:jc w:val="both"/>
              <w:rPr/>
            </w:pPr>
            <w:r>
              <w:rPr/>
              <w:t>​</w:t>
            </w:r>
          </w:p>
        </w:tc>
        <w:tc>
          <w:tcPr>
            <w:tcW w:w="5496"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Amended &amp; Restated Employment Agreement, dated February 2, 2022, between Rigetti Holdings, Inc. and Rick Danis.</w:t>
              </w:r>
            </w:hyperlink>
          </w:p>
        </w:tc>
        <w:tc>
          <w:tcPr>
            <w:tcW w:w="109" w:type="dxa"/>
            <w:tcBorders/>
            <w:vAlign w:val="center"/>
          </w:tcPr>
          <w:p>
            <w:pPr>
              <w:pStyle w:val="TableContents"/>
              <w:bidi w:val="0"/>
              <w:spacing w:before="0" w:after="20"/>
              <w:ind w:left="0" w:right="0" w:hanging="0"/>
              <w:jc w:val="both"/>
              <w:rPr/>
            </w:pPr>
            <w:r>
              <w:rPr/>
              <w:t>​</w:t>
            </w:r>
          </w:p>
        </w:tc>
        <w:tc>
          <w:tcPr>
            <w:tcW w:w="448"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75"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before="0" w:after="20"/>
              <w:ind w:left="0" w:right="0" w:hanging="0"/>
              <w:jc w:val="both"/>
              <w:rPr/>
            </w:pPr>
            <w:r>
              <w:rPr/>
              <w:t>​</w:t>
            </w:r>
          </w:p>
        </w:tc>
        <w:tc>
          <w:tcPr>
            <w:tcW w:w="160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February 8, 2022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1"/>
        <w:gridCol w:w="166"/>
        <w:gridCol w:w="5142"/>
        <w:gridCol w:w="109"/>
        <w:gridCol w:w="826"/>
        <w:gridCol w:w="109"/>
        <w:gridCol w:w="827"/>
        <w:gridCol w:w="109"/>
        <w:gridCol w:w="571"/>
        <w:gridCol w:w="109"/>
        <w:gridCol w:w="1626"/>
      </w:tblGrid>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10.26</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Warrant Subscription Agreement, dated as of October 6, 2021, between Rigetti Holdings, Inc. and Ampere Computing LLC.</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99.2</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July 6, 2022</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10.27</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Ampere Warrant, dated as of June 30, 2022, issued by Rigetti Computing, Inc.</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99.3</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July 6, 2022</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10.28</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Common Stock Purchase Agreement, dated as of August 11, 2022, by and between Rigetti Computing, Inc. and B. Riley Capital II, LLC.</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August 12, 2022</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10.29</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Registration Rights Agreement, dated as of August 11, 2022, by and between Rigetti Computing, Inc. and B. Riley Capital II, LLC.</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August 12, 2022</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10.30#</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Interim President and Chief Executive Officer Letter Agreement for Rick Danis, dated as of December 1, 2022</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8-K/A</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 2022</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10.31#</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Executive Employment Agreement, dated December 7, 2022, by and between Rigetti Computing, Inc. and Dr. Subodh Kulkarni.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8, 2022</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10.32#</w:t>
            </w:r>
          </w:p>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Executive Employment Agreement, dated February 9, 2023, by and between Rigetti Computing, Inc. and Jeffrey Bertelsen.</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February 10, 2023</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10.33#</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Separation Agreement for Chad Rigetti, dated as of February 14, 2023</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8-K/A</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February 16, 2023</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10.34#</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Amended and Restated Employment Agreement, dated as of March 2, 2023, between Rigetti Computing, Inc. and David Rivas</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POS-AM</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333-263798</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April 5, 2023</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10.35#</w:t>
            </w:r>
          </w:p>
        </w:tc>
        <w:tc>
          <w:tcPr>
            <w:tcW w:w="166" w:type="dxa"/>
            <w:tcBorders/>
            <w:vAlign w:val="center"/>
          </w:tcPr>
          <w:p>
            <w:pPr>
              <w:pStyle w:val="TableContents"/>
              <w:bidi w:val="0"/>
              <w:spacing w:before="0" w:after="0"/>
              <w:ind w:left="0" w:right="0" w:hanging="0"/>
              <w:jc w:val="both"/>
              <w:rPr/>
            </w:pPr>
            <w:r>
              <w:rPr/>
              <w:t> ​</w:t>
            </w:r>
          </w:p>
        </w:tc>
        <w:tc>
          <w:tcPr>
            <w:tcW w:w="5142" w:type="dxa"/>
            <w:tcBorders/>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Separation Agreement for Michael Harburn, dated as of February 15, 2023</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May 11, 2023</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10.36#</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Separation Agreement for Brian Sereda, dated as of March 28, 2023</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May 11, 2023</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21.1</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List of Subsidiaries of Rigetti Computing, Inc.</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20"/>
              <w:ind w:left="0" w:right="0" w:hanging="0"/>
              <w:jc w:val="both"/>
              <w:rPr/>
            </w:pPr>
            <w:r>
              <w:rPr/>
              <w:t>​</w:t>
            </w:r>
          </w:p>
        </w:tc>
        <w:tc>
          <w:tcPr>
            <w:tcW w:w="16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23.1*</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w:anchor="tmb-20231231xex23d1.htm">
              <w:r>
                <w:rPr>
                  <w:rStyle w:val="InternetLink"/>
                  <w:rFonts w:ascii="Times New Roman;Times;serif" w:hAnsi="Times New Roman;Times;serif"/>
                  <w:b w:val="false"/>
                  <w:i w:val="false"/>
                  <w:caps w:val="false"/>
                  <w:smallCaps w:val="false"/>
                  <w:sz w:val="20"/>
                </w:rPr>
                <w:t>Consent of BDO USA P.C</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82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626" w:type="dxa"/>
            <w:tcBorders/>
            <w:vAlign w:val="center"/>
          </w:tcPr>
          <w:p>
            <w:pPr>
              <w:pStyle w:val="TableContents"/>
              <w:bidi w:val="0"/>
              <w:spacing w:before="0" w:after="283"/>
              <w:ind w:left="0" w:right="0" w:hanging="0"/>
              <w:jc w:val="left"/>
              <w:rPr>
                <w:sz w:val="4"/>
                <w:szCs w:val="4"/>
              </w:rPr>
            </w:pPr>
            <w:r>
              <w:rPr>
                <w:sz w:val="4"/>
                <w:szCs w:val="4"/>
              </w:rPr>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24.1*</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w:anchor="POWEROFATTORNEY_588894">
              <w:r>
                <w:rPr>
                  <w:rStyle w:val="InternetLink"/>
                  <w:rFonts w:ascii="Times New Roman;Times;serif" w:hAnsi="Times New Roman;Times;serif"/>
                  <w:b w:val="false"/>
                  <w:i w:val="false"/>
                  <w:caps w:val="false"/>
                  <w:smallCaps w:val="false"/>
                  <w:sz w:val="20"/>
                </w:rPr>
                <w:t>Power of Attorney (incorporated by reference to the signature page of this Annual Report on Form 10-K).</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82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626" w:type="dxa"/>
            <w:tcBorders/>
            <w:vAlign w:val="center"/>
          </w:tcPr>
          <w:p>
            <w:pPr>
              <w:pStyle w:val="TableContents"/>
              <w:bidi w:val="0"/>
              <w:spacing w:before="0" w:after="283"/>
              <w:ind w:left="0" w:right="0" w:hanging="0"/>
              <w:jc w:val="left"/>
              <w:rPr>
                <w:sz w:val="4"/>
                <w:szCs w:val="4"/>
              </w:rPr>
            </w:pPr>
            <w:r>
              <w:rPr>
                <w:sz w:val="4"/>
                <w:szCs w:val="4"/>
              </w:rPr>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w:anchor="tmb-202312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82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626" w:type="dxa"/>
            <w:tcBorders/>
            <w:vAlign w:val="center"/>
          </w:tcPr>
          <w:p>
            <w:pPr>
              <w:pStyle w:val="TableContents"/>
              <w:bidi w:val="0"/>
              <w:spacing w:before="0" w:after="283"/>
              <w:ind w:left="0" w:right="0" w:hanging="0"/>
              <w:jc w:val="left"/>
              <w:rPr>
                <w:sz w:val="4"/>
                <w:szCs w:val="4"/>
              </w:rPr>
            </w:pPr>
            <w:r>
              <w:rPr>
                <w:sz w:val="4"/>
                <w:szCs w:val="4"/>
              </w:rPr>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w:anchor="tmb-202312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82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626" w:type="dxa"/>
            <w:tcBorders/>
            <w:vAlign w:val="center"/>
          </w:tcPr>
          <w:p>
            <w:pPr>
              <w:pStyle w:val="TableContents"/>
              <w:bidi w:val="0"/>
              <w:spacing w:before="0" w:after="283"/>
              <w:ind w:left="0" w:right="0" w:hanging="0"/>
              <w:jc w:val="left"/>
              <w:rPr>
                <w:sz w:val="4"/>
                <w:szCs w:val="4"/>
              </w:rPr>
            </w:pPr>
            <w:r>
              <w:rPr>
                <w:sz w:val="4"/>
                <w:szCs w:val="4"/>
              </w:rPr>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w:anchor="tmb-202312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82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626" w:type="dxa"/>
            <w:tcBorders/>
            <w:vAlign w:val="center"/>
          </w:tcPr>
          <w:p>
            <w:pPr>
              <w:pStyle w:val="TableContents"/>
              <w:bidi w:val="0"/>
              <w:spacing w:before="0" w:after="283"/>
              <w:ind w:left="0" w:right="0" w:hanging="0"/>
              <w:jc w:val="left"/>
              <w:rPr>
                <w:sz w:val="4"/>
                <w:szCs w:val="4"/>
              </w:rPr>
            </w:pPr>
            <w:r>
              <w:rPr>
                <w:sz w:val="4"/>
                <w:szCs w:val="4"/>
              </w:rPr>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32.2**</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w:anchor="tmb-202312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82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626" w:type="dxa"/>
            <w:tcBorders/>
            <w:vAlign w:val="center"/>
          </w:tcPr>
          <w:p>
            <w:pPr>
              <w:pStyle w:val="TableContents"/>
              <w:bidi w:val="0"/>
              <w:spacing w:before="0" w:after="283"/>
              <w:ind w:left="0" w:right="0" w:hanging="0"/>
              <w:jc w:val="left"/>
              <w:rPr>
                <w:sz w:val="4"/>
                <w:szCs w:val="4"/>
              </w:rPr>
            </w:pPr>
            <w:r>
              <w:rPr>
                <w:sz w:val="4"/>
                <w:szCs w:val="4"/>
              </w:rPr>
            </w:r>
          </w:p>
        </w:tc>
      </w:tr>
      <w:tr>
        <w:trPr/>
        <w:tc>
          <w:tcPr>
            <w:tcW w:w="6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97.1*</w:t>
            </w:r>
          </w:p>
        </w:tc>
        <w:tc>
          <w:tcPr>
            <w:tcW w:w="166" w:type="dxa"/>
            <w:tcBorders/>
            <w:vAlign w:val="center"/>
          </w:tcPr>
          <w:p>
            <w:pPr>
              <w:pStyle w:val="TableContents"/>
              <w:bidi w:val="0"/>
              <w:spacing w:before="0" w:after="0"/>
              <w:ind w:left="0" w:right="0" w:hanging="0"/>
              <w:jc w:val="both"/>
              <w:rPr/>
            </w:pPr>
            <w:r>
              <w:rPr/>
              <w:t>​</w:t>
            </w:r>
          </w:p>
        </w:tc>
        <w:tc>
          <w:tcPr>
            <w:tcW w:w="5142" w:type="dxa"/>
            <w:tcBorders/>
            <w:vAlign w:val="center"/>
          </w:tcPr>
          <w:p>
            <w:pPr>
              <w:pStyle w:val="TableContents"/>
              <w:bidi w:val="0"/>
              <w:spacing w:before="0" w:after="0"/>
              <w:ind w:left="0" w:right="0" w:hanging="0"/>
              <w:jc w:val="left"/>
              <w:rPr/>
            </w:pPr>
            <w:hyperlink w:anchor="tmb-20231231xex97d1.htm">
              <w:r>
                <w:rPr>
                  <w:rStyle w:val="InternetLink"/>
                  <w:rFonts w:ascii="Times New Roman;Times;serif" w:hAnsi="Times New Roman;Times;serif"/>
                  <w:b w:val="false"/>
                  <w:i w:val="false"/>
                  <w:caps w:val="false"/>
                  <w:smallCaps w:val="false"/>
                  <w:sz w:val="20"/>
                </w:rPr>
                <w:t>Incentive Compensation Recoupment Policy</w:t>
              </w:r>
            </w:hyperlink>
          </w:p>
        </w:tc>
        <w:tc>
          <w:tcPr>
            <w:tcW w:w="109" w:type="dxa"/>
            <w:tcBorders/>
            <w:vAlign w:val="center"/>
          </w:tcPr>
          <w:p>
            <w:pPr>
              <w:pStyle w:val="TableContents"/>
              <w:bidi w:val="0"/>
              <w:spacing w:before="0" w:after="0"/>
              <w:ind w:left="0" w:right="0" w:hanging="0"/>
              <w:jc w:val="both"/>
              <w:rPr/>
            </w:pPr>
            <w:r>
              <w:rPr/>
              <w:t>​</w:t>
            </w:r>
          </w:p>
        </w:tc>
        <w:tc>
          <w:tcPr>
            <w:tcW w:w="82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827"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626"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13"/>
        <w:gridCol w:w="109"/>
        <w:gridCol w:w="8465"/>
        <w:gridCol w:w="109"/>
        <w:gridCol w:w="109"/>
        <w:gridCol w:w="109"/>
        <w:gridCol w:w="109"/>
        <w:gridCol w:w="109"/>
        <w:gridCol w:w="109"/>
        <w:gridCol w:w="109"/>
        <w:gridCol w:w="155"/>
      </w:tblGrid>
      <w:tr>
        <w:trPr/>
        <w:tc>
          <w:tcPr>
            <w:tcW w:w="7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both"/>
              <w:rPr/>
            </w:pPr>
            <w:r>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XBRL tags are embedded within the Inline XBRL document.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both"/>
              <w:rPr/>
            </w:pPr>
            <w:r>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both"/>
              <w:rPr/>
            </w:pPr>
            <w:r>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both"/>
              <w:rPr/>
            </w:pPr>
            <w:r>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both"/>
              <w:rPr/>
            </w:pPr>
            <w:r>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both"/>
              <w:rPr/>
            </w:pPr>
            <w:r>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55" w:type="dxa"/>
            <w:tcBorders/>
            <w:vAlign w:val="center"/>
          </w:tcPr>
          <w:p>
            <w:pPr>
              <w:pStyle w:val="TableContents"/>
              <w:bidi w:val="0"/>
              <w:spacing w:before="0" w:after="283"/>
              <w:jc w:val="left"/>
              <w:rPr>
                <w:sz w:val="4"/>
                <w:szCs w:val="4"/>
              </w:rPr>
            </w:pPr>
            <w:r>
              <w:rPr>
                <w:sz w:val="4"/>
                <w:szCs w:val="4"/>
              </w:rPr>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schedules and exhibits to this agreement have been omitted pursuant to Item 601(a)(5) of Regulation S-K. A copy of any omitted schedule and/or exhibit will be furnished to the SEC upon request.</w:t>
            </w:r>
          </w:p>
        </w:tc>
      </w:tr>
    </w:tbl>
    <w:tbl>
      <w:tblPr>
        <w:tblW w:w="6002" w:type="dxa"/>
        <w:jc w:val="left"/>
        <w:tblInd w:w="0" w:type="dxa"/>
        <w:tblLayout w:type="fixed"/>
        <w:tblCellMar>
          <w:top w:w="0" w:type="dxa"/>
          <w:left w:w="0" w:type="dxa"/>
          <w:bottom w:w="0" w:type="dxa"/>
          <w:right w:w="0" w:type="dxa"/>
        </w:tblCellMar>
      </w:tblPr>
      <w:tblGrid>
        <w:gridCol w:w="226"/>
        <w:gridCol w:w="577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57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99" w:name="SIGNATURES_954937"/>
      <w:bookmarkStart w:id="1500" w:name="_10c06341_3015_461d_8fa0_bc464f9fed6e"/>
      <w:bookmarkEnd w:id="1499"/>
      <w:bookmarkEnd w:id="1500"/>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r>
        <w:rPr>
          <w:rFonts w:ascii="Times New Roman;Times;serif" w:hAnsi="Times New Roman;Times;serif"/>
          <w:b/>
          <w:sz w:val="20"/>
        </w:rPr>
        <w:t>.</w:t>
      </w:r>
    </w:p>
    <w:tbl>
      <w:tblPr>
        <w:tblW w:w="4441" w:type="dxa"/>
        <w:jc w:val="left"/>
        <w:tblInd w:w="0" w:type="dxa"/>
        <w:tblLayout w:type="fixed"/>
        <w:tblCellMar>
          <w:top w:w="0" w:type="dxa"/>
          <w:left w:w="0" w:type="dxa"/>
          <w:bottom w:w="0" w:type="dxa"/>
          <w:right w:w="0" w:type="dxa"/>
        </w:tblCellMar>
      </w:tblPr>
      <w:tblGrid>
        <w:gridCol w:w="1891"/>
        <w:gridCol w:w="418"/>
        <w:gridCol w:w="2132"/>
      </w:tblGrid>
      <w:tr>
        <w:trPr/>
        <w:tc>
          <w:tcPr>
            <w:tcW w:w="1891" w:type="dxa"/>
            <w:tcBorders/>
            <w:vAlign w:val="center"/>
          </w:tcPr>
          <w:p>
            <w:pPr>
              <w:pStyle w:val="TableContents"/>
              <w:bidi w:val="0"/>
              <w:spacing w:before="0" w:after="0"/>
              <w:ind w:left="0" w:right="0" w:hanging="0"/>
              <w:jc w:val="both"/>
              <w:rPr/>
            </w:pPr>
            <w:r>
              <w:rPr/>
              <w:t>​</w:t>
            </w:r>
          </w:p>
        </w:tc>
        <w:tc>
          <w:tcPr>
            <w:tcW w:w="2550"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RIGETTI COMPUTING, INC.</w:t>
            </w:r>
          </w:p>
        </w:tc>
      </w:tr>
      <w:tr>
        <w:trPr/>
        <w:tc>
          <w:tcPr>
            <w:tcW w:w="1891" w:type="dxa"/>
            <w:tcBorders/>
            <w:vAlign w:val="center"/>
          </w:tcPr>
          <w:p>
            <w:pPr>
              <w:pStyle w:val="TableContents"/>
              <w:bidi w:val="0"/>
              <w:spacing w:before="0" w:after="0"/>
              <w:ind w:left="0" w:right="0" w:hanging="0"/>
              <w:jc w:val="both"/>
              <w:rPr/>
            </w:pPr>
            <w:r>
              <w:rPr/>
              <w:t>​</w:t>
            </w:r>
          </w:p>
        </w:tc>
        <w:tc>
          <w:tcPr>
            <w:tcW w:w="418" w:type="dxa"/>
            <w:tcBorders/>
            <w:vAlign w:val="center"/>
          </w:tcPr>
          <w:p>
            <w:pPr>
              <w:pStyle w:val="TableContents"/>
              <w:bidi w:val="0"/>
              <w:spacing w:before="0" w:after="0"/>
              <w:ind w:left="0" w:right="0" w:hanging="0"/>
              <w:jc w:val="both"/>
              <w:rPr/>
            </w:pPr>
            <w:r>
              <w:rPr/>
              <w:t>​</w:t>
            </w:r>
          </w:p>
        </w:tc>
        <w:tc>
          <w:tcPr>
            <w:tcW w:w="2132" w:type="dxa"/>
            <w:tcBorders/>
            <w:vAlign w:val="center"/>
          </w:tcPr>
          <w:p>
            <w:pPr>
              <w:pStyle w:val="TableContents"/>
              <w:bidi w:val="0"/>
              <w:spacing w:before="0" w:after="0"/>
              <w:ind w:left="0" w:right="0" w:hanging="0"/>
              <w:jc w:val="both"/>
              <w:rPr/>
            </w:pPr>
            <w:r>
              <w:rPr/>
              <w:t>​</w:t>
            </w:r>
          </w:p>
        </w:tc>
      </w:tr>
      <w:tr>
        <w:trPr/>
        <w:tc>
          <w:tcPr>
            <w:tcW w:w="18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14, 2024</w:t>
            </w:r>
          </w:p>
        </w:tc>
        <w:tc>
          <w:tcPr>
            <w:tcW w:w="4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132"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Dr. Subodh Kulkarni</w:t>
            </w:r>
          </w:p>
        </w:tc>
      </w:tr>
      <w:tr>
        <w:trPr/>
        <w:tc>
          <w:tcPr>
            <w:tcW w:w="1891" w:type="dxa"/>
            <w:tcBorders/>
            <w:vAlign w:val="center"/>
          </w:tcPr>
          <w:p>
            <w:pPr>
              <w:pStyle w:val="TableContents"/>
              <w:bidi w:val="0"/>
              <w:spacing w:before="0" w:after="0"/>
              <w:ind w:left="0" w:right="0" w:hanging="0"/>
              <w:jc w:val="both"/>
              <w:rPr/>
            </w:pPr>
            <w:r>
              <w:rPr/>
              <w:t>​</w:t>
            </w:r>
          </w:p>
        </w:tc>
        <w:tc>
          <w:tcPr>
            <w:tcW w:w="418" w:type="dxa"/>
            <w:tcBorders/>
            <w:vAlign w:val="center"/>
          </w:tcPr>
          <w:p>
            <w:pPr>
              <w:pStyle w:val="TableContents"/>
              <w:bidi w:val="0"/>
              <w:spacing w:before="0" w:after="0"/>
              <w:ind w:left="0" w:right="0" w:hanging="0"/>
              <w:jc w:val="both"/>
              <w:rPr/>
            </w:pPr>
            <w:r>
              <w:rPr/>
              <w:t>​</w:t>
            </w:r>
          </w:p>
        </w:tc>
        <w:tc>
          <w:tcPr>
            <w:tcW w:w="2132"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Dr. Subodh Kulkarni</w:t>
            </w:r>
          </w:p>
        </w:tc>
      </w:tr>
      <w:tr>
        <w:trPr/>
        <w:tc>
          <w:tcPr>
            <w:tcW w:w="1891" w:type="dxa"/>
            <w:tcBorders/>
            <w:vAlign w:val="center"/>
          </w:tcPr>
          <w:p>
            <w:pPr>
              <w:pStyle w:val="TableContents"/>
              <w:bidi w:val="0"/>
              <w:spacing w:before="0" w:after="0"/>
              <w:ind w:left="0" w:right="0" w:hanging="0"/>
              <w:jc w:val="both"/>
              <w:rPr/>
            </w:pPr>
            <w:r>
              <w:rPr/>
              <w:t>​</w:t>
            </w:r>
          </w:p>
        </w:tc>
        <w:tc>
          <w:tcPr>
            <w:tcW w:w="418" w:type="dxa"/>
            <w:tcBorders/>
            <w:vAlign w:val="center"/>
          </w:tcPr>
          <w:p>
            <w:pPr>
              <w:pStyle w:val="TableContents"/>
              <w:bidi w:val="0"/>
              <w:spacing w:before="0" w:after="0"/>
              <w:ind w:left="0" w:right="0" w:hanging="0"/>
              <w:jc w:val="both"/>
              <w:rPr/>
            </w:pPr>
            <w:r>
              <w:rPr/>
              <w:t>​</w:t>
            </w:r>
          </w:p>
        </w:tc>
        <w:tc>
          <w:tcPr>
            <w:tcW w:w="21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501" w:name="POWEROFATTORNEY_588894"/>
      <w:bookmarkEnd w:id="1501"/>
      <w:r>
        <w:rPr>
          <w:rFonts w:ascii="Times New Roman;Times;serif" w:hAnsi="Times New Roman;Times;serif"/>
          <w:b/>
          <w:sz w:val="20"/>
        </w:rPr>
        <w:t>POWER OF ATTORNEY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Each person whose individual signature appears below hereby authorizes and appoints Dr. Subodh Kulkarni, Jeffrey Bertelsen and Rick Danis,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6970" w:type="dxa"/>
        <w:jc w:val="left"/>
        <w:tblInd w:w="0" w:type="dxa"/>
        <w:tblLayout w:type="fixed"/>
        <w:tblCellMar>
          <w:top w:w="0" w:type="dxa"/>
          <w:left w:w="0" w:type="dxa"/>
          <w:bottom w:w="0" w:type="dxa"/>
          <w:right w:w="0" w:type="dxa"/>
        </w:tblCellMar>
      </w:tblPr>
      <w:tblGrid>
        <w:gridCol w:w="1801"/>
        <w:gridCol w:w="326"/>
        <w:gridCol w:w="3076"/>
        <w:gridCol w:w="326"/>
        <w:gridCol w:w="1441"/>
      </w:tblGrid>
      <w:tr>
        <w:trPr/>
        <w:tc>
          <w:tcPr>
            <w:tcW w:w="180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71500" cy="175260"/>
                      <wp:effectExtent l="0" t="0" r="0" b="0"/>
                      <wp:wrapNone/>
                      <wp:docPr id="325" name="Frame32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Heading"/>
                                    <w:bidi w:val="0"/>
                                    <w:spacing w:before="0" w:after="0"/>
                                    <w:ind w:left="0" w:right="0" w:hanging="0"/>
                                    <w:jc w:val="both"/>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    </w:t>
                            </w:r>
                          </w:p>
                        </w:txbxContent>
                      </v:textbox>
                      <w10:wrap type="none"/>
                    </v:rect>
                  </w:pict>
                </mc:Fallback>
              </mc:AlternateContent>
            </w:r>
          </w:p>
        </w:tc>
        <w:tc>
          <w:tcPr>
            <w:tcW w:w="326" w:type="dxa"/>
            <w:tcBorders/>
            <w:vAlign w:val="center"/>
          </w:tcPr>
          <w:p>
            <w:pPr>
              <w:pStyle w:val="TableHeading"/>
              <w:bidi w:val="0"/>
              <w:spacing w:before="0" w:after="0"/>
              <w:ind w:left="0" w:right="0" w:hanging="0"/>
              <w:jc w:val="both"/>
              <w:rPr/>
            </w:pPr>
            <w:r>
              <w:rPr/>
              <w:t>​</w:t>
            </w:r>
          </w:p>
        </w:tc>
        <w:tc>
          <w:tcPr>
            <w:tcW w:w="307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976630" cy="29210"/>
                      <wp:effectExtent l="0" t="0" r="0" b="0"/>
                      <wp:wrapNone/>
                      <wp:docPr id="326" name="Frame323"/>
                      <a:graphic xmlns:a="http://schemas.openxmlformats.org/drawingml/2006/main">
                        <a:graphicData uri="http://schemas.microsoft.com/office/word/2010/wordprocessingShape">
                          <wps:wsp>
                            <wps:cNvSpPr txBox="1"/>
                            <wps:spPr>
                              <a:xfrm>
                                <a:off x="0" y="0"/>
                                <a:ext cx="9766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0"/>
              <w:ind w:left="0" w:right="0" w:hanging="0"/>
              <w:jc w:val="both"/>
              <w:rPr/>
            </w:pPr>
            <w:r>
              <w:rPr/>
              <w:t>​</w:t>
            </w:r>
          </w:p>
        </w:tc>
        <w:tc>
          <w:tcPr>
            <w:tcW w:w="144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57200" cy="29210"/>
                      <wp:effectExtent l="0" t="0" r="0" b="0"/>
                      <wp:wrapNone/>
                      <wp:docPr id="327" name="Frame324"/>
                      <a:graphic xmlns:a="http://schemas.openxmlformats.org/drawingml/2006/main">
                        <a:graphicData uri="http://schemas.microsoft.com/office/word/2010/wordprocessingShape">
                          <wps:wsp>
                            <wps:cNvSpPr txBox="1"/>
                            <wps:spPr>
                              <a:xfrm>
                                <a:off x="0" y="0"/>
                                <a:ext cx="4572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01" w:type="dxa"/>
            <w:tcBorders>
              <w:bottom w:val="single" w:sz="2" w:space="0" w:color="000000"/>
            </w:tcBorders>
            <w:tcMar>
              <w:bottom w:w="28" w:type="dxa"/>
            </w:tcMar>
            <w:vAlign w:val="center"/>
          </w:tcPr>
          <w:p>
            <w:pPr>
              <w:pStyle w:val="TableHeading"/>
              <w:bidi w:val="0"/>
              <w:spacing w:before="0" w:after="20"/>
              <w:ind w:left="0" w:right="0" w:hanging="0"/>
              <w:jc w:val="both"/>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Heading"/>
              <w:bidi w:val="0"/>
              <w:spacing w:before="0" w:after="0"/>
              <w:ind w:left="0" w:right="0" w:hanging="0"/>
              <w:jc w:val="both"/>
              <w:rPr/>
            </w:pPr>
            <w:r>
              <w:rPr/>
              <w:t>    </w:t>
            </w:r>
          </w:p>
        </w:tc>
        <w:tc>
          <w:tcPr>
            <w:tcW w:w="3076"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Title</w:t>
            </w:r>
          </w:p>
        </w:tc>
        <w:tc>
          <w:tcPr>
            <w:tcW w:w="326" w:type="dxa"/>
            <w:tcBorders/>
            <w:vAlign w:val="center"/>
          </w:tcPr>
          <w:p>
            <w:pPr>
              <w:pStyle w:val="TableHeading"/>
              <w:bidi w:val="0"/>
              <w:spacing w:before="0" w:after="0"/>
              <w:ind w:left="0" w:right="0" w:hanging="0"/>
              <w:jc w:val="both"/>
              <w:rPr/>
            </w:pPr>
            <w:r>
              <w:rPr/>
              <w:t>    </w:t>
            </w:r>
          </w:p>
        </w:tc>
        <w:tc>
          <w:tcPr>
            <w:tcW w:w="1441"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Date</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3076" w:type="dxa"/>
            <w:tcBorders>
              <w:top w:val="single" w:sz="2" w:space="0" w:color="000000"/>
            </w:tcBorders>
            <w:tcMar>
              <w:top w:w="28" w:type="dxa"/>
            </w:tcMar>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top w:val="single" w:sz="2" w:space="0" w:color="000000"/>
            </w:tcBorders>
            <w:tcMar>
              <w:top w:w="28" w:type="dxa"/>
            </w:tcMar>
            <w:vAlign w:val="center"/>
          </w:tcPr>
          <w:p>
            <w:pPr>
              <w:pStyle w:val="TableContents"/>
              <w:bidi w:val="0"/>
              <w:spacing w:before="0" w:after="0"/>
              <w:ind w:left="0" w:right="0" w:hanging="0"/>
              <w:jc w:val="both"/>
              <w:rPr/>
            </w:pPr>
            <w:r>
              <w:rPr/>
              <w:t>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Subodh Kulkarni</w:t>
            </w:r>
          </w:p>
        </w:tc>
        <w:tc>
          <w:tcPr>
            <w:tcW w:w="32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and Director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Subodh Kulkarni</w:t>
            </w:r>
          </w:p>
        </w:tc>
        <w:tc>
          <w:tcPr>
            <w:tcW w:w="32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Jeffrey Bertelsen</w:t>
            </w:r>
          </w:p>
        </w:tc>
        <w:tc>
          <w:tcPr>
            <w:tcW w:w="32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Jeffrey Bertelsen</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Financial Officer and </w:t>
              <w:br/>
              <w:t>Principal Accounting Officer)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Thomas J. Iannoti</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Chair of the Board of Directors</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J. Iannoti</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pPr>
            <w:r>
              <w:rPr/>
              <w:t>​</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Michael Clifton</w:t>
            </w:r>
          </w:p>
        </w:tc>
        <w:tc>
          <w:tcPr>
            <w:tcW w:w="32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Clifton</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David Cowan</w:t>
            </w:r>
          </w:p>
        </w:tc>
        <w:tc>
          <w:tcPr>
            <w:tcW w:w="32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David Cowan</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Alissa Fitzgerald</w:t>
            </w:r>
          </w:p>
        </w:tc>
        <w:tc>
          <w:tcPr>
            <w:tcW w:w="32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Alissa Fitzgerald</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Ray Johnson</w:t>
            </w:r>
          </w:p>
        </w:tc>
        <w:tc>
          <w:tcPr>
            <w:tcW w:w="32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Ray Johnson</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Cathy McCarthy</w:t>
            </w:r>
          </w:p>
        </w:tc>
        <w:tc>
          <w:tcPr>
            <w:tcW w:w="32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Cathy McCarthy</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H. Gail Sandford</w:t>
            </w:r>
          </w:p>
        </w:tc>
        <w:tc>
          <w:tcPr>
            <w:tcW w:w="32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 Gail Sandford</w:t>
            </w:r>
          </w:p>
        </w:tc>
        <w:tc>
          <w:tcPr>
            <w:tcW w:w="32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w:t>
            </w:r>
          </w:p>
        </w:tc>
        <w:tc>
          <w:tcPr>
            <w:tcW w:w="14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lineRule="auto" w:line="285" w:before="0" w:after="0"/>
        <w:ind w:left="0" w:right="0" w:hanging="0"/>
        <w:jc w:val="right"/>
        <w:rPr>
          <w:rFonts w:ascii="Times New Roman;Times;serif" w:hAnsi="Times New Roman;Times;serif"/>
          <w:b/>
          <w:sz w:val="24"/>
        </w:rPr>
      </w:pPr>
      <w:bookmarkStart w:id="1502" w:name="_Hlk91503046"/>
      <w:bookmarkStart w:id="1503" w:name="tmb-20231231xex10d22.htm"/>
      <w:bookmarkStart w:id="1504" w:name="kstmb20231231xex10d22"/>
      <w:bookmarkEnd w:id="1502"/>
      <w:bookmarkEnd w:id="1503"/>
      <w:bookmarkEnd w:id="1504"/>
      <w:r>
        <w:rPr>
          <w:rFonts w:ascii="Times New Roman;Times;serif" w:hAnsi="Times New Roman;Times;serif"/>
          <w:b/>
          <w:sz w:val="24"/>
        </w:rPr>
        <w:t>Exhibit 10.22</w:t>
      </w:r>
      <w:r>
        <w:br w:type="page"/>
      </w:r>
    </w:p>
    <w:p>
      <w:pPr>
        <w:pStyle w:val="TextBody"/>
        <w:bidi w:val="0"/>
        <w:spacing w:lineRule="auto" w:line="285" w:before="0" w:after="0"/>
        <w:ind w:left="0" w:right="0" w:hanging="0"/>
        <w:jc w:val="center"/>
        <w:rPr>
          <w:smallCaps/>
        </w:rPr>
      </w:pPr>
      <w:r>
        <w:rPr>
          <w:smallCaps/>
        </w:rPr>
        <w:t>​</w:t>
      </w:r>
    </w:p>
    <w:p>
      <w:pPr>
        <w:pStyle w:val="TextBody"/>
        <w:bidi w:val="0"/>
        <w:spacing w:lineRule="auto" w:line="285" w:before="0" w:after="0"/>
        <w:ind w:left="0" w:right="0" w:hanging="0"/>
        <w:jc w:val="center"/>
        <w:rPr>
          <w:rFonts w:ascii="Times New Roman;Times;serif" w:hAnsi="Times New Roman;Times;serif"/>
          <w:b/>
          <w:smallCaps/>
          <w:sz w:val="28"/>
        </w:rPr>
      </w:pPr>
      <w:r>
        <w:rPr>
          <w:rFonts w:ascii="Times New Roman;Times;serif" w:hAnsi="Times New Roman;Times;serif"/>
          <w:b/>
          <w:smallCaps/>
          <w:sz w:val="28"/>
        </w:rPr>
        <w:t>Rigetti Computing, Inc.</w:t>
      </w:r>
    </w:p>
    <w:p>
      <w:pPr>
        <w:pStyle w:val="TextBody"/>
        <w:bidi w:val="0"/>
        <w:spacing w:lineRule="auto" w:line="285" w:before="0" w:after="0"/>
        <w:ind w:left="0" w:right="0" w:hanging="0"/>
        <w:jc w:val="center"/>
        <w:rPr>
          <w:rFonts w:ascii="Times New Roman;Times;serif" w:hAnsi="Times New Roman;Times;serif"/>
          <w:b/>
          <w:smallCaps/>
          <w:sz w:val="22"/>
        </w:rPr>
      </w:pPr>
      <w:r>
        <w:rPr>
          <w:rFonts w:ascii="Times New Roman;Times;serif" w:hAnsi="Times New Roman;Times;serif"/>
          <w:b/>
          <w:smallCaps/>
          <w:sz w:val="22"/>
        </w:rPr>
        <w:t>Non-Employee Director Compensation Policy</w:t>
      </w:r>
    </w:p>
    <w:p>
      <w:pPr>
        <w:pStyle w:val="TextBody"/>
        <w:bidi w:val="0"/>
        <w:spacing w:lineRule="auto" w:line="285" w:before="0" w:after="0"/>
        <w:ind w:left="0" w:right="0" w:hanging="0"/>
        <w:jc w:val="center"/>
        <w:rPr>
          <w:smallCaps/>
        </w:rPr>
      </w:pPr>
      <w:r>
        <w:rPr>
          <w:smallCaps/>
        </w:rPr>
        <w:t>​</w:t>
      </w:r>
    </w:p>
    <w:p>
      <w:pPr>
        <w:pStyle w:val="TextBody"/>
        <w:bidi w:val="0"/>
        <w:spacing w:lineRule="auto" w:line="285" w:before="0" w:after="0"/>
        <w:ind w:left="0" w:right="0" w:hanging="0"/>
        <w:jc w:val="center"/>
        <w:rPr>
          <w:rFonts w:ascii="Times New Roman;Times;serif" w:hAnsi="Times New Roman;Times;serif"/>
          <w:b/>
          <w:smallCaps/>
          <w:sz w:val="22"/>
        </w:rPr>
      </w:pPr>
      <w:r>
        <w:rPr>
          <w:rFonts w:ascii="Times New Roman;Times;serif" w:hAnsi="Times New Roman;Times;serif"/>
          <w:b/>
          <w:smallCaps/>
          <w:sz w:val="22"/>
        </w:rPr>
        <w:t>Effective as of October 30, 2023</w:t>
      </w:r>
    </w:p>
    <w:p>
      <w:pPr>
        <w:pStyle w:val="TextBody"/>
        <w:bidi w:val="0"/>
        <w:spacing w:lineRule="auto" w:line="285" w:before="0" w:after="0"/>
        <w:ind w:left="0" w:right="0" w:hanging="0"/>
        <w:jc w:val="center"/>
        <w:rPr>
          <w:smallCaps/>
        </w:rPr>
      </w:pPr>
      <w:r>
        <w:rPr>
          <w:smallCaps/>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Each member of the Board of Directors (the “</w:t>
      </w:r>
      <w:r>
        <w:rPr>
          <w:rFonts w:ascii="Times New Roman;Times;serif" w:hAnsi="Times New Roman;Times;serif"/>
          <w:b/>
          <w:i/>
          <w:sz w:val="22"/>
        </w:rPr>
        <w:t>Board</w:t>
      </w:r>
      <w:r>
        <w:rPr>
          <w:rFonts w:ascii="Times New Roman;Times;serif" w:hAnsi="Times New Roman;Times;serif"/>
          <w:sz w:val="22"/>
        </w:rPr>
        <w:t>”) who is not also serving as an employee of or consultant to Rigetti Computing, Inc. (the “</w:t>
      </w:r>
      <w:r>
        <w:rPr>
          <w:rFonts w:ascii="Times New Roman;Times;serif" w:hAnsi="Times New Roman;Times;serif"/>
          <w:b/>
          <w:i/>
          <w:sz w:val="22"/>
        </w:rPr>
        <w:t>Company</w:t>
      </w:r>
      <w:r>
        <w:rPr>
          <w:rFonts w:ascii="Times New Roman;Times;serif" w:hAnsi="Times New Roman;Times;serif"/>
          <w:sz w:val="22"/>
        </w:rPr>
        <w:t>”) or any of its subsidiaries (each such member, an “</w:t>
      </w:r>
      <w:r>
        <w:rPr>
          <w:rFonts w:ascii="Times New Roman;Times;serif" w:hAnsi="Times New Roman;Times;serif"/>
          <w:b/>
          <w:i/>
          <w:sz w:val="22"/>
        </w:rPr>
        <w:t>Eligible Director</w:t>
      </w:r>
      <w:r>
        <w:rPr>
          <w:rFonts w:ascii="Times New Roman;Times;serif" w:hAnsi="Times New Roman;Times;serif"/>
          <w:sz w:val="22"/>
        </w:rPr>
        <w:t>”) will receive the compensation described in this Non-Employee Director Compensation Policy (“</w:t>
      </w:r>
      <w:r>
        <w:rPr>
          <w:rFonts w:ascii="Times New Roman;Times;serif" w:hAnsi="Times New Roman;Times;serif"/>
          <w:b/>
          <w:i/>
          <w:sz w:val="22"/>
        </w:rPr>
        <w:t>Policy</w:t>
      </w:r>
      <w:r>
        <w:rPr>
          <w:rFonts w:ascii="Times New Roman;Times;serif" w:hAnsi="Times New Roman;Times;serif"/>
          <w:sz w:val="22"/>
        </w:rPr>
        <w:t>”) for his or her Board service following the date first set forth above (the “</w:t>
      </w:r>
      <w:r>
        <w:rPr>
          <w:rFonts w:ascii="Times New Roman;Times;serif" w:hAnsi="Times New Roman;Times;serif"/>
          <w:b/>
          <w:i/>
          <w:sz w:val="22"/>
        </w:rPr>
        <w:t>Effective Date</w:t>
      </w:r>
      <w:r>
        <w:rPr>
          <w:rFonts w:ascii="Times New Roman;Times;serif" w:hAnsi="Times New Roman;Times;serif"/>
          <w:sz w:val="22"/>
        </w:rPr>
        <w:t>”). An Eligible Director may decline all or any portion of his or her compensation by giving notice to the Company prior to the date cash may be paid or equity awards are to be granted, as the case may be, in accordance with this Policy. This Policy is effective as of the Effective Date and may be amended at any time in the sole discretion of the Board or Compensation Committee of the Board (“</w:t>
      </w:r>
      <w:r>
        <w:rPr>
          <w:rFonts w:ascii="Times New Roman;Times;serif" w:hAnsi="Times New Roman;Times;serif"/>
          <w:b/>
          <w:i/>
          <w:sz w:val="22"/>
        </w:rPr>
        <w:t>Compensation Committee</w:t>
      </w:r>
      <w:r>
        <w:rPr>
          <w:rFonts w:ascii="Times New Roman;Times;serif" w:hAnsi="Times New Roman;Times;serif"/>
          <w:sz w:val="22"/>
        </w:rPr>
        <w:t>”). Capitalized terms not otherwise defined herein shall have the meanings set forth in the Company’s 2022 Equity Incentive Plan, or any successor thereto (the “</w:t>
      </w:r>
      <w:r>
        <w:rPr>
          <w:rFonts w:ascii="Times New Roman;Times;serif" w:hAnsi="Times New Roman;Times;serif"/>
          <w:b/>
          <w:i/>
          <w:sz w:val="22"/>
        </w:rPr>
        <w:t>Plan</w:t>
      </w:r>
      <w:r>
        <w:rPr>
          <w:rFonts w:ascii="Times New Roman;Times;serif" w:hAnsi="Times New Roman;Times;serif"/>
          <w:sz w:val="22"/>
        </w:rPr>
        <w:t>”).</w:t>
      </w:r>
    </w:p>
    <w:p>
      <w:pPr>
        <w:pStyle w:val="TextBody"/>
        <w:bidi w:val="0"/>
        <w:spacing w:lineRule="auto" w:line="285" w:before="240" w:after="0"/>
        <w:ind w:left="0" w:right="0" w:hanging="0"/>
        <w:jc w:val="both"/>
        <w:rPr>
          <w:rFonts w:ascii="Times New Roman;Times;serif" w:hAnsi="Times New Roman;Times;serif"/>
          <w:b/>
          <w:sz w:val="22"/>
        </w:rPr>
      </w:pPr>
      <w:r>
        <w:rPr>
          <w:rFonts w:ascii="Times New Roman;Times;serif" w:hAnsi="Times New Roman;Times;serif"/>
          <w:b/>
          <w:sz w:val="22"/>
        </w:rPr>
        <w:t>Annual Cash Compensation</w:t>
      </w:r>
    </w:p>
    <w:p>
      <w:pPr>
        <w:pStyle w:val="TextBody"/>
        <w:bidi w:val="0"/>
        <w:spacing w:lineRule="auto" w:line="285" w:before="240" w:after="0"/>
        <w:ind w:left="0" w:right="0" w:hanging="0"/>
        <w:jc w:val="both"/>
        <w:rPr>
          <w:rFonts w:ascii="Times New Roman;Times;serif" w:hAnsi="Times New Roman;Times;serif"/>
          <w:sz w:val="22"/>
        </w:rPr>
      </w:pPr>
      <w:r>
        <w:rPr>
          <w:rFonts w:ascii="Times New Roman;Times;serif" w:hAnsi="Times New Roman;Times;serif"/>
          <w:sz w:val="22"/>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the Eligible Director will be paid regular full quarterly payments thereafter. All annual cash fees are vested upon payment. If an Eligible Director terminates service on the Board or a committee during the course of a fiscal quarter, the annual retainer amount for the fiscal quarter in which such termination occurs will be prorated based on days served in such fiscal quarter.</w:t>
      </w:r>
    </w:p>
    <w:tbl>
      <w:tblPr>
        <w:tblW w:w="3250" w:type="dxa"/>
        <w:jc w:val="left"/>
        <w:tblInd w:w="0" w:type="dxa"/>
        <w:tblLayout w:type="fixed"/>
        <w:tblCellMar>
          <w:top w:w="0" w:type="dxa"/>
          <w:left w:w="0" w:type="dxa"/>
          <w:bottom w:w="0" w:type="dxa"/>
          <w:right w:w="0" w:type="dxa"/>
        </w:tblCellMar>
      </w:tblPr>
      <w:tblGrid>
        <w:gridCol w:w="200"/>
        <w:gridCol w:w="3050"/>
      </w:tblGrid>
      <w:tr>
        <w:trPr/>
        <w:tc>
          <w:tcPr>
            <w:tcW w:w="200" w:type="dxa"/>
            <w:tcBorders/>
            <w:vAlign w:val="center"/>
          </w:tcPr>
          <w:p>
            <w:pPr>
              <w:pStyle w:val="TableContents"/>
              <w:bidi w:val="0"/>
              <w:spacing w:lineRule="auto" w:line="285" w:before="240" w:after="0"/>
              <w:jc w:val="both"/>
              <w:rPr>
                <w:rFonts w:ascii="Times New Roman;Times;serif" w:hAnsi="Times New Roman;Times;serif"/>
                <w:sz w:val="22"/>
              </w:rPr>
            </w:pPr>
            <w:r>
              <w:rPr>
                <w:rFonts w:ascii="Times New Roman;Times;serif" w:hAnsi="Times New Roman;Times;serif"/>
                <w:sz w:val="22"/>
              </w:rPr>
              <w:t>1.</w:t>
            </w:r>
          </w:p>
        </w:tc>
        <w:tc>
          <w:tcPr>
            <w:tcW w:w="3050" w:type="dxa"/>
            <w:tcBorders/>
            <w:vAlign w:val="center"/>
          </w:tcPr>
          <w:p>
            <w:pPr>
              <w:pStyle w:val="TableContents"/>
              <w:bidi w:val="0"/>
              <w:spacing w:lineRule="auto" w:line="285" w:before="240" w:after="0"/>
              <w:jc w:val="both"/>
              <w:rPr>
                <w:rFonts w:ascii="Times New Roman;Times;serif" w:hAnsi="Times New Roman;Times;serif"/>
                <w:sz w:val="24"/>
              </w:rPr>
            </w:pPr>
            <w:r>
              <w:rPr>
                <w:rFonts w:ascii="Times New Roman;Times;serif" w:hAnsi="Times New Roman;Times;serif"/>
                <w:sz w:val="22"/>
                <w:u w:val="single"/>
              </w:rPr>
              <w:t>Annual Board Service Retainer</w:t>
            </w:r>
            <w:r>
              <w:rPr>
                <w:rFonts w:ascii="Times New Roman;Times;serif" w:hAnsi="Times New Roman;Times;serif"/>
                <w:sz w:val="22"/>
              </w:rPr>
              <w:t xml:space="preserve">: </w:t>
            </w:r>
          </w:p>
        </w:tc>
      </w:tr>
    </w:tbl>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All Eligible Directors: $36,000</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b.Non-Executive Chair (in addition to annual service retainer): $22,500</w:t>
      </w:r>
    </w:p>
    <w:p>
      <w:pPr>
        <w:pStyle w:val="TextBody"/>
        <w:bidi w:val="0"/>
        <w:spacing w:lineRule="auto" w:line="285" w:before="0" w:after="0"/>
        <w:ind w:left="720" w:right="0" w:hanging="0"/>
        <w:jc w:val="both"/>
        <w:rPr/>
      </w:pPr>
      <w:r>
        <w:rPr/>
        <w:t>​</w:t>
      </w:r>
    </w:p>
    <w:tbl>
      <w:tblPr>
        <w:tblW w:w="4210" w:type="dxa"/>
        <w:jc w:val="left"/>
        <w:tblInd w:w="0" w:type="dxa"/>
        <w:tblLayout w:type="fixed"/>
        <w:tblCellMar>
          <w:top w:w="0" w:type="dxa"/>
          <w:left w:w="0" w:type="dxa"/>
          <w:bottom w:w="0" w:type="dxa"/>
          <w:right w:w="0" w:type="dxa"/>
        </w:tblCellMar>
      </w:tblPr>
      <w:tblGrid>
        <w:gridCol w:w="200"/>
        <w:gridCol w:w="4010"/>
      </w:tblGrid>
      <w:tr>
        <w:trPr/>
        <w:tc>
          <w:tcPr>
            <w:tcW w:w="200" w:type="dxa"/>
            <w:tcBorders/>
            <w:vAlign w:val="center"/>
          </w:tcPr>
          <w:p>
            <w:pPr>
              <w:pStyle w:val="TableContents"/>
              <w:bidi w:val="0"/>
              <w:spacing w:lineRule="auto" w:line="285" w:before="0" w:after="0"/>
              <w:jc w:val="both"/>
              <w:rPr>
                <w:rFonts w:ascii="Times New Roman;Times;serif" w:hAnsi="Times New Roman;Times;serif"/>
                <w:sz w:val="22"/>
              </w:rPr>
            </w:pPr>
            <w:r>
              <w:rPr>
                <w:rFonts w:ascii="Times New Roman;Times;serif" w:hAnsi="Times New Roman;Times;serif"/>
                <w:sz w:val="22"/>
              </w:rPr>
              <w:t>2.</w:t>
            </w:r>
          </w:p>
        </w:tc>
        <w:tc>
          <w:tcPr>
            <w:tcW w:w="4010"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2"/>
                <w:u w:val="single"/>
              </w:rPr>
              <w:t>Annual Committee Chair Service Retainer</w:t>
            </w:r>
            <w:r>
              <w:rPr>
                <w:rFonts w:ascii="Times New Roman;Times;serif" w:hAnsi="Times New Roman;Times;serif"/>
                <w:sz w:val="22"/>
              </w:rPr>
              <w:t>:</w:t>
            </w:r>
          </w:p>
        </w:tc>
      </w:tr>
    </w:tbl>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Chair of the Audit Committee: $18,000</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Chair of the Compensation Committee: $10,800</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Chair of the Nominating and Corporate Governance Committee: $8,100</w:t>
      </w:r>
    </w:p>
    <w:p>
      <w:pPr>
        <w:pStyle w:val="TextBody"/>
        <w:bidi w:val="0"/>
        <w:spacing w:lineRule="auto" w:line="285" w:before="0" w:after="0"/>
        <w:ind w:left="720" w:right="0" w:hanging="0"/>
        <w:jc w:val="both"/>
        <w:rPr/>
      </w:pPr>
      <w:r>
        <w:rPr/>
        <w:t>​</w:t>
      </w:r>
    </w:p>
    <w:tbl>
      <w:tblPr>
        <w:tblW w:w="7990" w:type="dxa"/>
        <w:jc w:val="left"/>
        <w:tblInd w:w="0" w:type="dxa"/>
        <w:tblLayout w:type="fixed"/>
        <w:tblCellMar>
          <w:top w:w="0" w:type="dxa"/>
          <w:left w:w="0" w:type="dxa"/>
          <w:bottom w:w="0" w:type="dxa"/>
          <w:right w:w="0" w:type="dxa"/>
        </w:tblCellMar>
      </w:tblPr>
      <w:tblGrid>
        <w:gridCol w:w="200"/>
        <w:gridCol w:w="7790"/>
      </w:tblGrid>
      <w:tr>
        <w:trPr/>
        <w:tc>
          <w:tcPr>
            <w:tcW w:w="200" w:type="dxa"/>
            <w:tcBorders/>
            <w:vAlign w:val="center"/>
          </w:tcPr>
          <w:p>
            <w:pPr>
              <w:pStyle w:val="TableContents"/>
              <w:bidi w:val="0"/>
              <w:spacing w:lineRule="auto" w:line="285" w:before="0" w:after="0"/>
              <w:jc w:val="both"/>
              <w:rPr>
                <w:rFonts w:ascii="Times New Roman;Times;serif" w:hAnsi="Times New Roman;Times;serif"/>
                <w:sz w:val="22"/>
              </w:rPr>
            </w:pPr>
            <w:r>
              <w:rPr>
                <w:rFonts w:ascii="Times New Roman;Times;serif" w:hAnsi="Times New Roman;Times;serif"/>
                <w:sz w:val="22"/>
              </w:rPr>
              <w:t>3.</w:t>
            </w:r>
          </w:p>
        </w:tc>
        <w:tc>
          <w:tcPr>
            <w:tcW w:w="7790"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2"/>
                <w:u w:val="single"/>
              </w:rPr>
              <w:t>Annual Committee Member Service Retainer (not applicable to Committee Chairs)</w:t>
            </w:r>
            <w:r>
              <w:rPr>
                <w:rFonts w:ascii="Times New Roman;Times;serif" w:hAnsi="Times New Roman;Times;serif"/>
                <w:sz w:val="22"/>
              </w:rPr>
              <w:t>:</w:t>
            </w:r>
          </w:p>
        </w:tc>
      </w:tr>
    </w:tbl>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Member of the Audit Committee: $9,000</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Member of the Compensation Committee: $5,400</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Member of the Nominating and Corporate Governance Committee: $4,050</w:t>
      </w:r>
    </w:p>
    <w:p>
      <w:pPr>
        <w:pStyle w:val="TextBody"/>
        <w:bidi w:val="0"/>
        <w:spacing w:lineRule="auto" w:line="285" w:before="240" w:after="0"/>
        <w:ind w:left="0" w:right="0" w:hanging="0"/>
        <w:jc w:val="both"/>
        <w:rPr>
          <w:rFonts w:ascii="Times New Roman;Times;serif" w:hAnsi="Times New Roman;Times;serif"/>
          <w:b/>
          <w:sz w:val="22"/>
        </w:rPr>
      </w:pPr>
      <w:r>
        <w:rPr>
          <w:rFonts w:ascii="Times New Roman;Times;serif" w:hAnsi="Times New Roman;Times;serif"/>
          <w:b/>
          <w:sz w:val="22"/>
        </w:rPr>
        <w:t>Expenses</w:t>
      </w:r>
    </w:p>
    <w:p>
      <w:pPr>
        <w:pStyle w:val="TextBody"/>
        <w:bidi w:val="0"/>
        <w:spacing w:lineRule="auto" w:line="285" w:before="240" w:after="0"/>
        <w:ind w:left="0" w:right="0" w:hanging="0"/>
        <w:jc w:val="both"/>
        <w:rPr>
          <w:rFonts w:ascii="Times New Roman;Times;serif" w:hAnsi="Times New Roman;Times;serif"/>
          <w:sz w:val="22"/>
        </w:rPr>
      </w:pPr>
      <w:r>
        <w:rPr>
          <w:rFonts w:ascii="Times New Roman;Times;serif" w:hAnsi="Times New Roman;Times;serif"/>
          <w:sz w:val="22"/>
        </w:rPr>
        <w:t xml:space="preserve">The Company will reimburse Eligible Directors for ordinary, necessary and reasonable out-of-pocket travel expenses to cover in-person attendance at and participation in Board and committee meetings; provided,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that the Eligible Director timely submit to the Company appropriate documentation substantiating such expenses in accordance with the Company’s travel and expense Policy, as in effect from time to time.</w:t>
      </w:r>
    </w:p>
    <w:p>
      <w:pPr>
        <w:pStyle w:val="TextBody"/>
        <w:bidi w:val="0"/>
        <w:spacing w:lineRule="auto" w:line="285" w:before="240" w:after="0"/>
        <w:ind w:left="0" w:right="0" w:hanging="0"/>
        <w:jc w:val="both"/>
        <w:rPr>
          <w:rFonts w:ascii="Times New Roman;Times;serif" w:hAnsi="Times New Roman;Times;serif"/>
          <w:b/>
          <w:sz w:val="22"/>
        </w:rPr>
      </w:pPr>
      <w:r>
        <w:rPr>
          <w:rFonts w:ascii="Times New Roman;Times;serif" w:hAnsi="Times New Roman;Times;serif"/>
          <w:b/>
          <w:sz w:val="22"/>
        </w:rPr>
        <w:t>Equity Compensation</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 xml:space="preserve">All grants of equity awards to Eligible Directors pursuant to this Policy will be nondiscretionary, automatic (without the need for any additional corporate action by the Board or the Compensation Committee) except as otherwise provided below and made in accordance with the following provisions. The equity compensation set forth below will be granted subject to the terms and conditions of the Plan and an applicable award agreement. </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u w:val="single"/>
        </w:rPr>
        <w:t>Non-Executive Chair Initial Grant</w:t>
      </w:r>
      <w:r>
        <w:rPr>
          <w:rFonts w:ascii="Times New Roman;Times;serif" w:hAnsi="Times New Roman;Times;serif"/>
          <w:sz w:val="22"/>
        </w:rPr>
        <w:t>: With respect to the Non-Executive Chair of the Board who is first elected or appointed to the Board following the Effective Date, as soon as practicable following the date of such election or appointment, the Board or Compensation Committee will grant such Eligible Director stock options (“</w:t>
      </w:r>
      <w:r>
        <w:rPr>
          <w:rFonts w:ascii="Times New Roman;Times;serif" w:hAnsi="Times New Roman;Times;serif"/>
          <w:b/>
          <w:i/>
          <w:sz w:val="22"/>
        </w:rPr>
        <w:t>Options</w:t>
      </w:r>
      <w:r>
        <w:rPr>
          <w:rFonts w:ascii="Times New Roman;Times;serif" w:hAnsi="Times New Roman;Times;serif"/>
          <w:sz w:val="22"/>
        </w:rPr>
        <w:t>”) to purchase shares of Common Stock with an aggregate Fair Market Value (as defined in the Plan) as of the grant date equal to $1,000,000 (the “</w:t>
      </w:r>
      <w:r>
        <w:rPr>
          <w:rFonts w:ascii="Times New Roman;Times;serif" w:hAnsi="Times New Roman;Times;serif"/>
          <w:b/>
          <w:i/>
          <w:sz w:val="22"/>
        </w:rPr>
        <w:t>Initial Option Grant</w:t>
      </w:r>
      <w:r>
        <w:rPr>
          <w:rFonts w:ascii="Times New Roman;Times;serif" w:hAnsi="Times New Roman;Times;serif"/>
          <w:sz w:val="22"/>
        </w:rPr>
        <w:t>”); provided that the Initial Option Grant will be subject to a maximum of 720,000 shares of Common Stock.  The Initial Option Grant will be nonstatutory stock options, will have an exercise price per share equal to 100% of the Fair Market Value (as defined in the Plan) of a share of Common Stock on the date of grant, and will vest over a three-year period, with one-third (1/3) of the Initial Option Grant vesting on the first anniversary of the grant date, one-third (1/3) of the Initial Option Grant vesting on the second anniversary of the grant date and the remaining one-third (1/3) of the Initial Option Grant vesting on the third anniversary of the grant date, such that the Initial Option Grant is fully vested on the third anniversary of the date of grant, subject to the Eligible Director’s Continuous Service (as defined in the Plan) through each such vesting date.</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u w:val="single"/>
        </w:rPr>
        <w:t>Non-Executive Chair Annual Grant</w:t>
      </w:r>
      <w:r>
        <w:rPr>
          <w:rFonts w:ascii="Times New Roman;Times;serif" w:hAnsi="Times New Roman;Times;serif"/>
          <w:sz w:val="22"/>
        </w:rPr>
        <w:t>: On the date of each annual stockholder meeting of the Company (each, an “</w:t>
      </w:r>
      <w:r>
        <w:rPr>
          <w:rFonts w:ascii="Times New Roman;Times;serif" w:hAnsi="Times New Roman;Times;serif"/>
          <w:b/>
          <w:i/>
          <w:sz w:val="22"/>
        </w:rPr>
        <w:t>Annual Meeting</w:t>
      </w:r>
      <w:r>
        <w:rPr>
          <w:rFonts w:ascii="Times New Roman;Times;serif" w:hAnsi="Times New Roman;Times;serif"/>
          <w:sz w:val="22"/>
        </w:rPr>
        <w:t>”) held after the Effective Date, with respect to the Non-Executive Chair of the Board who continues to serve in such capacity following such Annual Meeting, the Eligible Director will be automatically, and without further action by the Board or the Compensation Committee, granted Options with an aggregate Fair Market Value as of the grant date equal to $420,000 (the “</w:t>
      </w:r>
      <w:r>
        <w:rPr>
          <w:rFonts w:ascii="Times New Roman;Times;serif" w:hAnsi="Times New Roman;Times;serif"/>
          <w:b/>
          <w:i/>
          <w:sz w:val="22"/>
        </w:rPr>
        <w:t>Annual Option Grant</w:t>
      </w:r>
      <w:r>
        <w:rPr>
          <w:rFonts w:ascii="Times New Roman;Times;serif" w:hAnsi="Times New Roman;Times;serif"/>
          <w:sz w:val="22"/>
        </w:rPr>
        <w:t xml:space="preserve">”); provided that such Eligible Director remains in Continuous Service through the grant date; provided, further that the Annual Option Grant will be subject to a maximum of 140,000 shares of Common Stock.  The Annual Option Grant will be nonstatutory stock options, will have an exercise price per share equal to 100% of the Fair Market Value of a share of Common Stock on the date of grant, and will vest in full on the earlier of (i) the date of the following year’s Annual Meeting (or the date immediately prior to the next Annual Meeting if the Eligible Director’s service as a director ends at such Annual Meeting due to the director’s failure to be re-elected or the director not standing for re-election); or (ii) the one-year anniversary measured from the date of grant, in each case subject to the Eligible Director’s Continuous Service through such vesting date. </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u w:val="single"/>
        </w:rPr>
        <w:t>Initial Grant (other than for Non-Executive Chair)</w:t>
      </w:r>
      <w:r>
        <w:rPr>
          <w:rFonts w:ascii="Times New Roman;Times;serif" w:hAnsi="Times New Roman;Times;serif"/>
          <w:sz w:val="22"/>
        </w:rPr>
        <w:t>: For each Eligible Director, other than the Non-Executive Chair of the Board, who is first elected or appointed to the Board following the Effective Date, as soon as practicable following the date of such election or appointment, the Board or Compensation Committee will grant such Eligible Director restricted stock units (“</w:t>
      </w:r>
      <w:r>
        <w:rPr>
          <w:rFonts w:ascii="Times New Roman;Times;serif" w:hAnsi="Times New Roman;Times;serif"/>
          <w:b/>
          <w:i/>
          <w:sz w:val="22"/>
        </w:rPr>
        <w:t>RSUs</w:t>
      </w:r>
      <w:r>
        <w:rPr>
          <w:rFonts w:ascii="Times New Roman;Times;serif" w:hAnsi="Times New Roman;Times;serif"/>
          <w:sz w:val="22"/>
        </w:rPr>
        <w:t>”) with respect to shares of Common Stock with an aggregate Fair Market Value (as defined in the Plan) as of the grant date equal to $210,000 (the “</w:t>
      </w:r>
      <w:r>
        <w:rPr>
          <w:rFonts w:ascii="Times New Roman;Times;serif" w:hAnsi="Times New Roman;Times;serif"/>
          <w:b/>
          <w:i/>
          <w:sz w:val="22"/>
        </w:rPr>
        <w:t>Initial RSU Grant</w:t>
      </w:r>
      <w:r>
        <w:rPr>
          <w:rFonts w:ascii="Times New Roman;Times;serif" w:hAnsi="Times New Roman;Times;serif"/>
          <w:sz w:val="22"/>
        </w:rPr>
        <w:t>”).  The Initial RSU Grant will vest over a three-year period, with one-third (1/3) of the Initial RSU Grant vesting on the first anniversary of the grant date, one-third (1/3) of the Initial RSU Grant vesting on the second anniversary of the grant date and the remaining one-third (1/3) of the Initial RSU Grant vesting on the third anniversary of the grant date, such that the Initial RSU Grant is fully vested on the third anniversary of the date of grant, subject to the Eligible Director’s Continuous Service (as defined in the Plan) through each such vesting date.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u w:val="single"/>
        </w:rPr>
        <w:t>Annual Grant (other than for Non-Executive Chair)</w:t>
      </w:r>
      <w:r>
        <w:rPr>
          <w:rFonts w:ascii="Times New Roman;Times;serif" w:hAnsi="Times New Roman;Times;serif"/>
          <w:sz w:val="22"/>
        </w:rPr>
        <w:t>: On the date of each Annual Meeting held after the Effective Date, each Eligible Director, other than the Non-Executive Chair of the Board, who continues to serve as a non-employee member of the Board following such Annual Meeting (excluding any Eligible Director who is first appointed or elected by the Board at the Annual Meeting) will be automatically, and without further action by the Board or the Compensation Committee, granted RSUs with an aggregate Fair Market Value as of the grant date equal to $140,000 (the “</w:t>
      </w:r>
      <w:r>
        <w:rPr>
          <w:rFonts w:ascii="Times New Roman;Times;serif" w:hAnsi="Times New Roman;Times;serif"/>
          <w:b/>
          <w:i/>
          <w:sz w:val="22"/>
        </w:rPr>
        <w:t>Annual RSU Grant</w:t>
      </w:r>
      <w:r>
        <w:rPr>
          <w:rFonts w:ascii="Times New Roman;Times;serif" w:hAnsi="Times New Roman;Times;serif"/>
          <w:sz w:val="22"/>
        </w:rPr>
        <w:t xml:space="preserve">”); provided that such Eligible Director remains in Continuous Service through the grant date.  The Annual RSU Grant will vest in full on the earlier of (i) the date of the following year’s Annual Meeting (or the date immediately prior to the next Annual Meeting if the Eligible Director’s service as a director ends at such Annual Meeting due to the director’s failure to be re-elected or the director not standing for re-election); or (ii) the one-year anniversary measured from the date of grant, in each case subject to the Eligible Director’s Continuous Service through such vesting date. With respect to an Eligible Director who, following the Effective Date, was first elected or appointed to the Board on a date other than the date of the Annual Meeting, upon the first Annual Meeting following such Eligible Director’s first joining the Board, such Eligible Director’s first Annual Grant will be pro-rated to reflect the time between such Eligible Director’s election or appointment date and the date of such first Annual Meeting. </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u w:val="single"/>
        </w:rPr>
        <w:t>Settlement of RSUs</w:t>
      </w:r>
      <w:r>
        <w:rPr>
          <w:rFonts w:ascii="Times New Roman;Times;serif" w:hAnsi="Times New Roman;Times;serif"/>
          <w:sz w:val="22"/>
        </w:rPr>
        <w:t>: The Common Stock to be issued upon settlement of vested RSUs under Initial RSU Grants and Annual RSU Grants will be delivered on the applicable vesting date, or as soon as practicable thereafter, subject to the terms and conditions of the applicable form of RSU grant notice and agreement approved by the Board, provided, that such Common Stock shall be delivered no later than the date that is the 15th day of the third calendar month of the year following the year in which such shares are no longer subject to a “substantial risk of forfeiture” within the meaning of Treasury Regulations Section 1.409A-1(d).</w:t>
      </w:r>
    </w:p>
    <w:p>
      <w:pPr>
        <w:pStyle w:val="TextBody"/>
        <w:bidi w:val="0"/>
        <w:spacing w:lineRule="auto" w:line="285" w:before="240" w:after="0"/>
        <w:ind w:left="0" w:right="0" w:hanging="0"/>
        <w:jc w:val="both"/>
        <w:rPr>
          <w:rFonts w:ascii="Times New Roman;Times;serif" w:hAnsi="Times New Roman;Times;serif"/>
          <w:sz w:val="22"/>
        </w:rPr>
      </w:pPr>
      <w:r>
        <w:rPr>
          <w:rFonts w:ascii="Times New Roman;Times;serif" w:hAnsi="Times New Roman;Times;serif"/>
          <w:sz w:val="22"/>
          <w:u w:val="single"/>
        </w:rPr>
        <w:t>Acceleration of Equity Grants</w:t>
      </w:r>
      <w:r>
        <w:rPr>
          <w:rFonts w:ascii="Times New Roman;Times;serif" w:hAnsi="Times New Roman;Times;serif"/>
          <w:sz w:val="22"/>
        </w:rPr>
        <w:t>: Notwithstanding the foregoing vesting schedules, the Initial Option Grants, the Annual Option Grants, the Initial RSU Grants and Annual RSU Grants shall vest in full immediately prior to, but conditioned upon, the closing of a Change in Control (as defined in the Plan), subject to such Eligible Director remaining in Continuous Service with the Company until immediately prior to the closing of such Change in Control.</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Additional Provisions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All provisions of the Plan not inconsistent with this Policy will apply to awards granted to Eligible Directors. Eligible Directors will be required to execute an award agreement in a form satisfactory to the Company prior to receipt of an equity grant. </w:t>
      </w:r>
      <w:bookmarkStart w:id="1505" w:name="_Hlk95818656"/>
      <w:bookmarkEnd w:id="1505"/>
      <w:r>
        <w:rPr>
          <w:rFonts w:ascii="Times New Roman;Times;serif" w:hAnsi="Times New Roman;Times;serif"/>
          <w:sz w:val="22"/>
        </w:rPr>
        <w:t>An Eligible Director may decline all or any portion of his or her compensation by giving notice to the Company no later than thirty business days prior to the date cash is to be paid or equity awards are to be granted, provided, that if an Eligible Director is not providing services to the Board on the date that is thirty business days prior to the date cash is to be paid or equity awards are to be granted, then such Eligible Director may notify the Company as soon as possible prior to the date cash is to be paid or equity awards are to be granted, as the case may be.  </w:t>
      </w:r>
    </w:p>
    <w:p>
      <w:pPr>
        <w:pStyle w:val="TextBody"/>
        <w:bidi w:val="0"/>
        <w:spacing w:lineRule="auto" w:line="285" w:before="240" w:after="240"/>
        <w:ind w:left="0" w:right="0" w:hanging="0"/>
        <w:jc w:val="both"/>
        <w:rPr>
          <w:rFonts w:ascii="Times New Roman;Times;serif" w:hAnsi="Times New Roman;Times;serif"/>
          <w:b/>
          <w:sz w:val="22"/>
        </w:rPr>
      </w:pPr>
      <w:r>
        <w:rPr>
          <w:rFonts w:ascii="Times New Roman;Times;serif" w:hAnsi="Times New Roman;Times;serif"/>
          <w:b/>
          <w:sz w:val="22"/>
        </w:rPr>
        <w:t>Non-Employee Director Compensation Limit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Notwithstanding the foregoing, </w:t>
      </w:r>
      <w:bookmarkStart w:id="1506" w:name="_Hlk55205503"/>
      <w:bookmarkEnd w:id="1506"/>
      <w:r>
        <w:rPr>
          <w:rFonts w:ascii="Times New Roman;Times;serif" w:hAnsi="Times New Roman;Times;serif"/>
          <w:sz w:val="22"/>
        </w:rPr>
        <w:t>the aggregate value of all compensation granted or paid, as applicable, to any individual for service as an Eligible Director shall in no event exceed the limits set forth in Section 3(d) of the Plan.</w:t>
      </w:r>
      <w:bookmarkStart w:id="1507" w:name="_Hlk76062837"/>
      <w:bookmarkEnd w:id="1507"/>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08" w:name="tmb-20231231xex23d1.htm"/>
      <w:bookmarkStart w:id="1509" w:name="kstmb20231231xex23d1"/>
      <w:bookmarkEnd w:id="1508"/>
      <w:bookmarkEnd w:id="1509"/>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Consent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Berkeley, California</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We hereby consent to the incorporation by reference in the Registration Statements on Form S-3 (Nos. 333-266938, 333-275988, 333-266810, and 333-263798) and Form S-8 (Nos. 333-271140 and 333-265516) of Rigetti Computing, Inc. (the Company) of our report dated March 14, 2024, relating to the consolidated financial statements, which appears in this Annual Report on Form 10-K. </w:t>
      </w:r>
    </w:p>
    <w:p>
      <w:pPr>
        <w:pStyle w:val="TextBody"/>
        <w:bidi w:val="0"/>
        <w:spacing w:before="240" w:after="0"/>
        <w:ind w:left="0" w:right="0" w:hanging="0"/>
        <w:jc w:val="both"/>
        <w:rPr>
          <w:color w:val="FF00FF"/>
        </w:rPr>
      </w:pPr>
      <w:r>
        <w:rPr>
          <w:color w:val="FF00FF"/>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BDO USA, P.C.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Spokane, Washington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March 14, 2024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510" w:name="tmb-20231231xex31d1.htm"/>
      <w:bookmarkStart w:id="1511" w:name="kstmb20231231xex31d1"/>
      <w:bookmarkEnd w:id="1510"/>
      <w:bookmarkEnd w:id="151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Subodh Kulkarni, certify that:</w:t>
      </w:r>
    </w:p>
    <w:tbl>
      <w:tblPr>
        <w:tblW w:w="6475" w:type="dxa"/>
        <w:jc w:val="left"/>
        <w:tblInd w:w="0" w:type="dxa"/>
        <w:tblLayout w:type="fixed"/>
        <w:tblCellMar>
          <w:top w:w="0" w:type="dxa"/>
          <w:left w:w="0" w:type="dxa"/>
          <w:bottom w:w="0" w:type="dxa"/>
          <w:right w:w="0" w:type="dxa"/>
        </w:tblCellMar>
      </w:tblPr>
      <w:tblGrid>
        <w:gridCol w:w="170"/>
        <w:gridCol w:w="630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Rigetti Computing,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14,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0" w:type="dxa"/>
        <w:jc w:val="center"/>
        <w:tblInd w:w="0" w:type="dxa"/>
        <w:tblLayout w:type="fixed"/>
        <w:tblCellMar>
          <w:top w:w="0" w:type="dxa"/>
          <w:left w:w="0" w:type="dxa"/>
          <w:bottom w:w="0" w:type="dxa"/>
          <w:right w:w="0" w:type="dxa"/>
        </w:tblCellMar>
      </w:tblPr>
      <w:tblGrid>
        <w:gridCol w:w="124"/>
        <w:gridCol w:w="2506"/>
      </w:tblGrid>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adr</w:t>
            </w:r>
          </w:p>
        </w:tc>
      </w:tr>
      <w:tr>
        <w:trPr/>
        <w:tc>
          <w:tcPr>
            <w:tcW w:w="124" w:type="dxa"/>
            <w:tcBorders/>
            <w:vAlign w:val="center"/>
          </w:tcPr>
          <w:p>
            <w:pPr>
              <w:pStyle w:val="TableContents"/>
              <w:bidi w:val="0"/>
              <w:spacing w:before="0" w:after="20"/>
              <w:ind w:left="0" w:right="0" w:hanging="0"/>
              <w:jc w:val="left"/>
              <w:rPr/>
            </w:pPr>
            <w:r>
              <w:rPr/>
              <w:t>​</w:t>
            </w:r>
          </w:p>
        </w:tc>
        <w:tc>
          <w:tcPr>
            <w:tcW w:w="2506"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512" w:name="tmb-20231231xex31d2.htm"/>
      <w:bookmarkStart w:id="1513" w:name="kstmb20231231xex31d2"/>
      <w:bookmarkEnd w:id="1512"/>
      <w:bookmarkEnd w:id="1513"/>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Jeffrey Bertelsen, certify that:</w:t>
      </w:r>
    </w:p>
    <w:tbl>
      <w:tblPr>
        <w:tblW w:w="6475" w:type="dxa"/>
        <w:jc w:val="left"/>
        <w:tblInd w:w="0" w:type="dxa"/>
        <w:tblLayout w:type="fixed"/>
        <w:tblCellMar>
          <w:top w:w="0" w:type="dxa"/>
          <w:left w:w="0" w:type="dxa"/>
          <w:bottom w:w="0" w:type="dxa"/>
          <w:right w:w="0" w:type="dxa"/>
        </w:tblCellMar>
      </w:tblPr>
      <w:tblGrid>
        <w:gridCol w:w="170"/>
        <w:gridCol w:w="630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Rigetti Computing,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14,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35" w:type="dxa"/>
        <w:jc w:val="left"/>
        <w:tblInd w:w="0" w:type="dxa"/>
        <w:tblLayout w:type="fixed"/>
        <w:tblCellMar>
          <w:top w:w="0" w:type="dxa"/>
          <w:left w:w="0" w:type="dxa"/>
          <w:bottom w:w="0" w:type="dxa"/>
          <w:right w:w="0" w:type="dxa"/>
        </w:tblCellMar>
      </w:tblPr>
      <w:tblGrid>
        <w:gridCol w:w="124"/>
        <w:gridCol w:w="5311"/>
      </w:tblGrid>
      <w:tr>
        <w:trPr/>
        <w:tc>
          <w:tcPr>
            <w:tcW w:w="124" w:type="dxa"/>
            <w:tcBorders/>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Bertelsen</w:t>
            </w:r>
          </w:p>
        </w:tc>
      </w:tr>
      <w:tr>
        <w:trPr/>
        <w:tc>
          <w:tcPr>
            <w:tcW w:w="124" w:type="dxa"/>
            <w:tcBorders/>
            <w:vAlign w:val="center"/>
          </w:tcPr>
          <w:p>
            <w:pPr>
              <w:pStyle w:val="TableContents"/>
              <w:bidi w:val="0"/>
              <w:spacing w:before="0" w:after="0"/>
              <w:ind w:left="0" w:right="0" w:hanging="0"/>
              <w:jc w:val="left"/>
              <w:rPr/>
            </w:pPr>
            <w:r>
              <w:rPr/>
              <w:t>​</w:t>
            </w:r>
          </w:p>
        </w:tc>
        <w:tc>
          <w:tcPr>
            <w:tcW w:w="53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Bertelsen</w:t>
            </w:r>
          </w:p>
        </w:tc>
      </w:tr>
      <w:tr>
        <w:trPr/>
        <w:tc>
          <w:tcPr>
            <w:tcW w:w="124" w:type="dxa"/>
            <w:tcBorders/>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514" w:name="tmb-20231231xex32d1.htm"/>
      <w:bookmarkStart w:id="1515" w:name="kstmb20231231xex32d1"/>
      <w:bookmarkEnd w:id="1514"/>
      <w:bookmarkEnd w:id="1515"/>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Annual Report on Form 10-K for the fiscal year ended December 31, 2023, to which this Certification is attached as Exhibit 32.1 (the “Annual Report”), fully complies with the requirements of Section 13(a) or Section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b/>
          <w:sz w:val="20"/>
        </w:rPr>
        <w:t>I</w:t>
      </w:r>
      <w:r>
        <w:rPr>
          <w:rFonts w:ascii="Times New Roman;Times;serif" w:hAnsi="Times New Roman;Times;serif"/>
          <w:b/>
          <w:sz w:val="15"/>
        </w:rPr>
        <w:t>N</w:t>
      </w:r>
      <w:r>
        <w:rPr>
          <w:rFonts w:ascii="Times New Roman;Times;serif" w:hAnsi="Times New Roman;Times;serif"/>
          <w:sz w:val="14"/>
        </w:rPr>
        <w:t xml:space="preserve"> </w:t>
      </w:r>
      <w:r>
        <w:rPr>
          <w:rFonts w:ascii="Times New Roman;Times;serif" w:hAnsi="Times New Roman;Times;serif"/>
          <w:b/>
          <w:sz w:val="20"/>
        </w:rPr>
        <w:t>W</w:t>
      </w:r>
      <w:r>
        <w:rPr>
          <w:rFonts w:ascii="Times New Roman;Times;serif" w:hAnsi="Times New Roman;Times;serif"/>
          <w:b/>
          <w:sz w:val="15"/>
        </w:rPr>
        <w:t>ITNESS</w:t>
      </w:r>
      <w:r>
        <w:rPr>
          <w:rFonts w:ascii="Times New Roman;Times;serif" w:hAnsi="Times New Roman;Times;serif"/>
          <w:sz w:val="14"/>
        </w:rPr>
        <w:t xml:space="preserve"> </w:t>
      </w:r>
      <w:r>
        <w:rPr>
          <w:rFonts w:ascii="Times New Roman;Times;serif" w:hAnsi="Times New Roman;Times;serif"/>
          <w:b/>
          <w:sz w:val="20"/>
        </w:rPr>
        <w:t>W</w:t>
      </w:r>
      <w:r>
        <w:rPr>
          <w:rFonts w:ascii="Times New Roman;Times;serif" w:hAnsi="Times New Roman;Times;serif"/>
          <w:b/>
          <w:sz w:val="15"/>
        </w:rPr>
        <w:t>HEREOF</w:t>
      </w:r>
      <w:r>
        <w:rPr>
          <w:rFonts w:ascii="Times New Roman;Times;serif" w:hAnsi="Times New Roman;Times;serif"/>
          <w:sz w:val="20"/>
        </w:rPr>
        <w:t>, the undersigned has set his hand hereto as of the 14th day of March,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0" w:type="dxa"/>
        <w:jc w:val="left"/>
        <w:tblInd w:w="0" w:type="dxa"/>
        <w:tblLayout w:type="fixed"/>
        <w:tblCellMar>
          <w:top w:w="0" w:type="dxa"/>
          <w:left w:w="0" w:type="dxa"/>
          <w:bottom w:w="28" w:type="dxa"/>
          <w:right w:w="0" w:type="dxa"/>
        </w:tblCellMar>
      </w:tblPr>
      <w:tblGrid>
        <w:gridCol w:w="2476"/>
        <w:gridCol w:w="154"/>
      </w:tblGrid>
      <w:tr>
        <w:trPr/>
        <w:tc>
          <w:tcPr>
            <w:tcW w:w="247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Subodh Kulkarni</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47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516" w:name="tmb-20231231xex32d2.htm"/>
      <w:bookmarkStart w:id="1517" w:name="kstmb20231231xex32d2"/>
      <w:bookmarkEnd w:id="1516"/>
      <w:bookmarkEnd w:id="1517"/>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Jeffrey Bertelsen, Chief Financial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Annual Report on Form 10-K for the fiscal year ended December 31, 2023, to which this Certification is attached as Exhibit 32.2 (the “Annual Report”), fully complies with the requirements of Section 13(a) or Section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b/>
          <w:sz w:val="20"/>
        </w:rPr>
        <w:t>I</w:t>
      </w:r>
      <w:r>
        <w:rPr>
          <w:rFonts w:ascii="Times New Roman;Times;serif" w:hAnsi="Times New Roman;Times;serif"/>
          <w:b/>
          <w:sz w:val="15"/>
        </w:rPr>
        <w:t>N</w:t>
      </w:r>
      <w:r>
        <w:rPr>
          <w:rFonts w:ascii="Times New Roman;Times;serif" w:hAnsi="Times New Roman;Times;serif"/>
          <w:sz w:val="14"/>
        </w:rPr>
        <w:t xml:space="preserve"> </w:t>
      </w:r>
      <w:r>
        <w:rPr>
          <w:rFonts w:ascii="Times New Roman;Times;serif" w:hAnsi="Times New Roman;Times;serif"/>
          <w:b/>
          <w:sz w:val="20"/>
        </w:rPr>
        <w:t>W</w:t>
      </w:r>
      <w:r>
        <w:rPr>
          <w:rFonts w:ascii="Times New Roman;Times;serif" w:hAnsi="Times New Roman;Times;serif"/>
          <w:b/>
          <w:sz w:val="15"/>
        </w:rPr>
        <w:t>ITNESS</w:t>
      </w:r>
      <w:r>
        <w:rPr>
          <w:rFonts w:ascii="Times New Roman;Times;serif" w:hAnsi="Times New Roman;Times;serif"/>
          <w:sz w:val="14"/>
        </w:rPr>
        <w:t xml:space="preserve"> </w:t>
      </w:r>
      <w:r>
        <w:rPr>
          <w:rFonts w:ascii="Times New Roman;Times;serif" w:hAnsi="Times New Roman;Times;serif"/>
          <w:b/>
          <w:sz w:val="20"/>
        </w:rPr>
        <w:t>W</w:t>
      </w:r>
      <w:r>
        <w:rPr>
          <w:rFonts w:ascii="Times New Roman;Times;serif" w:hAnsi="Times New Roman;Times;serif"/>
          <w:b/>
          <w:sz w:val="15"/>
        </w:rPr>
        <w:t>HEREOF</w:t>
      </w:r>
      <w:r>
        <w:rPr>
          <w:rFonts w:ascii="Times New Roman;Times;serif" w:hAnsi="Times New Roman;Times;serif"/>
          <w:sz w:val="20"/>
        </w:rPr>
        <w:t>, the undersigned has set his hand hereto as of the 14th day of March,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35" w:type="dxa"/>
        <w:jc w:val="left"/>
        <w:tblInd w:w="0" w:type="dxa"/>
        <w:tblLayout w:type="fixed"/>
        <w:tblCellMar>
          <w:top w:w="0" w:type="dxa"/>
          <w:left w:w="0" w:type="dxa"/>
          <w:bottom w:w="28" w:type="dxa"/>
          <w:right w:w="0" w:type="dxa"/>
        </w:tblCellMar>
      </w:tblPr>
      <w:tblGrid>
        <w:gridCol w:w="5281"/>
        <w:gridCol w:w="154"/>
      </w:tblGrid>
      <w:tr>
        <w:trPr/>
        <w:tc>
          <w:tcPr>
            <w:tcW w:w="52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Bertelsen</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2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Bertelsen</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600" w:after="0"/>
        <w:ind w:left="0" w:right="0" w:hanging="0"/>
        <w:jc w:val="both"/>
        <w:rPr/>
      </w:pPr>
      <w:bookmarkStart w:id="1518" w:name="tmb-20231231xex97d1.htm"/>
      <w:bookmarkStart w:id="1519" w:name="kstmb20231231xex97d1"/>
      <w:bookmarkEnd w:id="1518"/>
      <w:bookmarkEnd w:id="1519"/>
      <w:r>
        <w:rPr/>
        <w:t>​</w:t>
      </w:r>
      <w:r>
        <w:br w:type="page"/>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97.1</w:t>
      </w:r>
    </w:p>
    <w:p>
      <w:pPr>
        <w:pStyle w:val="TextBody"/>
        <w:bidi w:val="0"/>
        <w:spacing w:lineRule="auto" w:line="285" w:before="0" w:after="0"/>
        <w:ind w:left="0" w:right="0" w:hanging="0"/>
        <w:jc w:val="center"/>
        <w:rPr>
          <w:smallCaps/>
        </w:rPr>
      </w:pPr>
      <w:r>
        <w:rPr>
          <w:smallCaps/>
        </w:rPr>
        <w:t>​</w:t>
      </w:r>
    </w:p>
    <w:p>
      <w:pPr>
        <w:pStyle w:val="TextBody"/>
        <w:bidi w:val="0"/>
        <w:spacing w:lineRule="auto" w:line="285" w:before="0" w:after="220"/>
        <w:ind w:left="0" w:right="0" w:hanging="0"/>
        <w:jc w:val="center"/>
        <w:rPr>
          <w:rFonts w:ascii="Times New Roman Bold" w:hAnsi="Times New Roman Bold"/>
          <w:b/>
          <w:smallCaps/>
          <w:sz w:val="22"/>
        </w:rPr>
      </w:pPr>
      <w:r>
        <w:rPr>
          <w:rFonts w:ascii="Times New Roman Bold" w:hAnsi="Times New Roman Bold"/>
          <w:b/>
          <w:smallCaps/>
          <w:sz w:val="22"/>
        </w:rPr>
        <w:t>Rigetti Computing, Inc.</w:t>
      </w:r>
    </w:p>
    <w:p>
      <w:pPr>
        <w:pStyle w:val="TextBody"/>
        <w:bidi w:val="0"/>
        <w:spacing w:lineRule="auto" w:line="285" w:before="0" w:after="220"/>
        <w:ind w:left="0" w:right="0" w:hanging="0"/>
        <w:jc w:val="center"/>
        <w:rPr>
          <w:rFonts w:ascii="Times New Roman Bold" w:hAnsi="Times New Roman Bold"/>
          <w:b/>
          <w:smallCaps/>
          <w:sz w:val="22"/>
        </w:rPr>
      </w:pPr>
      <w:r>
        <w:rPr>
          <w:rFonts w:ascii="Times New Roman Bold" w:hAnsi="Times New Roman Bold"/>
          <w:b/>
          <w:smallCaps/>
          <w:sz w:val="22"/>
        </w:rPr>
        <w:t>Incentive Compensation Recoupment Policy</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b/>
          <w:sz w:val="22"/>
        </w:rPr>
        <w:t>1.</w:t>
      </w:r>
      <w:r>
        <w:rPr>
          <w:rFonts w:ascii="Times New Roman;Times;serif" w:hAnsi="Times New Roman;Times;serif"/>
          <w:b/>
          <w:smallCaps/>
          <w:sz w:val="22"/>
        </w:rPr>
        <w:t>Introduction</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The Compensation Committee (the “</w:t>
      </w:r>
      <w:r>
        <w:rPr>
          <w:rFonts w:ascii="Times New Roman;Times;serif" w:hAnsi="Times New Roman;Times;serif"/>
          <w:b/>
          <w:i/>
          <w:sz w:val="22"/>
        </w:rPr>
        <w:t>Compensation Committee</w:t>
      </w:r>
      <w:r>
        <w:rPr>
          <w:rFonts w:ascii="Times New Roman;Times;serif" w:hAnsi="Times New Roman;Times;serif"/>
          <w:sz w:val="22"/>
        </w:rPr>
        <w:t>”) of the Board of Directors (the “</w:t>
      </w:r>
      <w:r>
        <w:rPr>
          <w:rFonts w:ascii="Times New Roman;Times;serif" w:hAnsi="Times New Roman;Times;serif"/>
          <w:b/>
          <w:i/>
          <w:sz w:val="22"/>
        </w:rPr>
        <w:t>Board</w:t>
      </w:r>
      <w:r>
        <w:rPr>
          <w:rFonts w:ascii="Times New Roman;Times;serif" w:hAnsi="Times New Roman;Times;serif"/>
          <w:sz w:val="22"/>
        </w:rPr>
        <w:t>”) of Rigetti Computing, Inc., a Delaware corporation (the “</w:t>
      </w:r>
      <w:r>
        <w:rPr>
          <w:rFonts w:ascii="Times New Roman;Times;serif" w:hAnsi="Times New Roman;Times;serif"/>
          <w:b/>
          <w:i/>
          <w:sz w:val="22"/>
        </w:rPr>
        <w:t>Company</w:t>
      </w:r>
      <w:r>
        <w:rPr>
          <w:rFonts w:ascii="Times New Roman;Times;serif" w:hAnsi="Times New Roman;Times;serif"/>
          <w:sz w:val="22"/>
        </w:rPr>
        <w:t>”), has determined that it is in the best interests of the Company and its shareholders to adopt this Incentive Compensation Recoupment Policy (this “</w:t>
      </w:r>
      <w:r>
        <w:rPr>
          <w:rFonts w:ascii="Times New Roman;Times;serif" w:hAnsi="Times New Roman;Times;serif"/>
          <w:b/>
          <w:i/>
          <w:sz w:val="22"/>
        </w:rPr>
        <w:t>Policy</w:t>
      </w:r>
      <w:r>
        <w:rPr>
          <w:rFonts w:ascii="Times New Roman;Times;serif" w:hAnsi="Times New Roman;Times;serif"/>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This Policy is designed to comply with, and shall be interpreted to be consistent with, Section 10D of the Exchange Act, Rule 10D-1 promulgated thereunder (“</w:t>
      </w:r>
      <w:r>
        <w:rPr>
          <w:rFonts w:ascii="Times New Roman;Times;serif" w:hAnsi="Times New Roman;Times;serif"/>
          <w:b/>
          <w:i/>
          <w:sz w:val="22"/>
        </w:rPr>
        <w:t>Rule 10D-1</w:t>
      </w:r>
      <w:r>
        <w:rPr>
          <w:rFonts w:ascii="Times New Roman;Times;serif" w:hAnsi="Times New Roman;Times;serif"/>
          <w:sz w:val="22"/>
        </w:rPr>
        <w:t>”) and Nasdaq Listing Rule 5608 (the “</w:t>
      </w:r>
      <w:r>
        <w:rPr>
          <w:rFonts w:ascii="Times New Roman;Times;serif" w:hAnsi="Times New Roman;Times;serif"/>
          <w:b/>
          <w:i/>
          <w:sz w:val="22"/>
        </w:rPr>
        <w:t>Listing Standards</w:t>
      </w:r>
      <w:r>
        <w:rPr>
          <w:rFonts w:ascii="Times New Roman;Times;serif" w:hAnsi="Times New Roman;Times;serif"/>
          <w:sz w:val="22"/>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b/>
          <w:sz w:val="22"/>
        </w:rPr>
        <w:t>2.</w:t>
      </w:r>
      <w:r>
        <w:rPr>
          <w:rFonts w:ascii="Times New Roman;Times;serif" w:hAnsi="Times New Roman;Times;serif"/>
          <w:b/>
          <w:smallCaps/>
          <w:sz w:val="22"/>
        </w:rPr>
        <w:t>Effective Date</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This Policy shall apply to all Incentive Compensation that is received by a Covered Officer on or after October 2, 2023 (the “</w:t>
      </w:r>
      <w:r>
        <w:rPr>
          <w:rFonts w:ascii="Times New Roman;Times;serif" w:hAnsi="Times New Roman;Times;serif"/>
          <w:b/>
          <w:i/>
          <w:sz w:val="22"/>
        </w:rPr>
        <w:t>Effective Date</w:t>
      </w:r>
      <w:r>
        <w:rPr>
          <w:rFonts w:ascii="Times New Roman;Times;serif" w:hAnsi="Times New Roman;Times;serif"/>
          <w:sz w:val="22"/>
        </w:rPr>
        <w:t>”). Incentive Compensation is deemed “</w:t>
      </w:r>
      <w:r>
        <w:rPr>
          <w:rFonts w:ascii="Times New Roman;Times;serif" w:hAnsi="Times New Roman;Times;serif"/>
          <w:b/>
          <w:i/>
          <w:sz w:val="22"/>
        </w:rPr>
        <w:t>received</w:t>
      </w:r>
      <w:r>
        <w:rPr>
          <w:rFonts w:ascii="Times New Roman;Times;serif" w:hAnsi="Times New Roman;Times;serif"/>
          <w:sz w:val="22"/>
        </w:rPr>
        <w:t>” 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3.</w:t>
      </w:r>
      <w:r>
        <w:rPr>
          <w:rFonts w:ascii="Times New Roman Bold" w:hAnsi="Times New Roman Bold"/>
          <w:b/>
          <w:smallCaps/>
          <w:sz w:val="22"/>
        </w:rPr>
        <w:t>Definitions</w:t>
      </w:r>
    </w:p>
    <w:p>
      <w:pPr>
        <w:pStyle w:val="TextBody"/>
        <w:bidi w:val="0"/>
        <w:spacing w:lineRule="auto" w:line="285" w:before="0" w:after="220"/>
        <w:ind w:left="0" w:right="0" w:firstLine="810"/>
        <w:jc w:val="both"/>
        <w:rPr/>
      </w:pPr>
      <w:r>
        <w:rPr/>
        <w:t>“</w:t>
      </w:r>
      <w:r>
        <w:rPr>
          <w:rFonts w:ascii="Times New Roman;Times;serif" w:hAnsi="Times New Roman;Times;serif"/>
          <w:b/>
          <w:i/>
          <w:sz w:val="22"/>
        </w:rPr>
        <w:t>Accounting Restatement</w:t>
      </w:r>
      <w:r>
        <w:rPr>
          <w:rFonts w:ascii="Times New Roman;Times;serif" w:hAnsi="Times New Roman;Times;serif"/>
          <w:sz w:val="22"/>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5" w:before="0" w:after="220"/>
        <w:ind w:left="0" w:right="0" w:firstLine="720"/>
        <w:jc w:val="both"/>
        <w:rPr/>
      </w:pPr>
      <w:r>
        <w:rPr/>
        <w:t>“</w:t>
      </w:r>
      <w:r>
        <w:rPr>
          <w:rFonts w:ascii="Times New Roman;Times;serif" w:hAnsi="Times New Roman;Times;serif"/>
          <w:b/>
          <w:i/>
          <w:sz w:val="22"/>
        </w:rPr>
        <w:t>Accounting Restatement Date</w:t>
      </w:r>
      <w:r>
        <w:rPr>
          <w:rFonts w:ascii="Times New Roman;Times;serif" w:hAnsi="Times New Roman;Times;serif"/>
          <w:sz w:val="22"/>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85" w:before="0" w:after="220"/>
        <w:ind w:left="0" w:right="0" w:firstLine="720"/>
        <w:jc w:val="both"/>
        <w:rPr/>
      </w:pPr>
      <w:r>
        <w:rPr/>
        <w:t>“</w:t>
      </w:r>
      <w:r>
        <w:rPr>
          <w:rFonts w:ascii="Times New Roman;Times;serif" w:hAnsi="Times New Roman;Times;serif"/>
          <w:b/>
          <w:i/>
          <w:sz w:val="22"/>
        </w:rPr>
        <w:t>Administrator</w:t>
      </w:r>
      <w:r>
        <w:rPr>
          <w:rFonts w:ascii="Times New Roman;Times;serif" w:hAnsi="Times New Roman;Times;serif"/>
          <w:sz w:val="22"/>
        </w:rPr>
        <w:t>” means the Compensation Committee or, in the absence of such committee, the Board.</w:t>
      </w:r>
    </w:p>
    <w:p>
      <w:pPr>
        <w:pStyle w:val="TextBody"/>
        <w:bidi w:val="0"/>
        <w:spacing w:lineRule="auto" w:line="285" w:before="0" w:after="220"/>
        <w:ind w:left="0" w:right="0" w:firstLine="720"/>
        <w:jc w:val="both"/>
        <w:rPr/>
      </w:pPr>
      <w:r>
        <w:rPr/>
        <w:t>“</w:t>
      </w:r>
      <w:r>
        <w:rPr>
          <w:rFonts w:ascii="Times New Roman;Times;serif" w:hAnsi="Times New Roman;Times;serif"/>
          <w:b/>
          <w:i/>
          <w:sz w:val="22"/>
        </w:rPr>
        <w:t>Code</w:t>
      </w:r>
      <w:r>
        <w:rPr>
          <w:rFonts w:ascii="Times New Roman;Times;serif" w:hAnsi="Times New Roman;Times;serif"/>
          <w:sz w:val="22"/>
        </w:rPr>
        <w:t>” means the U.S. Internal Revenue Code of 1986, as amended, and the regulations promulgated thereunder.</w:t>
      </w:r>
    </w:p>
    <w:p>
      <w:pPr>
        <w:pStyle w:val="TextBody"/>
        <w:bidi w:val="0"/>
        <w:spacing w:lineRule="auto" w:line="285" w:before="0" w:after="220"/>
        <w:ind w:left="0" w:right="0" w:firstLine="720"/>
        <w:jc w:val="both"/>
        <w:rPr/>
      </w:pPr>
      <w:r>
        <w:rPr/>
        <w:t>“</w:t>
      </w:r>
      <w:r>
        <w:rPr>
          <w:rFonts w:ascii="Times New Roman;Times;serif" w:hAnsi="Times New Roman;Times;serif"/>
          <w:b/>
          <w:i/>
          <w:sz w:val="22"/>
        </w:rPr>
        <w:t>Covered Officer</w:t>
      </w:r>
      <w:r>
        <w:rPr>
          <w:rFonts w:ascii="Times New Roman;Times;serif" w:hAnsi="Times New Roman;Times;serif"/>
          <w:sz w:val="22"/>
        </w:rPr>
        <w:t>” means each current and former Executive Officer.</w:t>
      </w:r>
    </w:p>
    <w:p>
      <w:pPr>
        <w:pStyle w:val="TextBody"/>
        <w:bidi w:val="0"/>
        <w:spacing w:lineRule="auto" w:line="285" w:before="0" w:after="220"/>
        <w:ind w:left="0" w:right="0" w:firstLine="720"/>
        <w:jc w:val="both"/>
        <w:rPr/>
      </w:pPr>
      <w:r>
        <w:rPr/>
        <w:t>“</w:t>
      </w:r>
      <w:r>
        <w:rPr>
          <w:rFonts w:ascii="Times New Roman;Times;serif" w:hAnsi="Times New Roman;Times;serif"/>
          <w:b/>
          <w:i/>
          <w:sz w:val="22"/>
        </w:rPr>
        <w:t>Exchange</w:t>
      </w:r>
      <w:r>
        <w:rPr>
          <w:rFonts w:ascii="Times New Roman;Times;serif" w:hAnsi="Times New Roman;Times;serif"/>
          <w:sz w:val="22"/>
        </w:rPr>
        <w:t>” means the Nasdaq Stock Market.</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285911742 v11</w:t>
      </w:r>
    </w:p>
    <w:p>
      <w:pPr>
        <w:pStyle w:val="TextBody"/>
        <w:bidi w:val="0"/>
        <w:spacing w:lineRule="atLeast" w:line="200"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20"/>
        <w:ind w:left="0" w:right="0" w:firstLine="720"/>
        <w:jc w:val="both"/>
        <w:rPr/>
      </w:pPr>
      <w:r>
        <w:rPr/>
        <w:t>“</w:t>
      </w:r>
      <w:r>
        <w:rPr>
          <w:rFonts w:ascii="Times New Roman;Times;serif" w:hAnsi="Times New Roman;Times;serif"/>
          <w:b/>
          <w:i/>
          <w:sz w:val="22"/>
        </w:rPr>
        <w:t>Exchange Act</w:t>
      </w:r>
      <w:r>
        <w:rPr>
          <w:rFonts w:ascii="Times New Roman;Times;serif" w:hAnsi="Times New Roman;Times;serif"/>
          <w:sz w:val="22"/>
        </w:rPr>
        <w:t>” means the U.S. Securities Exchange Act of 1934, as amended.</w:t>
      </w:r>
    </w:p>
    <w:p>
      <w:pPr>
        <w:pStyle w:val="TextBody"/>
        <w:bidi w:val="0"/>
        <w:spacing w:lineRule="auto" w:line="285" w:before="0" w:after="220"/>
        <w:ind w:left="0" w:right="0" w:firstLine="720"/>
        <w:jc w:val="both"/>
        <w:rPr/>
      </w:pPr>
      <w:r>
        <w:rPr/>
        <w:t>“</w:t>
      </w:r>
      <w:r>
        <w:rPr>
          <w:rFonts w:ascii="Times New Roman;Times;serif" w:hAnsi="Times New Roman;Times;serif"/>
          <w:b/>
          <w:i/>
          <w:sz w:val="22"/>
        </w:rPr>
        <w:t>Executive Officer</w:t>
      </w:r>
      <w:r>
        <w:rPr>
          <w:rFonts w:ascii="Times New Roman;Times;serif" w:hAnsi="Times New Roman;Times;serif"/>
          <w:sz w:val="22"/>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lineRule="auto" w:line="285" w:before="0" w:after="220"/>
        <w:ind w:left="0" w:right="0" w:firstLine="720"/>
        <w:jc w:val="both"/>
        <w:rPr/>
      </w:pPr>
      <w:r>
        <w:rPr/>
        <w:t>“</w:t>
      </w:r>
      <w:r>
        <w:rPr>
          <w:rFonts w:ascii="Times New Roman;Times;serif" w:hAnsi="Times New Roman;Times;serif"/>
          <w:b/>
          <w:i/>
          <w:sz w:val="22"/>
        </w:rPr>
        <w:t>Financial Reporting Measures</w:t>
      </w:r>
      <w:r>
        <w:rPr>
          <w:rFonts w:ascii="Times New Roman;Times;serif" w:hAnsi="Times New Roman;Times;serif"/>
          <w:sz w:val="22"/>
        </w:rPr>
        <w:t>” means measures that are determined and presented in accordance with the accounting principles used in preparing the Company’s financial statements, and any measures derived wholly or in part from such measures, including Company stock price and total shareholder return (“</w:t>
      </w:r>
      <w:r>
        <w:rPr>
          <w:rFonts w:ascii="Times New Roman;Times;serif" w:hAnsi="Times New Roman;Times;serif"/>
          <w:b/>
          <w:i/>
          <w:sz w:val="22"/>
        </w:rPr>
        <w:t>TSR</w:t>
      </w:r>
      <w:r>
        <w:rPr>
          <w:rFonts w:ascii="Times New Roman;Times;serif" w:hAnsi="Times New Roman;Times;serif"/>
          <w:sz w:val="22"/>
        </w:rPr>
        <w:t>”). A measure need not be presented in the Company’s financial statements or included in a filing with the SEC in order to be a Financial Reporting Measure.</w:t>
      </w:r>
    </w:p>
    <w:p>
      <w:pPr>
        <w:pStyle w:val="TextBody"/>
        <w:bidi w:val="0"/>
        <w:spacing w:lineRule="auto" w:line="285" w:before="0" w:after="220"/>
        <w:ind w:left="0" w:right="0" w:firstLine="720"/>
        <w:jc w:val="both"/>
        <w:rPr/>
      </w:pPr>
      <w:r>
        <w:rPr/>
        <w:t>“</w:t>
      </w:r>
      <w:r>
        <w:rPr>
          <w:rFonts w:ascii="Times New Roman;Times;serif" w:hAnsi="Times New Roman;Times;serif"/>
          <w:b/>
          <w:i/>
          <w:sz w:val="22"/>
        </w:rPr>
        <w:t>Incentive Compensation</w:t>
      </w:r>
      <w:r>
        <w:rPr>
          <w:rFonts w:ascii="Times New Roman;Times;serif" w:hAnsi="Times New Roman;Times;serif"/>
          <w:sz w:val="22"/>
        </w:rPr>
        <w:t xml:space="preserve">” means any compensation that is granted, earned or vested based wholly or in part upon the attainment of a Financial Reporting Measure. </w:t>
      </w:r>
    </w:p>
    <w:p>
      <w:pPr>
        <w:pStyle w:val="TextBody"/>
        <w:bidi w:val="0"/>
        <w:spacing w:lineRule="auto" w:line="285" w:before="0" w:after="220"/>
        <w:ind w:left="0" w:right="0" w:firstLine="720"/>
        <w:jc w:val="both"/>
        <w:rPr/>
      </w:pPr>
      <w:r>
        <w:rPr/>
        <w:t>“</w:t>
      </w:r>
      <w:r>
        <w:rPr>
          <w:rFonts w:ascii="Times New Roman;Times;serif" w:hAnsi="Times New Roman;Times;serif"/>
          <w:b/>
          <w:i/>
          <w:sz w:val="22"/>
        </w:rPr>
        <w:t>Lookback Period</w:t>
      </w:r>
      <w:r>
        <w:rPr>
          <w:rFonts w:ascii="Times New Roman;Times;serif" w:hAnsi="Times New Roman;Times;serif"/>
          <w:sz w:val="22"/>
        </w:rPr>
        <w:t xml:space="preserve">”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lineRule="auto" w:line="285" w:before="0" w:after="220"/>
        <w:ind w:left="0" w:right="0" w:firstLine="720"/>
        <w:jc w:val="both"/>
        <w:rPr/>
      </w:pPr>
      <w:bookmarkStart w:id="1520" w:name="_Hlk136880315"/>
      <w:bookmarkEnd w:id="1520"/>
      <w:r>
        <w:rPr/>
        <w:t>“</w:t>
      </w:r>
      <w:r>
        <w:rPr>
          <w:rFonts w:ascii="Times New Roman;Times;serif" w:hAnsi="Times New Roman;Times;serif"/>
          <w:b/>
          <w:i/>
          <w:sz w:val="22"/>
        </w:rPr>
        <w:t>Recoverable Incentive Compensation</w:t>
      </w:r>
      <w:r>
        <w:rPr>
          <w:rFonts w:ascii="Times New Roman;Times;serif" w:hAnsi="Times New Roman;Times;serif"/>
          <w:sz w:val="22"/>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Times;serif" w:hAnsi="Times New Roman;Times;serif"/>
          <w:i/>
          <w:sz w:val="22"/>
        </w:rPr>
        <w:t>i.e.</w:t>
      </w:r>
      <w:r>
        <w:rPr>
          <w:rFonts w:ascii="Times New Roman;Times;serif" w:hAnsi="Times New Roman;Times;serif"/>
          <w:sz w:val="22"/>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85" w:before="0" w:after="220"/>
        <w:ind w:left="0" w:right="0" w:firstLine="720"/>
        <w:jc w:val="both"/>
        <w:rPr/>
      </w:pPr>
      <w:r>
        <w:rPr/>
        <w:t>“</w:t>
      </w:r>
      <w:r>
        <w:rPr>
          <w:rFonts w:ascii="Times New Roman;Times;serif" w:hAnsi="Times New Roman;Times;serif"/>
          <w:b/>
          <w:i/>
          <w:sz w:val="22"/>
        </w:rPr>
        <w:t>SEC</w:t>
      </w:r>
      <w:r>
        <w:rPr>
          <w:rFonts w:ascii="Times New Roman;Times;serif" w:hAnsi="Times New Roman;Times;serif"/>
          <w:sz w:val="22"/>
        </w:rPr>
        <w:t>” means the U.S. Securities and Exchange Commission.</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b/>
          <w:sz w:val="22"/>
        </w:rPr>
        <w:t>4.</w:t>
      </w:r>
      <w:r>
        <w:rPr>
          <w:rFonts w:ascii="Times New Roman Bold" w:hAnsi="Times New Roman Bold"/>
          <w:b/>
          <w:smallCaps/>
          <w:sz w:val="22"/>
        </w:rPr>
        <w:t>Recoupment</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 xml:space="preserve">(a)Applicability of Policy. </w:t>
      </w:r>
      <w:r>
        <w:rPr>
          <w:rFonts w:ascii="Times New Roman;Times;serif" w:hAnsi="Times New Roman;Times;serif"/>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285911742 v11</w:t>
      </w:r>
    </w:p>
    <w:p>
      <w:pPr>
        <w:pStyle w:val="TextBody"/>
        <w:bidi w:val="0"/>
        <w:spacing w:lineRule="atLeast" w:line="200"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(b)Recoupment Generally.  </w:t>
      </w:r>
      <w:r>
        <w:rPr>
          <w:rFonts w:ascii="Times New Roman;Times;serif" w:hAnsi="Times New Roman;Times;serif"/>
          <w:sz w:val="22"/>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(c)Impracticability of Recovery.</w:t>
      </w:r>
      <w:r>
        <w:rPr>
          <w:rFonts w:ascii="Times New Roman;Times;serif" w:hAnsi="Times New Roman;Times;serif"/>
          <w:sz w:val="24"/>
        </w:rPr>
        <w:t xml:space="preserve"> </w:t>
      </w:r>
      <w:r>
        <w:rPr>
          <w:rFonts w:ascii="Times New Roman;Times;serif" w:hAnsi="Times New Roman;Times;serif"/>
          <w:sz w:val="22"/>
        </w:rPr>
        <w:t>Recoupment may be determined to be impracticable if, and only if:</w:t>
      </w:r>
    </w:p>
    <w:p>
      <w:pPr>
        <w:pStyle w:val="TextBody"/>
        <w:bidi w:val="0"/>
        <w:spacing w:lineRule="auto" w:line="285" w:before="0" w:after="220"/>
        <w:ind w:left="720" w:right="0" w:hanging="0"/>
        <w:jc w:val="both"/>
        <w:rPr>
          <w:rFonts w:ascii="Times New Roman;Times;serif" w:hAnsi="Times New Roman;Times;serif"/>
          <w:sz w:val="22"/>
        </w:rPr>
      </w:pPr>
      <w:r>
        <w:rPr>
          <w:rFonts w:ascii="Times New Roman;Times;serif" w:hAnsi="Times New Roman;Times;serif"/>
          <w:sz w:val="22"/>
        </w:rPr>
        <w:t>(i)the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(ii)recoupment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(d)Sources of Recoupment.</w:t>
      </w:r>
      <w:r>
        <w:rPr>
          <w:rFonts w:ascii="Times New Roman;Times;serif" w:hAnsi="Times New Roman;Times;serif"/>
          <w:sz w:val="24"/>
        </w:rPr>
        <w:t xml:space="preserve">  </w:t>
      </w:r>
      <w:r>
        <w:rPr>
          <w:rFonts w:ascii="Times New Roman;Times;serif" w:hAnsi="Times New Roman;Times;serif"/>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Times;serif" w:hAnsi="Times New Roman;Times;serif"/>
          <w:i/>
          <w:sz w:val="22"/>
        </w:rPr>
        <w:t>e.g.</w:t>
      </w:r>
      <w:r>
        <w:rPr>
          <w:rFonts w:ascii="Times New Roman;Times;serif" w:hAnsi="Times New Roman;Times;serif"/>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(e)No Indemnification of Covered Officers.</w:t>
      </w:r>
      <w:r>
        <w:rPr>
          <w:rFonts w:ascii="Times New Roman;Times;serif" w:hAnsi="Times New Roman;Times;serif"/>
          <w:sz w:val="24"/>
        </w:rPr>
        <w:t xml:space="preserve"> </w:t>
      </w:r>
      <w:r>
        <w:rPr>
          <w:rFonts w:ascii="Times New Roman;Times;serif" w:hAnsi="Times New Roman;Times;serif"/>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b/>
          <w:sz w:val="22"/>
        </w:rPr>
        <w:t>(f)Indemnification of Administrator.</w:t>
      </w:r>
      <w:r>
        <w:rPr>
          <w:rFonts w:ascii="Times New Roman;Times;serif" w:hAnsi="Times New Roman;Times;serif"/>
          <w:sz w:val="24"/>
        </w:rPr>
        <w:t xml:space="preserve"> </w:t>
      </w:r>
      <w:r>
        <w:rPr>
          <w:rFonts w:ascii="Times New Roman;Times;serif" w:hAnsi="Times New Roman;Times;serif"/>
          <w:sz w:val="22"/>
        </w:rPr>
        <w:t xml:space="preserve">Any members of the Administrator, and any other members of the Board who assist in the administration of this Policy, shall not be personally liable for any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285911742 v11</w:t>
      </w:r>
    </w:p>
    <w:p>
      <w:pPr>
        <w:pStyle w:val="TextBody"/>
        <w:bidi w:val="0"/>
        <w:spacing w:lineRule="atLeast" w:line="200"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b/>
          <w:sz w:val="22"/>
        </w:rPr>
        <w:t>(g)No “Good Reason” for Covered Officers.</w:t>
      </w:r>
      <w:r>
        <w:rPr>
          <w:rFonts w:ascii="Times New Roman;Times;serif" w:hAnsi="Times New Roman;Times;serif"/>
          <w:sz w:val="24"/>
        </w:rPr>
        <w:t xml:space="preserve">  </w:t>
      </w:r>
      <w:r>
        <w:rPr>
          <w:rFonts w:ascii="Times New Roman;Times;serif" w:hAnsi="Times New Roman;Times;serif"/>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5.</w:t>
      </w:r>
      <w:r>
        <w:rPr>
          <w:rFonts w:ascii="Times New Roman Bold" w:hAnsi="Times New Roman Bold"/>
          <w:b/>
          <w:smallCaps/>
          <w:sz w:val="22"/>
        </w:rPr>
        <w:t>Administration</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6.</w:t>
      </w:r>
      <w:r>
        <w:rPr>
          <w:rFonts w:ascii="Times New Roman Bold" w:hAnsi="Times New Roman Bold"/>
          <w:b/>
          <w:smallCaps/>
          <w:sz w:val="22"/>
        </w:rPr>
        <w:t>Severability</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7.</w:t>
      </w:r>
      <w:r>
        <w:rPr>
          <w:rFonts w:ascii="Times New Roman Bold" w:hAnsi="Times New Roman Bold"/>
          <w:b/>
          <w:smallCaps/>
          <w:sz w:val="22"/>
        </w:rPr>
        <w:t>No Impairment of Other Remedies</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Times;serif" w:hAnsi="Times New Roman;Times;serif"/>
          <w:b/>
          <w:sz w:val="22"/>
        </w:rPr>
        <w:t>SOX 304</w:t>
      </w:r>
      <w:r>
        <w:rPr>
          <w:rFonts w:ascii="Times New Roman;Times;serif" w:hAnsi="Times New Roman;Times;serif"/>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8.</w:t>
      </w:r>
      <w:r>
        <w:rPr>
          <w:rFonts w:ascii="Times New Roman Bold" w:hAnsi="Times New Roman Bold"/>
          <w:b/>
          <w:smallCaps/>
          <w:sz w:val="22"/>
        </w:rPr>
        <w:t>Amendment; Termination</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285911742 v11</w:t>
      </w:r>
    </w:p>
    <w:p>
      <w:pPr>
        <w:pStyle w:val="TextBody"/>
        <w:bidi w:val="0"/>
        <w:spacing w:lineRule="atLeast" w:line="200"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lineRule="auto" w:line="285"/>
        <w:ind w:left="0" w:right="0" w:hanging="0"/>
        <w:jc w:val="both"/>
        <w:rPr>
          <w:rFonts w:ascii="Times New Roman;Times;serif" w:hAnsi="Times New Roman;Times;serif"/>
          <w:sz w:val="24"/>
        </w:rPr>
      </w:pPr>
      <w:r>
        <w:rPr>
          <w:rFonts w:ascii="Times New Roman Bold" w:hAnsi="Times New Roman Bold"/>
          <w:b/>
          <w:sz w:val="22"/>
        </w:rPr>
        <w:t>9.</w:t>
      </w:r>
      <w:r>
        <w:rPr>
          <w:rFonts w:ascii="Times New Roman Bold" w:hAnsi="Times New Roman Bold"/>
          <w:b/>
          <w:smallCaps/>
          <w:sz w:val="22"/>
        </w:rPr>
        <w:t>Successors</w:t>
      </w:r>
    </w:p>
    <w:p>
      <w:pPr>
        <w:pStyle w:val="TextBody"/>
        <w:bidi w:val="0"/>
        <w:spacing w:lineRule="auto" w:line="285" w:before="0" w:after="220"/>
        <w:ind w:left="0" w:right="0" w:firstLine="720"/>
        <w:jc w:val="both"/>
        <w:rPr>
          <w:rFonts w:ascii="Times New Roman;Times;serif" w:hAnsi="Times New Roman;Times;serif"/>
          <w:sz w:val="22"/>
        </w:rPr>
      </w:pPr>
      <w:r>
        <w:rPr>
          <w:rFonts w:ascii="Times New Roman;Times;serif" w:hAnsi="Times New Roman;Times;serif"/>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85" w:before="0" w:after="22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10.</w:t>
      </w:r>
      <w:r>
        <w:rPr>
          <w:rFonts w:ascii="Times New Roman Bold" w:hAnsi="Times New Roman Bold"/>
          <w:b/>
          <w:smallCaps/>
          <w:sz w:val="22"/>
        </w:rPr>
        <w:t>Required Filings</w:t>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The Company shall make any disclosures and filings with respect to this Policy that are required by law, including as required by the SEC.</w:t>
      </w:r>
    </w:p>
    <w:p>
      <w:pPr>
        <w:pStyle w:val="TextBody"/>
        <w:bidi w:val="0"/>
        <w:spacing w:lineRule="auto" w:line="285" w:before="0" w:after="2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w:t>
      </w:r>
      <w:r>
        <w:rPr>
          <w:rFonts w:ascii="Times New Roman;Times;serif" w:hAnsi="Times New Roman;Times;serif"/>
          <w:sz w:val="22"/>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285911742 v11</w:t>
      </w:r>
    </w:p>
    <w:p>
      <w:pPr>
        <w:pStyle w:val="TextBody"/>
        <w:bidi w:val="0"/>
        <w:spacing w:lineRule="atLeast" w:line="200"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20"/>
        <w:ind w:left="0" w:right="0" w:hanging="0"/>
        <w:jc w:val="center"/>
        <w:rPr>
          <w:rFonts w:ascii="Times New Roman Bold" w:hAnsi="Times New Roman Bold"/>
          <w:b/>
          <w:smallCaps/>
          <w:sz w:val="22"/>
        </w:rPr>
      </w:pPr>
      <w:r>
        <w:rPr>
          <w:rFonts w:ascii="Times New Roman Bold" w:hAnsi="Times New Roman Bold"/>
          <w:b/>
          <w:smallCaps/>
          <w:sz w:val="22"/>
        </w:rPr>
        <w:t>Rigetti Computing, Inc.</w:t>
      </w:r>
    </w:p>
    <w:p>
      <w:pPr>
        <w:pStyle w:val="TextBody"/>
        <w:bidi w:val="0"/>
        <w:spacing w:lineRule="auto" w:line="285" w:before="0" w:after="220"/>
        <w:ind w:left="0" w:right="0" w:hanging="0"/>
        <w:jc w:val="center"/>
        <w:rPr>
          <w:rFonts w:ascii="Times New Roman Bold" w:hAnsi="Times New Roman Bold"/>
          <w:b/>
          <w:smallCaps/>
          <w:sz w:val="22"/>
        </w:rPr>
      </w:pPr>
      <w:r>
        <w:rPr>
          <w:rFonts w:ascii="Times New Roman Bold" w:hAnsi="Times New Roman Bold"/>
          <w:b/>
          <w:smallCaps/>
          <w:sz w:val="22"/>
        </w:rPr>
        <w:t>Incentive Compensation Recoupment Policy</w:t>
      </w:r>
    </w:p>
    <w:p>
      <w:pPr>
        <w:pStyle w:val="TextBody"/>
        <w:bidi w:val="0"/>
        <w:spacing w:lineRule="auto" w:line="285" w:before="0" w:after="220"/>
        <w:ind w:left="0" w:right="0" w:hanging="0"/>
        <w:jc w:val="center"/>
        <w:rPr>
          <w:rFonts w:ascii="Times New Roman Bold" w:hAnsi="Times New Roman Bold"/>
          <w:b/>
          <w:smallCaps/>
          <w:sz w:val="22"/>
        </w:rPr>
      </w:pPr>
      <w:r>
        <w:rPr>
          <w:rFonts w:ascii="Times New Roman Bold" w:hAnsi="Times New Roman Bold"/>
          <w:b/>
          <w:smallCaps/>
          <w:sz w:val="22"/>
        </w:rPr>
        <w:t>Form of Executive Acknowledgment</w:t>
      </w:r>
    </w:p>
    <w:p>
      <w:pPr>
        <w:pStyle w:val="TextBody"/>
        <w:bidi w:val="0"/>
        <w:spacing w:lineRule="auto" w:line="285" w:before="0" w:after="0"/>
        <w:ind w:left="0" w:right="0" w:hanging="0"/>
        <w:jc w:val="both"/>
        <w:rPr/>
      </w:pPr>
      <w:r>
        <w:rPr/>
        <w:t>​</w:t>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I, the undersigned, agree and acknowledge that I am bound by, and subject to, the Rigetti Computing, Inc. Incentive Compensation Recoupment Policy, as may be amended, restated, supplemented or otherwise modified from time to time (the “</w:t>
      </w:r>
      <w:r>
        <w:rPr>
          <w:rFonts w:ascii="Times New Roman;Times;serif" w:hAnsi="Times New Roman;Times;serif"/>
          <w:b/>
          <w:i/>
          <w:sz w:val="22"/>
        </w:rPr>
        <w:t>Policy</w:t>
      </w:r>
      <w:r>
        <w:rPr>
          <w:rFonts w:ascii="Times New Roman;Times;serif" w:hAnsi="Times New Roman;Times;serif"/>
          <w:sz w:val="22"/>
        </w:rPr>
        <w:t>”). In the event of any inconsistency between the Policy and the terms of any employment agreement, offer letter or other individual agreement with Rigetti Computing, Inc. (the “</w:t>
      </w:r>
      <w:r>
        <w:rPr>
          <w:rFonts w:ascii="Times New Roman;Times;serif" w:hAnsi="Times New Roman;Times;serif"/>
          <w:b/>
          <w:i/>
          <w:sz w:val="22"/>
        </w:rPr>
        <w:t>Company</w:t>
      </w:r>
      <w:r>
        <w:rPr>
          <w:rFonts w:ascii="Times New Roman;Times;serif" w:hAnsi="Times New Roman;Times;serif"/>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lineRule="auto" w:line="285" w:before="0" w:after="0"/>
        <w:ind w:left="0" w:right="0" w:hanging="0"/>
        <w:jc w:val="both"/>
        <w:rPr/>
      </w:pPr>
      <w:r>
        <w:rPr/>
        <w:t>​</w:t>
      </w:r>
    </w:p>
    <w:p>
      <w:pPr>
        <w:pStyle w:val="TextBody"/>
        <w:bidi w:val="0"/>
        <w:spacing w:lineRule="auto" w:line="285" w:before="0" w:after="220"/>
        <w:ind w:left="0" w:right="0" w:hanging="0"/>
        <w:jc w:val="both"/>
        <w:rPr>
          <w:rFonts w:ascii="Times New Roman;Times;serif" w:hAnsi="Times New Roman;Times;serif"/>
          <w:b/>
          <w:sz w:val="22"/>
        </w:rPr>
      </w:pPr>
      <w:r>
        <w:rPr>
          <w:rFonts w:ascii="Times New Roman;Times;serif" w:hAnsi="Times New Roman;Times;serif"/>
          <w:b/>
          <w:sz w:val="22"/>
        </w:rPr>
        <w:t>Agreed and Acknowledged: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u w:val="single"/>
        </w:rPr>
        <w:t>​ ​</w:t>
      </w:r>
      <w:r>
        <w:rPr/>
        <w:t>​</w:t>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 xml:space="preserve">Name: </w:t>
      </w:r>
      <w:r>
        <w:rPr>
          <w:rFonts w:ascii="Times New Roman;Times;serif" w:hAnsi="Times New Roman;Times;serif"/>
          <w:sz w:val="22"/>
          <w:u w:val="single"/>
        </w:rPr>
        <w:t>​ ​</w:t>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 xml:space="preserve">Title: </w:t>
      </w:r>
      <w:r>
        <w:rPr>
          <w:rFonts w:ascii="Times New Roman;Times;serif" w:hAnsi="Times New Roman;Times;serif"/>
          <w:sz w:val="22"/>
          <w:u w:val="single"/>
        </w:rPr>
        <w:t>​ ​</w:t>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 xml:space="preserve">Date: </w:t>
      </w:r>
      <w:r>
        <w:rPr>
          <w:rFonts w:ascii="Times New Roman;Times;serif" w:hAnsi="Times New Roman;Times;serif"/>
          <w:sz w:val="22"/>
          <w:u w:val="single"/>
        </w:rPr>
        <w:t>​ ​</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285911742 v11</w:t>
      </w:r>
    </w:p>
    <w:p>
      <w:pPr>
        <w:pStyle w:val="TextBody"/>
        <w:bidi w:val="0"/>
        <w:spacing w:lineRule="atLeast" w:line="200"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Italic">
    <w:charset w:val="01"/>
    <w:family w:val="auto"/>
    <w:pitch w:val="default"/>
  </w:font>
  <w:font w:name="Times-Roman">
    <w:altName w:val="Times New Roman"/>
    <w:charset w:val="01"/>
    <w:family w:val="auto"/>
    <w:pitch w:val="default"/>
  </w:font>
  <w:font w:name="Liberation Serif">
    <w:altName w:val="Times New Roman"/>
    <w:charset w:val="01"/>
    <w:family w:val="auto"/>
    <w:pitch w:val="default"/>
  </w:font>
  <w:font w:name="Times-Bold">
    <w:charset w:val="01"/>
    <w:family w:val="auto"/>
    <w:pitch w:val="default"/>
  </w:font>
  <w:font w:name="Times New Roman Bold">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38359/000119312521292696/d228756dex21.htm" TargetMode="External"/><Relationship Id="rId6" Type="http://schemas.openxmlformats.org/officeDocument/2006/relationships/hyperlink" Target="https://www.sec.gov/Archives/edgar/data/1838359/000119312521366325/d260312dex21.htm" TargetMode="External"/><Relationship Id="rId7" Type="http://schemas.openxmlformats.org/officeDocument/2006/relationships/hyperlink" Target="https://www.sec.gov/Archives/edgar/data/1838359/000119312522005796/d254318dex21.htm" TargetMode="External"/><Relationship Id="rId8" Type="http://schemas.openxmlformats.org/officeDocument/2006/relationships/hyperlink" Target="https://www.sec.gov/Archives/edgar/data/1838359/000119312522067932/d506107dex31.htm" TargetMode="External"/><Relationship Id="rId9" Type="http://schemas.openxmlformats.org/officeDocument/2006/relationships/hyperlink" Target="https://www.sec.gov/Archives/edgar/data/1838359/000119312522284708/d418381dex31.htm" TargetMode="External"/><Relationship Id="rId10" Type="http://schemas.openxmlformats.org/officeDocument/2006/relationships/hyperlink" Target="https://www.sec.gov/Archives/edgar/data/1838359/000119312522067932/d506107dex41.htm" TargetMode="External"/><Relationship Id="rId11" Type="http://schemas.openxmlformats.org/officeDocument/2006/relationships/hyperlink" Target="https://www.sec.gov/Archives/edgar/data/1838359/000119312522067932/d506107dex42.htm" TargetMode="External"/><Relationship Id="rId12" Type="http://schemas.openxmlformats.org/officeDocument/2006/relationships/hyperlink" Target="https://www.sec.gov/Archives/edgar/data/1838359/000119312521069319/d107027dex41.htm" TargetMode="External"/><Relationship Id="rId13" Type="http://schemas.openxmlformats.org/officeDocument/2006/relationships/hyperlink" Target="https://www.sec.gov/Archives/edgar/data/1838359/000119312523080486/d426335dex44.htm" TargetMode="External"/><Relationship Id="rId14" Type="http://schemas.openxmlformats.org/officeDocument/2006/relationships/hyperlink" Target="https://www.sec.gov/Archives/edgar/data/1838359/000119312522067932/d506107dex101.htm" TargetMode="External"/><Relationship Id="rId15" Type="http://schemas.openxmlformats.org/officeDocument/2006/relationships/hyperlink" Target="https://www.sec.gov/Archives/edgar/data/1838359/000119312521292696/d228756dex102.htm" TargetMode="External"/><Relationship Id="rId16" Type="http://schemas.openxmlformats.org/officeDocument/2006/relationships/hyperlink" Target="https://www.sec.gov/Archives/edgar/data/1838359/000119312521292696/d228756dex103.htm" TargetMode="External"/><Relationship Id="rId17" Type="http://schemas.openxmlformats.org/officeDocument/2006/relationships/hyperlink" Target="https://www.sec.gov/Archives/edgar/data/1838359/000119312521292696/d228756dex104.htm" TargetMode="External"/><Relationship Id="rId18" Type="http://schemas.openxmlformats.org/officeDocument/2006/relationships/hyperlink" Target="https://www.sec.gov/Archives/edgar/data/1838359/000119312521069319/d107027dex101.htm" TargetMode="External"/><Relationship Id="rId19" Type="http://schemas.openxmlformats.org/officeDocument/2006/relationships/hyperlink" Target="https://www.sec.gov/Archives/edgar/data/1838359/000119312521362173/d248645dex1014.htm" TargetMode="External"/><Relationship Id="rId20" Type="http://schemas.openxmlformats.org/officeDocument/2006/relationships/hyperlink" Target="https://www.sec.gov/Archives/edgar/data/1838359/000119312521362173/d248645dex1015.htm" TargetMode="External"/><Relationship Id="rId21" Type="http://schemas.openxmlformats.org/officeDocument/2006/relationships/hyperlink" Target="https://www.sec.gov/Archives/edgar/data/1838359/000119312521362173/d248645dex1016.htm" TargetMode="External"/><Relationship Id="rId22" Type="http://schemas.openxmlformats.org/officeDocument/2006/relationships/hyperlink" Target="https://www.sec.gov/Archives/edgar/data/1838359/000119312522021446/d248645dex1017.htm" TargetMode="External"/><Relationship Id="rId23" Type="http://schemas.openxmlformats.org/officeDocument/2006/relationships/hyperlink" Target="https://www.sec.gov/Archives/edgar/data/1838359/000119312522021446/d248645dex1026.htm" TargetMode="External"/><Relationship Id="rId24" Type="http://schemas.openxmlformats.org/officeDocument/2006/relationships/hyperlink" Target="https://www.sec.gov/Archives/edgar/data/1838359/000119312521362173/d248645dex1019.htm" TargetMode="External"/><Relationship Id="rId25" Type="http://schemas.openxmlformats.org/officeDocument/2006/relationships/hyperlink" Target="https://www.sec.gov/Archives/edgar/data/1838359/000119312521362173/d248645dex1017.htm" TargetMode="External"/><Relationship Id="rId26" Type="http://schemas.openxmlformats.org/officeDocument/2006/relationships/hyperlink" Target="https://www.sec.gov/Archives/edgar/data/1838359/000119312522151893/d336452dex1021.htm" TargetMode="External"/><Relationship Id="rId27" Type="http://schemas.openxmlformats.org/officeDocument/2006/relationships/hyperlink" Target="https://www.sec.gov/Archives/edgar/data/1838359/000119312522008927/d248645dex1020.htm" TargetMode="External"/><Relationship Id="rId28" Type="http://schemas.openxmlformats.org/officeDocument/2006/relationships/hyperlink" Target="https://www.sec.gov/Archives/edgar/data/1838359/000119312522008927/d248645dex1021.htm" TargetMode="External"/><Relationship Id="rId29" Type="http://schemas.openxmlformats.org/officeDocument/2006/relationships/hyperlink" Target="https://www.sec.gov/Archives/edgar/data/1838359/000119312522067932/d506107dex1016.htm" TargetMode="External"/><Relationship Id="rId30" Type="http://schemas.openxmlformats.org/officeDocument/2006/relationships/hyperlink" Target="https://www.sec.gov/Archives/edgar/data/1838359/000119312522067932/d506107dex1017.htm" TargetMode="External"/><Relationship Id="rId31" Type="http://schemas.openxmlformats.org/officeDocument/2006/relationships/hyperlink" Target="https://www.sec.gov/Archives/edgar/data/1838359/000119312522067932/d506107dex1018.htm" TargetMode="External"/><Relationship Id="rId32" Type="http://schemas.openxmlformats.org/officeDocument/2006/relationships/hyperlink" Target="https://www.sec.gov/Archives/edgar/data/1838359/000119312522067932/d506107dex1019.htm" TargetMode="External"/><Relationship Id="rId33" Type="http://schemas.openxmlformats.org/officeDocument/2006/relationships/hyperlink" Target="https://www.sec.gov/Archives/edgar/data/1838359/000119312522067932/d506107dex1020.htm" TargetMode="External"/><Relationship Id="rId34" Type="http://schemas.openxmlformats.org/officeDocument/2006/relationships/hyperlink" Target="https://www.sec.gov/Archives/edgar/data/1838359/000119312522067932/d506107dex1021.htm" TargetMode="External"/><Relationship Id="rId35" Type="http://schemas.openxmlformats.org/officeDocument/2006/relationships/hyperlink" Target="https://www.sec.gov/Archives/edgar/data/1838359/000119312522218918/d363252dex102.htm" TargetMode="External"/><Relationship Id="rId36" Type="http://schemas.openxmlformats.org/officeDocument/2006/relationships/hyperlink" Target="https://www.sec.gov/Archives/edgar/data/1838359/000119312521362173/d248645dex1012.htm" TargetMode="External"/><Relationship Id="rId37" Type="http://schemas.openxmlformats.org/officeDocument/2006/relationships/hyperlink" Target="https://www.sec.gov/Archives/edgar/data/1838359/000119312521362173/d248645dex1013.htm" TargetMode="External"/><Relationship Id="rId38" Type="http://schemas.openxmlformats.org/officeDocument/2006/relationships/hyperlink" Target="https://www.sec.gov/Archives/edgar/data/1838359/000119312522030892/d248645dex1029.htm" TargetMode="External"/><Relationship Id="rId39" Type="http://schemas.openxmlformats.org/officeDocument/2006/relationships/hyperlink" Target="https://www.sec.gov/Archives/edgar/data/1838359/000119312522188287/d359677dex992.htm" TargetMode="External"/><Relationship Id="rId40" Type="http://schemas.openxmlformats.org/officeDocument/2006/relationships/hyperlink" Target="https://www.sec.gov/Archives/edgar/data/1838359/000119312522188287/d359677dex993.htm" TargetMode="External"/><Relationship Id="rId41" Type="http://schemas.openxmlformats.org/officeDocument/2006/relationships/hyperlink" Target="https://www.sec.gov/Archives/edgar/data/1838359/000119312522218918/d363252dex105.htm" TargetMode="External"/><Relationship Id="rId42" Type="http://schemas.openxmlformats.org/officeDocument/2006/relationships/hyperlink" Target="https://www.sec.gov/Archives/edgar/data/1838359/000119312522218918/d363252dex106.htm" TargetMode="External"/><Relationship Id="rId43" Type="http://schemas.openxmlformats.org/officeDocument/2006/relationships/hyperlink" Target="https://www.sec.gov/Archives/edgar/data/1838359/000119312522297563/d388782dex101.htm" TargetMode="External"/><Relationship Id="rId44" Type="http://schemas.openxmlformats.org/officeDocument/2006/relationships/hyperlink" Target="https://www.sec.gov/Archives/edgar/data/1838359/000119312522300553/d431423dex101.htm" TargetMode="External"/><Relationship Id="rId45" Type="http://schemas.openxmlformats.org/officeDocument/2006/relationships/hyperlink" Target="https://www.sec.gov/Archives/edgar/data/1838359/000119312523031410/d406416dex101.htm" TargetMode="External"/><Relationship Id="rId46" Type="http://schemas.openxmlformats.org/officeDocument/2006/relationships/hyperlink" Target="https://www.sec.gov/Archives/edgar/data/1838359/000119312523040758/d440145dex101.htm" TargetMode="External"/><Relationship Id="rId47" Type="http://schemas.openxmlformats.org/officeDocument/2006/relationships/hyperlink" Target="https://www.sec.gov/Archives/edgar/data/1838359/000119312523092229/d492586dex1030.htm" TargetMode="External"/><Relationship Id="rId48" Type="http://schemas.openxmlformats.org/officeDocument/2006/relationships/hyperlink" Target="https://www.sec.gov/Archives/edgar/data/1838359/000119312523142055/d493342dex104.htm" TargetMode="External"/><Relationship Id="rId49" Type="http://schemas.openxmlformats.org/officeDocument/2006/relationships/hyperlink" Target="https://www.sec.gov/Archives/edgar/data/1838359/000119312523142055/d493342dex105.htm" TargetMode="External"/><Relationship Id="rId50" Type="http://schemas.openxmlformats.org/officeDocument/2006/relationships/hyperlink" Target="https://www.sec.gov/Archives/edgar/data/1838359/000119312522067932/d506107dex211.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88072</Words>
  <Characters>495765</Characters>
  <CharactersWithSpaces>584133</CharactersWithSpaces>
  <Paragraphs>7549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