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133350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137795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6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quarterly period ended March 31, 2024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7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PURSUANT TO SECTION 13 OR 15(D) OF THE SECURITIES EXCHANGE ACT</w:t>
      </w:r>
    </w:p>
    <w:p>
      <w:pPr>
        <w:spacing w:after="0" w:line="99" w:lineRule="exact"/>
        <w:rPr>
          <w:sz w:val="24"/>
          <w:szCs w:val="24"/>
          <w:color w:val="auto"/>
        </w:rPr>
      </w:pPr>
    </w:p>
    <w:p>
      <w:pPr>
        <w:ind w:left="3720"/>
        <w:spacing w:after="0"/>
        <w:tabs>
          <w:tab w:leader="none" w:pos="574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3476625</wp:posOffset>
            </wp:positionH>
            <wp:positionV relativeFrom="paragraph">
              <wp:posOffset>-1270</wp:posOffset>
            </wp:positionV>
            <wp:extent cx="459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105" cy="8890"/>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 (001-40140)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126365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color w:val="auto"/>
        </w:rPr>
        <w:t>RIGETTI COMPUTING,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116205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jc w:val="center"/>
              <w:ind w:left="1721"/>
              <w:spacing w:after="0"/>
              <w:rPr>
                <w:sz w:val="20"/>
                <w:szCs w:val="20"/>
                <w:color w:val="auto"/>
              </w:rPr>
            </w:pPr>
            <w:r>
              <w:rPr>
                <w:rFonts w:ascii="Times New Roman" w:cs="Times New Roman" w:eastAsia="Times New Roman" w:hAnsi="Times New Roman"/>
                <w:sz w:val="13"/>
                <w:szCs w:val="13"/>
                <w:color w:val="auto"/>
                <w:w w:val="96"/>
              </w:rPr>
              <w:t>Delaware</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jc w:val="right"/>
              <w:ind w:right="2122"/>
              <w:spacing w:after="0"/>
              <w:rPr>
                <w:sz w:val="20"/>
                <w:szCs w:val="20"/>
                <w:color w:val="auto"/>
              </w:rPr>
            </w:pPr>
            <w:r>
              <w:rPr>
                <w:rFonts w:ascii="Times New Roman" w:cs="Times New Roman" w:eastAsia="Times New Roman" w:hAnsi="Times New Roman"/>
                <w:sz w:val="13"/>
                <w:szCs w:val="13"/>
                <w:color w:val="auto"/>
              </w:rPr>
              <w:t>88-0950636</w:t>
            </w:r>
          </w:p>
        </w:tc>
      </w:tr>
      <w:tr>
        <w:trPr>
          <w:trHeight w:val="122"/>
        </w:trPr>
        <w:tc>
          <w:tcPr>
            <w:tcW w:w="3180" w:type="dxa"/>
            <w:vAlign w:val="bottom"/>
          </w:tcPr>
          <w:p>
            <w:pPr>
              <w:jc w:val="center"/>
              <w:ind w:left="1741"/>
              <w:spacing w:after="0" w:line="122" w:lineRule="exact"/>
              <w:rPr>
                <w:sz w:val="20"/>
                <w:szCs w:val="20"/>
                <w:color w:val="auto"/>
              </w:rPr>
            </w:pPr>
            <w:r>
              <w:rPr>
                <w:rFonts w:ascii="Times New Roman" w:cs="Times New Roman" w:eastAsia="Times New Roman" w:hAnsi="Times New Roman"/>
                <w:sz w:val="11"/>
                <w:szCs w:val="11"/>
                <w:color w:val="auto"/>
                <w:w w:val="98"/>
              </w:rPr>
              <w:t>(State or other jurisdiction of</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60" w:type="dxa"/>
            <w:vAlign w:val="bottom"/>
          </w:tcPr>
          <w:p>
            <w:pPr>
              <w:jc w:val="center"/>
              <w:ind w:right="1722"/>
              <w:spacing w:after="0" w:line="122"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3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jc w:val="center"/>
              <w:ind w:right="1742"/>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247"/>
        </w:trPr>
        <w:tc>
          <w:tcPr>
            <w:tcW w:w="3180" w:type="dxa"/>
            <w:vAlign w:val="bottom"/>
          </w:tcPr>
          <w:p>
            <w:pPr>
              <w:jc w:val="center"/>
              <w:ind w:left="1741"/>
              <w:spacing w:after="0"/>
              <w:rPr>
                <w:sz w:val="20"/>
                <w:szCs w:val="20"/>
                <w:color w:val="auto"/>
              </w:rPr>
            </w:pPr>
            <w:r>
              <w:rPr>
                <w:rFonts w:ascii="Times New Roman" w:cs="Times New Roman" w:eastAsia="Times New Roman" w:hAnsi="Times New Roman"/>
                <w:sz w:val="13"/>
                <w:szCs w:val="13"/>
                <w:color w:val="auto"/>
                <w:w w:val="96"/>
              </w:rPr>
              <w:t>775 Heinz Avenue</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139"/>
        </w:trPr>
        <w:tc>
          <w:tcPr>
            <w:tcW w:w="3180" w:type="dxa"/>
            <w:vAlign w:val="bottom"/>
          </w:tcPr>
          <w:p>
            <w:pPr>
              <w:jc w:val="center"/>
              <w:ind w:left="1721"/>
              <w:spacing w:after="0" w:line="139" w:lineRule="exact"/>
              <w:rPr>
                <w:sz w:val="20"/>
                <w:szCs w:val="20"/>
                <w:color w:val="auto"/>
              </w:rPr>
            </w:pPr>
            <w:r>
              <w:rPr>
                <w:rFonts w:ascii="Times New Roman" w:cs="Times New Roman" w:eastAsia="Times New Roman" w:hAnsi="Times New Roman"/>
                <w:sz w:val="13"/>
                <w:szCs w:val="13"/>
                <w:color w:val="auto"/>
                <w:w w:val="97"/>
              </w:rPr>
              <w:t>Berkeley California</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jc w:val="right"/>
              <w:ind w:right="2262"/>
              <w:spacing w:after="0" w:line="139" w:lineRule="exact"/>
              <w:rPr>
                <w:sz w:val="20"/>
                <w:szCs w:val="20"/>
                <w:color w:val="auto"/>
              </w:rPr>
            </w:pPr>
            <w:r>
              <w:rPr>
                <w:rFonts w:ascii="Times New Roman" w:cs="Times New Roman" w:eastAsia="Times New Roman" w:hAnsi="Times New Roman"/>
                <w:sz w:val="13"/>
                <w:szCs w:val="13"/>
                <w:color w:val="auto"/>
              </w:rPr>
              <w:t>94710</w:t>
            </w:r>
          </w:p>
        </w:tc>
      </w:tr>
      <w:tr>
        <w:trPr>
          <w:trHeight w:val="140"/>
        </w:trPr>
        <w:tc>
          <w:tcPr>
            <w:tcW w:w="6760" w:type="dxa"/>
            <w:vAlign w:val="bottom"/>
            <w:gridSpan w:val="6"/>
          </w:tcPr>
          <w:p>
            <w:pPr>
              <w:jc w:val="center"/>
              <w:ind w:right="1780"/>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3160" w:type="dxa"/>
            <w:vAlign w:val="bottom"/>
          </w:tcPr>
          <w:p>
            <w:pPr>
              <w:jc w:val="center"/>
              <w:ind w:right="1742"/>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224"/>
        </w:trPr>
        <w:tc>
          <w:tcPr>
            <w:tcW w:w="3180" w:type="dxa"/>
            <w:vAlign w:val="bottom"/>
          </w:tcPr>
          <w:p>
            <w:pPr>
              <w:spacing w:after="0"/>
              <w:rPr>
                <w:sz w:val="19"/>
                <w:szCs w:val="19"/>
                <w:color w:val="auto"/>
              </w:rPr>
            </w:pPr>
          </w:p>
        </w:tc>
        <w:tc>
          <w:tcPr>
            <w:tcW w:w="302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color w:val="auto"/>
              </w:rPr>
              <w:t>(510) 210-5550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140"/>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gridSpan w:val="3"/>
          </w:tcPr>
          <w:p>
            <w:pPr>
              <w:jc w:val="center"/>
              <w:ind w:right="560"/>
              <w:spacing w:after="0"/>
              <w:rPr>
                <w:sz w:val="20"/>
                <w:szCs w:val="20"/>
                <w:color w:val="auto"/>
              </w:rPr>
            </w:pPr>
            <w:r>
              <w:rPr>
                <w:rFonts w:ascii="Times New Roman" w:cs="Times New Roman" w:eastAsia="Times New Roman" w:hAnsi="Times New Roman"/>
                <w:sz w:val="11"/>
                <w:szCs w:val="11"/>
                <w:color w:val="auto"/>
                <w:w w:val="97"/>
              </w:rPr>
              <w:t>(Registrant’s telephone number, including area code)</w:t>
            </w:r>
          </w:p>
        </w:tc>
        <w:tc>
          <w:tcPr>
            <w:tcW w:w="3160" w:type="dxa"/>
            <w:vAlign w:val="bottom"/>
          </w:tcPr>
          <w:p>
            <w:pPr>
              <w:spacing w:after="0"/>
              <w:rPr>
                <w:sz w:val="12"/>
                <w:szCs w:val="12"/>
                <w:color w:val="auto"/>
              </w:rPr>
            </w:pPr>
          </w:p>
        </w:tc>
      </w:tr>
      <w:tr>
        <w:trPr>
          <w:trHeight w:val="184"/>
        </w:trPr>
        <w:tc>
          <w:tcPr>
            <w:tcW w:w="3180" w:type="dxa"/>
            <w:vAlign w:val="bottom"/>
          </w:tcPr>
          <w:p>
            <w:pPr>
              <w:spacing w:after="0"/>
              <w:rPr>
                <w:sz w:val="16"/>
                <w:szCs w:val="16"/>
                <w:color w:val="auto"/>
              </w:rPr>
            </w:pPr>
          </w:p>
        </w:tc>
        <w:tc>
          <w:tcPr>
            <w:tcW w:w="540" w:type="dxa"/>
            <w:vAlign w:val="bottom"/>
            <w:gridSpan w:val="2"/>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560" w:type="dxa"/>
            <w:vAlign w:val="bottom"/>
            <w:gridSpan w:val="2"/>
          </w:tcPr>
          <w:p>
            <w:pPr>
              <w:spacing w:after="0"/>
              <w:rPr>
                <w:sz w:val="16"/>
                <w:szCs w:val="16"/>
                <w:color w:val="auto"/>
              </w:rPr>
            </w:pPr>
          </w:p>
        </w:tc>
        <w:tc>
          <w:tcPr>
            <w:tcW w:w="3160" w:type="dxa"/>
            <w:vAlign w:val="bottom"/>
          </w:tcPr>
          <w:p>
            <w:pPr>
              <w:spacing w:after="0"/>
              <w:rPr>
                <w:sz w:val="16"/>
                <w:szCs w:val="16"/>
                <w:color w:val="auto"/>
              </w:rPr>
            </w:pPr>
          </w:p>
        </w:tc>
      </w:tr>
      <w:tr>
        <w:trPr>
          <w:trHeight w:val="335"/>
        </w:trPr>
        <w:tc>
          <w:tcPr>
            <w:tcW w:w="3180" w:type="dxa"/>
            <w:vAlign w:val="bottom"/>
          </w:tcPr>
          <w:p>
            <w:pPr>
              <w:spacing w:after="0"/>
              <w:rPr>
                <w:sz w:val="24"/>
                <w:szCs w:val="24"/>
                <w:color w:val="auto"/>
              </w:rPr>
            </w:pPr>
          </w:p>
        </w:tc>
        <w:tc>
          <w:tcPr>
            <w:tcW w:w="35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160" w:type="dxa"/>
            <w:vAlign w:val="bottom"/>
          </w:tcPr>
          <w:p>
            <w:pPr>
              <w:spacing w:after="0"/>
              <w:rPr>
                <w:sz w:val="24"/>
                <w:szCs w:val="24"/>
                <w:color w:val="auto"/>
              </w:rPr>
            </w:pPr>
          </w:p>
        </w:tc>
      </w:tr>
      <w:tr>
        <w:trPr>
          <w:trHeight w:val="199"/>
        </w:trPr>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3"/>
          </w:tcPr>
          <w:p>
            <w:pPr>
              <w:jc w:val="center"/>
              <w:ind w:right="540"/>
              <w:spacing w:after="0"/>
              <w:rPr>
                <w:sz w:val="20"/>
                <w:szCs w:val="20"/>
                <w:color w:val="auto"/>
              </w:rPr>
            </w:pPr>
            <w:r>
              <w:rPr>
                <w:rFonts w:ascii="Times New Roman" w:cs="Times New Roman" w:eastAsia="Times New Roman" w:hAnsi="Times New Roman"/>
                <w:sz w:val="11"/>
                <w:szCs w:val="11"/>
                <w:color w:val="auto"/>
                <w:w w:val="97"/>
              </w:rPr>
              <w:t>Trading</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Name of each exchange</w:t>
            </w:r>
          </w:p>
        </w:tc>
      </w:tr>
      <w:tr>
        <w:trPr>
          <w:trHeight w:val="135"/>
        </w:trPr>
        <w:tc>
          <w:tcPr>
            <w:tcW w:w="318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11"/>
                <w:szCs w:val="11"/>
                <w:color w:val="auto"/>
              </w:rPr>
              <w:t>Title of each class</w:t>
            </w: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Symbol(s)</w:t>
            </w:r>
          </w:p>
        </w:tc>
        <w:tc>
          <w:tcPr>
            <w:tcW w:w="200" w:type="dxa"/>
            <w:vAlign w:val="bottom"/>
          </w:tcPr>
          <w:p>
            <w:pPr>
              <w:spacing w:after="0"/>
              <w:rPr>
                <w:sz w:val="11"/>
                <w:szCs w:val="11"/>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on which registered</w:t>
            </w:r>
          </w:p>
        </w:tc>
      </w:tr>
      <w:tr>
        <w:trPr>
          <w:trHeight w:val="232"/>
        </w:trPr>
        <w:tc>
          <w:tcPr>
            <w:tcW w:w="3180" w:type="dxa"/>
            <w:vAlign w:val="bottom"/>
          </w:tcPr>
          <w:p>
            <w:pPr>
              <w:jc w:val="right"/>
              <w:ind w:right="401"/>
              <w:spacing w:after="0"/>
              <w:rPr>
                <w:sz w:val="20"/>
                <w:szCs w:val="20"/>
                <w:color w:val="auto"/>
              </w:rPr>
            </w:pPr>
            <w:r>
              <w:rPr>
                <w:rFonts w:ascii="Times New Roman" w:cs="Times New Roman" w:eastAsia="Times New Roman" w:hAnsi="Times New Roman"/>
                <w:sz w:val="13"/>
                <w:szCs w:val="13"/>
                <w:color w:val="auto"/>
              </w:rPr>
              <w:t>Common Stock, $0.0001 par value per share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color w:val="auto"/>
                <w:w w:val="98"/>
              </w:rPr>
              <w:t>RGTI</w:t>
            </w: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Capital Market</w:t>
            </w:r>
          </w:p>
        </w:tc>
      </w:tr>
      <w:tr>
        <w:trPr>
          <w:trHeight w:val="149"/>
        </w:trPr>
        <w:tc>
          <w:tcPr>
            <w:tcW w:w="3180" w:type="dxa"/>
            <w:vAlign w:val="bottom"/>
          </w:tcPr>
          <w:p>
            <w:pPr>
              <w:jc w:val="right"/>
              <w:ind w:right="401"/>
              <w:spacing w:after="0"/>
              <w:rPr>
                <w:sz w:val="20"/>
                <w:szCs w:val="20"/>
                <w:color w:val="auto"/>
              </w:rPr>
            </w:pPr>
            <w:r>
              <w:rPr>
                <w:rFonts w:ascii="Times New Roman" w:cs="Times New Roman" w:eastAsia="Times New Roman" w:hAnsi="Times New Roman"/>
                <w:sz w:val="13"/>
                <w:szCs w:val="13"/>
                <w:color w:val="auto"/>
              </w:rPr>
              <w:t>Warrants, each whole warrant exercisable for</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color w:val="auto"/>
                <w:w w:val="98"/>
              </w:rPr>
              <w:t>RGTIW</w:t>
            </w: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Capital Market</w:t>
            </w:r>
          </w:p>
        </w:tc>
      </w:tr>
    </w:tbl>
    <w:p>
      <w:pPr>
        <w:jc w:val="center"/>
        <w:ind w:right="6760"/>
        <w:spacing w:after="0" w:line="216" w:lineRule="auto"/>
        <w:rPr>
          <w:sz w:val="20"/>
          <w:szCs w:val="20"/>
          <w:color w:val="auto"/>
        </w:rPr>
      </w:pPr>
      <w:r>
        <w:rPr>
          <w:rFonts w:ascii="Times New Roman" w:cs="Times New Roman" w:eastAsia="Times New Roman" w:hAnsi="Times New Roman"/>
          <w:sz w:val="13"/>
          <w:szCs w:val="13"/>
          <w:color w:val="auto"/>
        </w:rPr>
        <w:t>one share of Common Stock at an exercise price</w:t>
      </w:r>
    </w:p>
    <w:p>
      <w:pPr>
        <w:jc w:val="center"/>
        <w:ind w:right="6720"/>
        <w:spacing w:after="0"/>
        <w:rPr>
          <w:sz w:val="20"/>
          <w:szCs w:val="20"/>
          <w:color w:val="auto"/>
        </w:rPr>
      </w:pPr>
      <w:r>
        <w:rPr>
          <w:rFonts w:ascii="Times New Roman" w:cs="Times New Roman" w:eastAsia="Times New Roman" w:hAnsi="Times New Roman"/>
          <w:sz w:val="13"/>
          <w:szCs w:val="13"/>
          <w:color w:val="auto"/>
        </w:rPr>
        <w:t>of $11.50 per share</w:t>
      </w:r>
    </w:p>
    <w:p>
      <w:pPr>
        <w:spacing w:after="0" w:line="116" w:lineRule="exact"/>
        <w:rPr>
          <w:sz w:val="24"/>
          <w:szCs w:val="24"/>
          <w:color w:val="auto"/>
        </w:rPr>
      </w:pPr>
    </w:p>
    <w:p>
      <w:pPr>
        <w:ind w:right="4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85" w:lineRule="exact"/>
        <w:rPr>
          <w:sz w:val="24"/>
          <w:szCs w:val="24"/>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47" w:lineRule="exact"/>
        <w:rPr>
          <w:sz w:val="24"/>
          <w:szCs w:val="24"/>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6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56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Emerging Growth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6"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282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As of May 6, 2024, there were 171,919,296 shares of the registrant’s Common Stock, no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530225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8420" w:type="dxa"/>
            <w:vAlign w:val="bottom"/>
            <w:gridSpan w:val="24"/>
            <w:vMerge w:val="continue"/>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40" w:type="dxa"/>
            <w:vAlign w:val="bottom"/>
            <w:gridSpan w:val="14"/>
          </w:tcPr>
          <w:p>
            <w:pPr>
              <w:jc w:val="center"/>
              <w:ind w:right="2600"/>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6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and December 31, 2023</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2024 and</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for the Three Months ended March 31,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2024 and 2023</w:t>
            </w:r>
          </w:p>
        </w:tc>
        <w:tc>
          <w:tcPr>
            <w:tcW w:w="6140" w:type="dxa"/>
            <w:vAlign w:val="bottom"/>
            <w:tcBorders>
              <w:top w:val="single" w:sz="8" w:color="0000EE"/>
            </w:tcBorders>
            <w:gridSpan w:val="14"/>
          </w:tcPr>
          <w:p>
            <w:pPr>
              <w:spacing w:after="0"/>
              <w:rPr>
                <w:sz w:val="17"/>
                <w:szCs w:val="17"/>
                <w:color w:val="auto"/>
              </w:rPr>
            </w:pPr>
          </w:p>
        </w:tc>
        <w:tc>
          <w:tcPr>
            <w:tcW w:w="40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62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274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6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6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670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Use of Proceeds and Issuer Purchases of Equity Securities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4800" w:type="dxa"/>
            <w:vAlign w:val="bottom"/>
            <w:gridSpan w:val="9"/>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3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8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30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gridSpan w:val="1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ind w:left="60" w:right="79"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“Rigetti”, the “Company”, “we”, “us”, and “our” refer to Rigetti Computing, Inc. and its consolidated subsidiaries.</w:t>
      </w:r>
    </w:p>
    <w:p>
      <w:pPr>
        <w:spacing w:after="0" w:line="160" w:lineRule="exact"/>
        <w:rPr>
          <w:sz w:val="20"/>
          <w:szCs w:val="20"/>
          <w:color w:val="auto"/>
        </w:rPr>
      </w:pPr>
    </w:p>
    <w:p>
      <w:pPr>
        <w:jc w:val="both"/>
        <w:ind w:left="60" w:right="59"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“goal,” “seek,” “target,” “should,” “could,” “will,” “would” or the negative of such terms or other similar expressions.</w:t>
      </w:r>
    </w:p>
    <w:p>
      <w:pPr>
        <w:spacing w:after="0" w:line="194"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 looking statements, all of which are expressly qualified by the statements in this section, to reflect events or circumstances after the date of this Quarterly Report on Form 10-Q.</w:t>
      </w:r>
    </w:p>
    <w:p>
      <w:pPr>
        <w:spacing w:after="0" w:line="187"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We caution you that these forward-looking statements are subject to numerous risks and uncertainties, most of which are difficult to predict and many of which are beyond our control. Forward-looking statements in this Quarterly Report on Form 10-Q may include, for example, statements about:</w:t>
      </w:r>
    </w:p>
    <w:p>
      <w:pPr>
        <w:spacing w:after="0" w:line="176" w:lineRule="exact"/>
        <w:rPr>
          <w:sz w:val="20"/>
          <w:szCs w:val="20"/>
          <w:color w:val="auto"/>
        </w:rPr>
      </w:pPr>
    </w:p>
    <w:p>
      <w:pPr>
        <w:ind w:left="880" w:right="79" w:hanging="317"/>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resources, our expectations with respect to when we will need to obtain additional capital, and our ability to raise additional capital when needed and on attractive terms,</w:t>
      </w:r>
    </w:p>
    <w:p>
      <w:pPr>
        <w:spacing w:after="0" w:line="161" w:lineRule="exact"/>
        <w:rPr>
          <w:rFonts w:ascii="Times New Roman" w:cs="Times New Roman" w:eastAsia="Times New Roman" w:hAnsi="Times New Roman"/>
          <w:sz w:val="18"/>
          <w:szCs w:val="18"/>
          <w:color w:val="auto"/>
        </w:rPr>
      </w:pPr>
    </w:p>
    <w:p>
      <w:pPr>
        <w:ind w:left="880" w:right="79" w:hanging="317"/>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and/or technological advancements, including with respect to executing on our technology roadmap and developing practical applications,</w:t>
      </w:r>
    </w:p>
    <w:p>
      <w:pPr>
        <w:spacing w:after="0" w:line="161"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quantum computing and estimated market size and market growth including with respect to our long-term business strategies for sales of quantum computers and quantum computing as a service (“Quantum Computing as a Service,” or “QCaaS”),</w:t>
      </w:r>
    </w:p>
    <w:p>
      <w:pPr>
        <w:spacing w:after="0" w:line="17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partnerships and collaborations,</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accelerate our development of multiple generations of quantum processors,</w:t>
      </w:r>
    </w:p>
    <w:p>
      <w:pPr>
        <w:spacing w:after="0" w:line="225" w:lineRule="exact"/>
        <w:rPr>
          <w:rFonts w:ascii="Times New Roman" w:cs="Times New Roman" w:eastAsia="Times New Roman" w:hAnsi="Times New Roman"/>
          <w:sz w:val="18"/>
          <w:szCs w:val="18"/>
          <w:color w:val="auto"/>
        </w:rPr>
      </w:pPr>
    </w:p>
    <w:p>
      <w:pPr>
        <w:ind w:left="880" w:right="79" w:hanging="317"/>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and the risk that a significant portion of our revenue currently depends on contracts with the public sector,</w:t>
      </w:r>
    </w:p>
    <w:p>
      <w:pPr>
        <w:spacing w:after="0" w:line="161"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or others,</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business strategy, including monetization of our products,</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growth rate and market opportunity,</w:t>
      </w:r>
    </w:p>
    <w:p>
      <w:pPr>
        <w:spacing w:after="0" w:line="225"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standards relating to the listing of our common stock, par value $0.0001 per share (the “common stock”) and Public Warrants (as defined herein) on, the Nasdaq Capital Market (“Nasdaq”), and the potential liquidity and trading of such securities,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competition, our ability to grow and manage growth profitably, maintain relationships with customers and suppliers and retain our management and key employees,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operating as a public company,</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and establish and maintain, effective internal controls over financial reporting,</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the markets in which we compete,</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strategic initiatives, expansion plans and continue to innovate our existing products and services,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the global economy or global supply chain (including any supply chain impacts from the ongoing military conflicts involving Russia and Ukraine and sanctions related thereto and the state of war between Israel and Hamas and the potential for a larger conflict), including inflation and financial and credit market fluctuations,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profitability, future revenue, capital requirements and needs for additional financing,</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decisions to expand or maintain our existing customer base, and</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worsening global economic conditions, disruptions to and volatility and uncertainty in the credit and financial markets, increases in inflation and interest rates, and recent and potential future disruptions in access to bank deposits or lending commitments due to bank failures, on the foregoing.</w:t>
      </w:r>
    </w:p>
    <w:p>
      <w:pPr>
        <w:spacing w:after="0" w:line="180"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These statements reflect our current views with respect to future events, are based on assumptions and involve known and unknown risks, uncertainties and other factors that may cause our actual results, performance or achievements to be materially different from any future results, performance or achievements expressed or implied by the forward-looking statements. These known and unknown risks, uncertainties and other factors include, without limitation:</w:t>
      </w:r>
    </w:p>
    <w:p>
      <w:pPr>
        <w:spacing w:after="0" w:line="180" w:lineRule="exact"/>
        <w:rPr>
          <w:sz w:val="20"/>
          <w:szCs w:val="20"/>
          <w:color w:val="auto"/>
        </w:rPr>
      </w:pPr>
    </w:p>
    <w:p>
      <w:pPr>
        <w:jc w:val="both"/>
        <w:ind w:left="880" w:right="79" w:hanging="317"/>
        <w:spacing w:after="0" w:line="254"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existing cash, cash equivalents and marketable securities should be sufficient to meet our anticipated operating cash needs until midway through the fourth quarter of 2025, based on our current business plan, and expectations and assumptions considering current macroeconomic conditions. Accordingly, based on our estimates and current business plan, we expect that we will need to obtain additional capital by midway through the fourth quarter of 2025 to fund our research and development efforts and business objectives as currently planned. Our estimate does not assume any additional financing, and we cannot be sure that additional financing will be available. If we are unable to raise additional funding when needed and on attractive terms, we may be required to delay, limit or substantially reduce our quantum computing development efforts.</w:t>
      </w:r>
    </w:p>
    <w:p>
      <w:pPr>
        <w:spacing w:after="0" w:line="188" w:lineRule="exact"/>
        <w:rPr>
          <w:rFonts w:ascii="Times New Roman" w:cs="Times New Roman" w:eastAsia="Times New Roman" w:hAnsi="Times New Roman"/>
          <w:sz w:val="18"/>
          <w:szCs w:val="18"/>
          <w:color w:val="auto"/>
        </w:rPr>
      </w:pPr>
    </w:p>
    <w:p>
      <w:pPr>
        <w:ind w:left="880" w:right="79" w:hanging="317"/>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our early stages and have a limited operating history, which makes it difficult to forecast our future results of operations.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0" w:right="79" w:hanging="317"/>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expect to incur significant expenses and continuing losses for the foreseeable future.</w:t>
      </w:r>
    </w:p>
    <w:p>
      <w:pPr>
        <w:spacing w:after="0" w:line="161" w:lineRule="exact"/>
        <w:rPr>
          <w:rFonts w:ascii="Times New Roman" w:cs="Times New Roman" w:eastAsia="Times New Roman" w:hAnsi="Times New Roman"/>
          <w:sz w:val="18"/>
          <w:szCs w:val="18"/>
          <w:color w:val="auto"/>
        </w:rPr>
      </w:pPr>
    </w:p>
    <w:p>
      <w:pPr>
        <w:ind w:left="880" w:right="79" w:hanging="317"/>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market in which we compete achieves its anticipated growth levels, our business could fail to grow at similar rates, if at all.</w:t>
      </w:r>
    </w:p>
    <w:p>
      <w:pPr>
        <w:spacing w:after="0" w:line="161"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research and development tax credit carryforwards for income tax purposes is subject to annual limitation because of prior cumulative changes in the Company’s ownership, and may be further limited in the future if additional ownership changes occur.</w:t>
      </w:r>
    </w:p>
    <w:p>
      <w:pPr>
        <w:spacing w:after="0" w:line="175"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produced quantum computers with high qubit counts and we face significant barriers in our attempts to produce quantum computers, including the need to invent and develop new technology. If we cannot successfully overcome those barriers, our business will be negatively impacted and could fail.</w:t>
      </w:r>
    </w:p>
    <w:p>
      <w:pPr>
        <w:spacing w:after="0" w:line="175"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generations of hardware, including any future generations developed to demonstrate narrow quantum advantage, broad quantum advantage, our anticipated release of a 336 qubit system, and our targeted fidelities, each of which is an important anticipated milestone for our technology roadmap and commercialization, may not occur on our anticipated timeline or at all.</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computers fail to achieve quantum advantage, our business, financial condition and future prospects may be harmed. Moreover, the standards by which we measure our progress may be based on assumptions and expectations that are not accurate or that may change as quantum computing evolves.</w:t>
      </w:r>
    </w:p>
    <w:p>
      <w:pPr>
        <w:spacing w:after="0" w:line="175"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quantum computing industry is competitive on a global scale and we may not be successful in competing in this industry or establishing and maintaining confidence in our long-term business prospects among current and future partners and customers.</w:t>
      </w:r>
    </w:p>
    <w:p>
      <w:pPr>
        <w:spacing w:after="0" w:line="175" w:lineRule="exact"/>
        <w:rPr>
          <w:rFonts w:ascii="Times New Roman" w:cs="Times New Roman" w:eastAsia="Times New Roman" w:hAnsi="Times New Roman"/>
          <w:sz w:val="18"/>
          <w:szCs w:val="18"/>
          <w:color w:val="auto"/>
        </w:rPr>
      </w:pPr>
    </w:p>
    <w:p>
      <w:pPr>
        <w:ind w:left="880" w:right="79" w:hanging="317"/>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for a significant percentage of our revenue and the loss or temporary loss of a major customer for any reason could harm our financial condition.</w:t>
      </w:r>
    </w:p>
    <w:p>
      <w:pPr>
        <w:spacing w:after="0" w:line="161"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880" w:right="79" w:hanging="317"/>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assurances that we will be able to commercialize quantum computers from our relationships with cloud providers.</w:t>
      </w:r>
    </w:p>
    <w:p>
      <w:pPr>
        <w:spacing w:after="0" w:line="161"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access to high performance third party classical computing through public clouds, high performance computing centers and on-premises computing infrastructure to deliver performant quantum solutions to customers. We may not be able to maintain high quality business relationships and connectivity with these resources which could make it harder for us to reach customers or deliver solutions in a cost-effective manner.</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p>
      <w:pPr>
        <w:spacing w:after="0" w:line="175"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systems depend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880" w:right="79" w:hanging="317"/>
        <w:spacing w:after="0" w:line="266"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successful in developing quantum computing systems and executing our strategy, competitors in the industry may achieve technological breakthroughs which render our quantum computing systems obsolete or inferior to other products.</w:t>
      </w:r>
    </w:p>
    <w:p>
      <w:pPr>
        <w:spacing w:after="0" w:line="175" w:lineRule="exact"/>
        <w:rPr>
          <w:rFonts w:ascii="Times New Roman" w:cs="Times New Roman" w:eastAsia="Times New Roman" w:hAnsi="Times New Roman"/>
          <w:sz w:val="18"/>
          <w:szCs w:val="18"/>
          <w:color w:val="auto"/>
        </w:rPr>
      </w:pPr>
    </w:p>
    <w:p>
      <w:pPr>
        <w:ind w:left="880" w:right="79" w:hanging="317"/>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reduce the cost of developing our quantum computers, which may prevent us from pricing our quantum systems competitively.</w:t>
      </w:r>
    </w:p>
    <w:p>
      <w:pPr>
        <w:spacing w:after="0" w:line="161"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quantum computing industry is in its early stages and volatile, and if it does not develop, if it develops more slowly than we expect, if it develops in a manner that does not require use of our quantum computing solutions, if it encounters negative publicity or if our solution does not drive commercial engagement, the growth of our business will be harmed.</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suffer disruptions, outages, defects and other performance and quality problems with our quantum computing systems, our production technology partners or with the public cloud, data centers and internet infrastructure on which we rely.</w:t>
      </w:r>
    </w:p>
    <w:p>
      <w:pPr>
        <w:spacing w:after="0" w:line="175" w:lineRule="exact"/>
        <w:rPr>
          <w:rFonts w:ascii="Times New Roman" w:cs="Times New Roman" w:eastAsia="Times New Roman" w:hAnsi="Times New Roman"/>
          <w:sz w:val="18"/>
          <w:szCs w:val="18"/>
          <w:color w:val="auto"/>
        </w:rPr>
      </w:pPr>
    </w:p>
    <w:p>
      <w:pPr>
        <w:jc w:val="both"/>
        <w:ind w:left="880" w:right="79" w:hanging="317"/>
        <w:spacing w:after="0" w:line="258"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which may adversely affect our business.</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54"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related to the design and operation of our overall closing and financial reporting processes, and we may identify additional material weaknesses in the future. A material weakness over the accounting for complex financial instruments, which has been remediated, resulted in errors in financial statements for prior periods. If we fail to remediate our remaining material weakness,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p>
      <w:pPr>
        <w:spacing w:after="0" w:line="191" w:lineRule="exact"/>
        <w:rPr>
          <w:rFonts w:ascii="Times New Roman" w:cs="Times New Roman" w:eastAsia="Times New Roman" w:hAnsi="Times New Roman"/>
          <w:sz w:val="18"/>
          <w:szCs w:val="18"/>
          <w:color w:val="auto"/>
        </w:rPr>
      </w:pPr>
    </w:p>
    <w:p>
      <w:pPr>
        <w:ind w:left="880" w:right="79" w:hanging="317"/>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maintain and protect our intellectual property rights could impair our ability to protect and commercialize our proprietary products and technology and cause us to lose our competitive advantage.</w:t>
      </w:r>
    </w:p>
    <w:p>
      <w:pPr>
        <w:spacing w:after="0" w:line="161"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been out of compliance with the continued listing standards of Nasdaq and we may be unable to maintain compliance with such standards. If we fail to maintain compliance with the listing requirements of the Nasdaq Capital Market or fail to cure any future deficiencies, we may be delisted and the price of our common stock and our ability to access the capital markets could be negatively impacted.</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or perceptions of sales, by us or holders of our securities in the public markets or otherwise could cause the market price for our securities to decline and even in such case certain holders of our securities may still have an incentive to sell our securities.</w:t>
      </w:r>
    </w:p>
    <w:p>
      <w:pPr>
        <w:spacing w:after="0" w:line="175"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75" w:lineRule="exact"/>
        <w:rPr>
          <w:rFonts w:ascii="Times New Roman" w:cs="Times New Roman" w:eastAsia="Times New Roman" w:hAnsi="Times New Roman"/>
          <w:sz w:val="18"/>
          <w:szCs w:val="18"/>
          <w:color w:val="auto"/>
        </w:rPr>
      </w:pPr>
    </w:p>
    <w:p>
      <w:pPr>
        <w:ind w:left="880" w:right="79" w:hanging="317"/>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including recent bank failures, have had and may continue to have serious adverse consequences on our business, financial condition and share price.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880" w:right="79" w:hanging="317"/>
        <w:spacing w:after="0" w:line="256"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warrants, including our public warrants, each entitling the holder to purchase one share of our common stock at an exercise price of $11.50 per share, that trade on the Nasdaq Capital Market under the ticker symbol “RGTIW” (“Public Warrants”), private placement warrants, each entitling the holder to purchase one share of our common stock at an exercise price of $11.50 per share (“Private Warrants”), and other warrants we have issued, are accounted for as liabilities and the changes in value of our warrants could have a material effect on our financial results.</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warrants are exercisable for Common Stock, the exercise of which, or other sales and issuances of Common Stock, would increase the number of shares eligible for future resale in the public market and result in dilution to our stockholders.</w:t>
      </w:r>
    </w:p>
    <w:p>
      <w:pPr>
        <w:spacing w:after="0" w:line="17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may never be in the money, and they may expire worthless.</w:t>
      </w:r>
    </w:p>
    <w:p>
      <w:pPr>
        <w:spacing w:after="0" w:line="225" w:lineRule="exact"/>
        <w:rPr>
          <w:sz w:val="20"/>
          <w:szCs w:val="20"/>
          <w:color w:val="auto"/>
        </w:rPr>
      </w:pPr>
    </w:p>
    <w:p>
      <w:pPr>
        <w:jc w:val="both"/>
        <w:ind w:left="60" w:right="79" w:firstLine="486"/>
        <w:spacing w:after="0" w:line="266"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our Annual Report on Form 10-K for the year ended December 31, 2023.</w:t>
      </w:r>
    </w:p>
    <w:p>
      <w:pPr>
        <w:spacing w:after="0" w:line="176"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In addition, our goals and objectives are aspirational and are not guarantees or promises that such goals and objectives will be met. Should one or more of the risks or uncertainties described in this Quarterly Report on Form 10-Q or our Annual Report on Form 10-K for the year ended December 31, 2023 materialize, or should underlying assumptions prove incorrect, actual results and plans could differ materially from those expressed in any forward-looking statements. Also, these forward-looking statements represent our plans, objectives, estimates, expectations, assumptions, and intentions only as of the date of this filing.</w:t>
      </w:r>
    </w:p>
    <w:p>
      <w:pPr>
        <w:spacing w:after="0" w:line="189"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and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35,098</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162,115</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Earn-out liabilities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10,000,000 shares authorized, none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1,000,000,000 shares authorized,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165,310,938 shares issued and outstanding at March 31, 2024 and 147,066,336 shares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at December 31, 2023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(374,532)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162,115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9"/>
        </w:trPr>
        <w:tc>
          <w:tcPr>
            <w:tcW w:w="59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18,085</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(22,020)</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(23,354)</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(23,354)</w:t>
            </w:r>
          </w:p>
        </w:tc>
        <w:tc>
          <w:tcPr>
            <w:tcW w:w="0" w:type="dxa"/>
            <w:vAlign w:val="bottom"/>
          </w:tcPr>
          <w:p>
            <w:pPr>
              <w:spacing w:after="0"/>
              <w:rPr>
                <w:sz w:val="1"/>
                <w:szCs w:val="1"/>
                <w:color w:val="auto"/>
              </w:rPr>
            </w:pPr>
          </w:p>
        </w:tc>
      </w:tr>
      <w:tr>
        <w:trPr>
          <w:trHeight w:val="197"/>
        </w:trPr>
        <w:tc>
          <w:tcPr>
            <w:tcW w:w="59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 attributable to</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151,855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124,778</w:t>
            </w:r>
          </w:p>
        </w:tc>
        <w:tc>
          <w:tcPr>
            <w:tcW w:w="0" w:type="dxa"/>
            <w:vAlign w:val="bottom"/>
          </w:tcPr>
          <w:p>
            <w:pPr>
              <w:spacing w:after="0"/>
              <w:rPr>
                <w:sz w:val="1"/>
                <w:szCs w:val="1"/>
                <w:color w:val="auto"/>
              </w:rPr>
            </w:pPr>
          </w:p>
        </w:tc>
      </w:tr>
      <w:tr>
        <w:trPr>
          <w:trHeight w:val="221"/>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stockholders – basic and diluted</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6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5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(23,354)</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Unrealized (losses) gains on available-for-sale debt securities</w:t>
            </w: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income before income taxes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income after income taxes</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(23,199)</w:t>
            </w:r>
          </w:p>
        </w:tc>
      </w:tr>
      <w:tr>
        <w:trPr>
          <w:trHeight w:val="20"/>
        </w:trPr>
        <w:tc>
          <w:tcPr>
            <w:tcW w:w="5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199"/>
        </w:trPr>
        <w:tc>
          <w:tcPr>
            <w:tcW w:w="62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(20,773)</w:t>
            </w:r>
          </w:p>
        </w:tc>
        <w:tc>
          <w:tcPr>
            <w:tcW w:w="4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(23,354)</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derivative warrant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forward contract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deferred offering costs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Accretion of available-for-sale securities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18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debt issuance costs, commitment fees and accretion of debt end-of-term</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Non-cash lease expense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Accrued expenses and operating lease liabilities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(13,139)</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(15,548)</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(38,528)</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Maturities of available-for-sale securities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39,000</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28,346</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(14,986)</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Payments of principal of notes payable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common stock from sales through Common Stock Purchase Agreement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common stock from sales through At-The-Market (ATM) Offering</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of offering costs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 and warrants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20,710</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(31,771)</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21,392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57,888</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35,098</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26,117</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other cash flow information:</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4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Capitalization of deferred costs to equity upon share issuance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 recorded in accounts payable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 recorded in accrued expenses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deferred offering costs in accounts payable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 (Loss) on short term investments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Rigetti Computing, Inc. and its subsidiaries (collectively, the “Company” or “Rigetti”), builds quantum computers and the superconducting quantum processors that power them</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The Company markets a 9-qubit quantum processing unit (QPU) under the Novera™ QPU trade name. Through the Company’s Quantum Computing as a Service (“QCaaS”) platform, the Company’s machines can be integrated into any public, private or hybrid cloud.</w:t>
      </w:r>
    </w:p>
    <w:p>
      <w:pPr>
        <w:spacing w:after="0" w:line="180"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The Company is located and headquartered in Berkeley, California. The Company also operates in Fremont, California; London, United Kingdom; Adelaide, Australia and British Columbia, Canada. The Company’s revenue is derived primarily from operations in the United States and the United Kingdom.</w:t>
      </w:r>
    </w:p>
    <w:p>
      <w:pPr>
        <w:spacing w:after="0" w:line="172" w:lineRule="exact"/>
        <w:rPr>
          <w:sz w:val="20"/>
          <w:szCs w:val="20"/>
          <w:color w:val="auto"/>
        </w:rPr>
      </w:pPr>
    </w:p>
    <w:p>
      <w:pPr>
        <w:ind w:left="540" w:right="5299" w:hanging="490"/>
        <w:spacing w:after="0" w:line="503" w:lineRule="auto"/>
        <w:tabs>
          <w:tab w:leader="none" w:pos="35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On March 2, 2022 (the “Closing Date”), a merger transaction between Rigetti Holdings, Inc. (“Legacy Rigetti”) and Supernova Partners Acquisition Company II, Ltd. (“SNII”) was completed (the “Business Combination”).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The SNII Public Warrants and the Private Warrants held by SNII became warrants for Common Stock. The Company’s Common Stock and Public Warrants trade on the Nasdaq Capital Market under the ticker symbols “RGTI” and “RGTIW,” respectively.</w:t>
      </w:r>
    </w:p>
    <w:p>
      <w:pPr>
        <w:spacing w:after="0" w:line="189"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The Company determined that Legacy Rigetti was the accounting acquirer in the Business Combination based on an analysis of the criteria outlined in Accounting Standards Codification (ASC) 805, Business Combination.</w:t>
      </w:r>
    </w:p>
    <w:p>
      <w:pPr>
        <w:spacing w:after="0" w:line="162"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Accordingly, for accounting purposes, the Business Combination was treated as the equivalent of Legacy Rigetti issuing stock for the net assets of SNII, accompanied by a recapitalization. The primary asset acquired from SNII was cash that was assumed at historical costs. Separately, the Company also assumed warrants that were deemed to be derivatives and meet liability classification subject to fair value adjustment measurements upon closing of the Business Combination (the “Closing”). No goodwill or other intangible assets were recorded because of the Business Combination.</w:t>
      </w:r>
    </w:p>
    <w:p>
      <w:pPr>
        <w:spacing w:after="0" w:line="183"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w:t>
      </w:r>
    </w:p>
    <w:p>
      <w:pPr>
        <w:spacing w:after="0" w:line="176" w:lineRule="exact"/>
        <w:rPr>
          <w:sz w:val="20"/>
          <w:szCs w:val="20"/>
          <w:color w:val="auto"/>
        </w:rPr>
      </w:pPr>
    </w:p>
    <w:p>
      <w:pPr>
        <w:jc w:val="both"/>
        <w:ind w:left="60" w:right="59" w:firstLine="486"/>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applicable rules and regulations of the Securities and Exchange Commission (the “SEC”) regarding interim financial reporting. Accordingly, they do not include all of the information and footnotes required by accounting principles generally accepted in the United States (“U.S” and such accounting principles, “GAAP”) for complete financial statements due to the permitted exclusion of certain disclosures for interim reporting. In the opinion of management, all adjustments (consisting of normal recurring items) considered necessary under GAAP for a fair presentation of results for the interim periods presented have been included. As a result of displaying amounts in thousands, rounding differences may exist in the condensed consolidated financial statements and footnote tables. The results of operations for the three months ended March 31, 2024 are not necessarily indicative of the results to be expected for the year ending December 31, 2024 or for other interim periods or future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is derived from the audited consolidated financial statements as of that date, however, it does not include all of the information and footnotes required by GAAP for complete financial statements. These unaudited condensed consolidated financial statements should be read in conjunction with the Company’s audited consolidated financial statements and related notes included in the Company’s Annual Report on Form 10-K for the year ended December 31, 2023, which was filed within the SEC on March 14,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its subsidiaries have been prepared in accordance with accounting principles generally accepted in the United States (“GAAP”) and applicable rules and regulations of the U.S. Securities and Exchange Commission (“SEC”). The condensed consolidated financial statements include the accounts of the Company and its wholly-owned subsidiaries. All intercompany transactions and balances have been eliminated in consolidation.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significant accounting policies disclosed in “Note 2 – Summary of Significant Accounting Policies” of the Company’s Annual Report on Form 10-K for the year ended December 31, 2023, which was filed with the SEC on March 14,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486"/>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management to make estimates and assumptions that affect reported amounts and disclosures. These estimates and assumptions affect the reported amounts of assets and liabilities and disclosure of contingent assets and liabilities at the date of the condensed consolidated financial statements, as well as reported amounts of revenues and expenses during the reporting period. Such management estimates include, but are not limited to, the fair value of share-based awards, the fair value of derivative warrant liabilities, the fair value of Sponsor Vesting Shares issued in connection with the Business Combination,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adjusts when facts and circumstances dictate. These estimates are based on information available as of the date of the condensed consolidated financial statements; therefore, actual results could differ from those estimates.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spacing w:after="0" w:line="183"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Based on the Company’s forecasts, the Company believes that its existing cash and cash equivalents and available for sale investments should be sufficient to meet its anticipated operating cash needs for at least the next 12 months from the issuance date of these financial statements based on the Company’s current business plan and expectations and assumptions considering current macroeconomic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w:t>
      </w:r>
    </w:p>
    <w:p>
      <w:pPr>
        <w:spacing w:after="0" w:line="229" w:lineRule="exact"/>
        <w:rPr>
          <w:sz w:val="20"/>
          <w:szCs w:val="20"/>
          <w:color w:val="auto"/>
        </w:rPr>
      </w:pPr>
    </w:p>
    <w:p>
      <w:pPr>
        <w:jc w:val="both"/>
        <w:ind w:left="60" w:right="59" w:firstLine="486"/>
        <w:spacing w:after="0" w:line="253" w:lineRule="auto"/>
        <w:rPr>
          <w:sz w:val="20"/>
          <w:szCs w:val="20"/>
          <w:color w:val="auto"/>
        </w:rPr>
      </w:pPr>
      <w:r>
        <w:rPr>
          <w:rFonts w:ascii="Times New Roman" w:cs="Times New Roman" w:eastAsia="Times New Roman" w:hAnsi="Times New Roman"/>
          <w:sz w:val="18"/>
          <w:szCs w:val="18"/>
          <w:color w:val="auto"/>
        </w:rPr>
        <w:t>Economic conditions in some parts of the world have been worsening, with disruptions to, and volatility and uncertainty in, the credit and financial markets in the U.S. and worldwide resulting from the effects of inflation and interest rates. These conditions have been further exacerbated by recent and potential future disruptions in access to bank deposits or lending commitments due to bank failures, the ongoing military conflict involving Russia and Ukraine and sanctions related thereto, the state of war between Israel and Hamas and the related risk of a larger conflict. It is not possible at this time to estimate the long-term impact that these and related events could have on our business, as the impact will depend on future developments, which are highly uncertain and cannot be predicted. If these conditions persist and deepen, the Company could experience an inability to access additional capital, or its liquidity could otherwise be impacted. If the Company is unable to raise capital when needed and on attractive terms, it would be forced to delay, reduce or eliminate its research and development programs and other efforts.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22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expenses became less significant following the reduction in workforce and strategic realignment the Company announced in February 2023. For this reason, sales and marketing and general administrative expenses have been combined and are now reported as selling, general and administrative. Related amounts for all prior periods have been reclassified to conform with this presentation.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No. 2020-06, Debt - (Topic 815) (“ASU No. 2020-06”), which simplifies an issuer’s accounting for convertible instruments and its application of the derivatives scope exception for contracts in its own equity. ASU No. 2020-06 was effective for the Company as of January 1, 2024. The Company determined that the adoption of this standard did not have a material impact on the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In June 2022, the FASB issued ASU 2022-03, ASC Subtopic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ASU is effective for the Company for annual periods beginning after December 15, 2024, and interim periods within those fiscal years, with early adoption permitted. The Company is still evaluating the impact of this pronouncement on the consolidated financial statements.</w:t>
      </w:r>
    </w:p>
    <w:p>
      <w:pPr>
        <w:spacing w:after="0" w:line="192" w:lineRule="exact"/>
        <w:rPr>
          <w:sz w:val="20"/>
          <w:szCs w:val="20"/>
          <w:color w:val="auto"/>
        </w:rPr>
      </w:pPr>
    </w:p>
    <w:p>
      <w:pPr>
        <w:jc w:val="both"/>
        <w:ind w:left="60" w:right="59" w:firstLine="486"/>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the Company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is still evaluating the impact of this pronouncement on the consolidated financial statements.</w:t>
      </w:r>
    </w:p>
    <w:p>
      <w:pPr>
        <w:spacing w:after="0" w:line="194"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Income Tax Disclosures” requiring enhancements and further transparency to certain income tax disclosures, most notably the tax rate reconciliation and income taxes paid.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This ASU is effective for the Company for annual periods beginning after December 15, 2024 on a prospective basis. Retrospective application is also permitted. The Company is still evaluating the impact of this pronouncement on the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Changes in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0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7"/>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vMerge w:val="restart"/>
          </w:tcPr>
          <w:p>
            <w:pPr>
              <w:spacing w:after="0"/>
              <w:rPr>
                <w:sz w:val="2"/>
                <w:szCs w:val="2"/>
                <w:color w:val="auto"/>
              </w:rPr>
            </w:pPr>
          </w:p>
        </w:tc>
        <w:tc>
          <w:tcPr>
            <w:tcW w:w="9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463,089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(353,759)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stock options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sale of common stock</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through Purchase Agreement - B.Riley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sale of common stock</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through At-The-Market (ATM) Offering</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Capitalization of deferred costs to equity</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upon share issuance</w:t>
            </w:r>
          </w:p>
        </w:tc>
        <w:tc>
          <w:tcPr>
            <w:tcW w:w="1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 in unrealized loss on available-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for-sale securities</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(20,773)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(374,532)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2"/>
                <w:szCs w:val="2"/>
                <w:color w:val="auto"/>
              </w:rPr>
            </w:pP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125,257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429,025</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(278,652)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Issuance of common stock upon exercise of</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2,860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Issuance of common stock upon exercise of</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 of</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Capitalization of deferred costs to equity</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upon share issuance</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 in unrealized loss on available-for-</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 securities</w:t>
            </w:r>
          </w:p>
        </w:tc>
        <w:tc>
          <w:tcPr>
            <w:tcW w:w="1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129,171</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431,466</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(302,006)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All investments in fixed income securities are classified as available-for-sale in the condensed consolidated balance sheets. Fixed income securities are recorded at their estimated fair value. The amortized cost, gross unrealized holding gains and losses included in other comprehensive (loss) income and the fair value of the fixed income securities at March 31, 2024 and December 31, 2023 are presented in the tables below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0" w:type="dxa"/>
            <w:vAlign w:val="bottom"/>
          </w:tcPr>
          <w:p>
            <w:pPr>
              <w:spacing w:after="0"/>
              <w:rPr>
                <w:sz w:val="10"/>
                <w:szCs w:val="10"/>
                <w:color w:val="auto"/>
              </w:rPr>
            </w:pPr>
          </w:p>
        </w:tc>
        <w:tc>
          <w:tcPr>
            <w:tcW w:w="980" w:type="dxa"/>
            <w:vAlign w:val="bottom"/>
            <w:gridSpan w:val="4"/>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0"/>
                <w:szCs w:val="10"/>
                <w:color w:val="auto"/>
              </w:rPr>
            </w:pPr>
          </w:p>
        </w:tc>
        <w:tc>
          <w:tcPr>
            <w:tcW w:w="1000" w:type="dxa"/>
            <w:vAlign w:val="bottom"/>
            <w:gridSpan w:val="4"/>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Pr>
          <w:p>
            <w:pPr>
              <w:spacing w:after="0"/>
              <w:rPr>
                <w:sz w:val="10"/>
                <w:szCs w:val="10"/>
                <w:color w:val="auto"/>
              </w:rPr>
            </w:pPr>
          </w:p>
        </w:tc>
      </w:tr>
      <w:tr>
        <w:trPr>
          <w:trHeight w:val="173"/>
        </w:trPr>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58,211</w:t>
            </w:r>
          </w:p>
        </w:tc>
        <w:tc>
          <w:tcPr>
            <w:tcW w:w="20" w:type="dxa"/>
            <w:vAlign w:val="bottom"/>
          </w:tcPr>
          <w:p>
            <w:pPr>
              <w:spacing w:after="0"/>
              <w:rPr>
                <w:sz w:val="18"/>
                <w:szCs w:val="18"/>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20" w:type="dxa"/>
            <w:vAlign w:val="bottom"/>
            <w:shd w:val="clear" w:color="auto" w:fill="CCEEFF"/>
          </w:tcPr>
          <w:p>
            <w:pPr>
              <w:spacing w:after="0"/>
              <w:rPr>
                <w:sz w:val="18"/>
                <w:szCs w:val="18"/>
                <w:color w:val="auto"/>
              </w:rPr>
            </w:pPr>
          </w:p>
        </w:tc>
      </w:tr>
      <w:tr>
        <w:trPr>
          <w:trHeight w:val="21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investments – short-term</w:t>
            </w: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67,661</w:t>
            </w:r>
          </w:p>
        </w:tc>
        <w:tc>
          <w:tcPr>
            <w:tcW w:w="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17"/>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73"/>
        </w:trPr>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20" w:type="dxa"/>
            <w:vAlign w:val="bottom"/>
          </w:tcPr>
          <w:p>
            <w:pPr>
              <w:spacing w:after="0"/>
              <w:rPr>
                <w:sz w:val="18"/>
                <w:szCs w:val="18"/>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investments – short-term</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86"/>
        <w:spacing w:after="0" w:line="258" w:lineRule="auto"/>
        <w:rPr>
          <w:sz w:val="20"/>
          <w:szCs w:val="20"/>
          <w:color w:val="auto"/>
        </w:rPr>
      </w:pPr>
      <w:r>
        <w:rPr>
          <w:rFonts w:ascii="Times New Roman" w:cs="Times New Roman" w:eastAsia="Times New Roman" w:hAnsi="Times New Roman"/>
          <w:sz w:val="18"/>
          <w:szCs w:val="18"/>
          <w:color w:val="auto"/>
        </w:rPr>
        <w:t>The Company invests in highly rated investment grade debt securities. All of the Company’s available-for-sale securities have final maturities of one year or less.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Neither of these criteria were met as of March 31, 2024 or December 31, 2023, respectively.</w:t>
      </w:r>
    </w:p>
    <w:p>
      <w:pPr>
        <w:spacing w:after="0" w:line="183"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The Company additionally evaluates whether the decline in fair value of the securities below their amortized cost basis is related to credit losses or other factors. Based on this evaluation, the Company determined that the unrealized losses for its available-for-sale securities were primarily attributable to changes in interest rates and non-credit-related factors. Accordingly, the Company determined that none of the unrealized losses were other-than-temporary, and that recognition of an impairment charge was not required as of March 31, 2024 or December 31, 2023, respectively. As of March 31, 2024, there were six securities that were in an unrealized loss position with a market value of $43.9 million, with the largest loss for any single security being inconsequential. None of the Company’s available-for-sale securities have been in an unrealized loss position for more than one year. No available-for-sale securities were sold during the three months ended March 31, 2024 and 2023, respectively.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See Note 5 for additional information regarding the fair value of the Company’s investments.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condensed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level in the fair value hierarchy within which a fair value measurement in its entirety falls is based on the lowest-level input that is significant to the fair value measurement in its entirety. The three levels of the fair value hierarchy are as follows:</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jc w:val="both"/>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hierarchy used to measure the Company’s financial assets and liabilities as of March 31, 2024 and December 31, 2023, respectively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vMerge w:val="continue"/>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liability – Public Warrants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liability – Private Warrants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liabilities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9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6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74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41,021</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53,197</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8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warrant liability – Public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warrant liability – Private Warrants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10"/>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Company has recorded the following financial instruments subject to fair value measurements: 1) Derivative warrant liabilities—Public Warrants and Private Warrants, 2) Available-for-sale securities and 3) Earn-out liabilities.</w:t>
      </w:r>
    </w:p>
    <w:p>
      <w:pPr>
        <w:spacing w:after="0" w:line="176"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 Company also has long-term debt and a line of credit that provides for variable interest, and therefore, the carrying value approximates the fair value. The carrying values of the long-term debt and line of credit as of March 31, 2024 and December 31, 2023, respectively, represent the original principal amounts borrowed, accretion of final payments fees, less principal payments and unamortized debt issuance costs.</w:t>
      </w:r>
    </w:p>
    <w:p>
      <w:pPr>
        <w:spacing w:after="0" w:line="180"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The fair value of the Public Warrants has been measured based on the observable listed prices for such warrants, a Level 1 measurement. Long-term debt and a line of credit issued by the Company are classified within Level 2. The fair value of the Company’s Level 2 financial assets are determined by using inputs based on quoted market prices for similar instruments. The carrying value of the long-term debt and line of credit approximates its fair value given their maturity and variable interest rates.</w:t>
      </w:r>
    </w:p>
    <w:p>
      <w:pPr>
        <w:spacing w:after="0" w:line="183"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All other financial instruments are classified as Level 3 instruments as they all include unobservable inputs. The Private Warrants are measured at fair value using a Black Scholes model. The Company estimates the volatility of its ordinary share warrants based on the implied volatility from the Company’s publicly traded warrants and from historical volatility of select peer company ordinary shares that matches the expected remaining life of the warrants. The fair value of the Earn-out liabilities is estimated using a Monte Carlo simulation model.</w:t>
      </w:r>
    </w:p>
    <w:p>
      <w:pPr>
        <w:spacing w:after="0" w:line="183"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 Company estimated the fair value of a Forward Warrant Agreement that was in place throughout most of 2023 using a forward analysis with unobservable inputs which included selected risk-free rate and probability outcomes. The Forward Warrant Agreement had no value as of December 31, 2023 because the Forward Warrant Agreement expired in October 2023 without taking effect. See Note 6 for further discussion regarding the Forward Warrant Agreement.</w:t>
      </w:r>
    </w:p>
    <w:p>
      <w:pPr>
        <w:spacing w:after="0" w:line="180"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There were no changes in fair value measurement techniques during the three months ended March 31, 2024. The Company reduced the estimated probability of occurrence for the Forward Warrant Agreement from 50% to 0% during the nine months ended September 30, 2023 to account for expiration of the Forward Warrant Agreement in October 2023. There were no changes in fair value measurement techniques during the year ended December 31, 2023, other than the change in the estimated probability of occurrence for the Forward Warrant Agreement described above. There were no transfers in or out of Level 3 of the fair value hierarchy during the three months ended March 31, 2024 or 2023, respectively. Current estimates of fair value may differ from the amounts presented.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A summary of the changes in the fair value of the Company’s Level 3 financial instruments during the three months ended March 31, 2024, and 2023 respectively, is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60" w:type="dxa"/>
            <w:vAlign w:val="bottom"/>
            <w:gridSpan w:val="3"/>
          </w:tcPr>
          <w:p>
            <w:pPr>
              <w:jc w:val="center"/>
              <w:ind w:left="1199"/>
              <w:spacing w:after="0" w:line="149" w:lineRule="exact"/>
              <w:rPr>
                <w:sz w:val="20"/>
                <w:szCs w:val="20"/>
                <w:color w:val="auto"/>
              </w:rPr>
            </w:pPr>
            <w:r>
              <w:rPr>
                <w:rFonts w:ascii="Times New Roman" w:cs="Times New Roman" w:eastAsia="Times New Roman" w:hAnsi="Times New Roman"/>
                <w:sz w:val="14"/>
                <w:szCs w:val="14"/>
                <w:b w:val="1"/>
                <w:bCs w:val="1"/>
                <w:color w:val="auto"/>
              </w:rPr>
              <w:t>Warrant Liability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Private Warrants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1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2024</w:t>
            </w:r>
          </w:p>
        </w:tc>
        <w:tc>
          <w:tcPr>
            <w:tcW w:w="1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4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1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2023</w:t>
            </w:r>
          </w:p>
        </w:tc>
        <w:tc>
          <w:tcPr>
            <w:tcW w:w="1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Forward Warrant Agreement</w:t>
      </w:r>
    </w:p>
    <w:p>
      <w:pPr>
        <w:spacing w:after="0" w:line="229"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Merger Agreement in October 2021 (See Note 2), Rigetti entered into a warrant subscription agreement (“Forward Warrant Agreement”) with a strategic partner, Ampere Computing LLC (“Ampere”) for the purchase of a warrant for an aggregate purchase price (including amounts from exercise) of $10.0 million. The Forward Warrant Agreement provided for the issuance of a warrant for the purchase of up to an aggregate of 1,000,000 shares of Common Stock at an exercise price of $0.0001. The purchase of the warrant was conditioned upon, among other things, the consummation of the Business Combination and the entry into a collaboration agreement between Rigetti and Ampere. The parties entered into the collaboration agreement in January 2022. Ampere was required to pay $5.0 million to Rigetti no later than the later of (i) the Closing and (ii) June 30, 2022.</w:t>
      </w:r>
    </w:p>
    <w:p>
      <w:pPr>
        <w:spacing w:after="0" w:line="192"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On June 30, 2022, pursuant to the Forward Warrant Agreement, the Company issued the warrant to Ampere upon receipt of an aggregate of $5.0 million (including the exercise price), and upon such payment and issuance, 500,000 shares of the Company’s Common Stock vested under the warrant and were immediately exercised by Ampere pursuant to the terms of the warrant. Ampere was required to pay an additional $5.0 million to Rigetti no later than the closing date of the listing of Ampere’s capital stock on a stock exchange, provided that if the listing had not occurred by the second anniversary of the Forward Warrant Agreement (October 2023), Ampere was not obligated to make the additional payment. Ampere’s obligation to make the additional $5.0 million payment has now expired. The Company filed a registration statement, pursuant to a Registration Rights Agreement with Ampere, registering the resale of the initial 500,000 shares issued under the warrant which was declared effective during the year ended December 31, 2022.</w:t>
      </w:r>
    </w:p>
    <w:p>
      <w:pPr>
        <w:spacing w:after="0" w:line="188"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The Company evaluated the Forward Warrant Agreement as a derivative in conjunction with the guidance of ASC 480, “Distinguishing Liabilities from Equity”. The Company calculated the fair value of the Forward Warrant Agreement at inception using the Forward Contract Pricing methodology. The Forward Warrant Agreement was subsequently re-measured at each reporting period using the Forward Contract Pricing methodology with the change in fair value recorded in selling, general and administrative expense in the condensed consolidated statement of operations.</w:t>
      </w:r>
    </w:p>
    <w:p>
      <w:pPr>
        <w:spacing w:after="0" w:line="183" w:lineRule="exact"/>
        <w:rPr>
          <w:sz w:val="20"/>
          <w:szCs w:val="20"/>
          <w:color w:val="auto"/>
        </w:rPr>
      </w:pPr>
    </w:p>
    <w:p>
      <w:pPr>
        <w:jc w:val="both"/>
        <w:ind w:left="60" w:right="79"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reduced the estimated probability of occurrence for the Forward Warrant Agreement from 50% to 0% because Ampere’s obligation to make the additional payment under the Forward Warrant Agreement expired without taking effect. As a result, the Forward Warrant Agreement had no value as of March 31, 2024 or December 31,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Financing Arrangements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March 2021, the Company entered into an agreement (the “Loan Agreement”) with Trinity Capital Inc. (“Trinity”) to secure a debt commitment of $12.0 million (the “Tranche A”) which was drawn at the closing. The term loan is collateralized by a first-priority, senior secured interest in substantially all of the Company’s assets. In conjunction with the Loan Agreement, the Company issued Trinity a warrant to purchase 313,252 shares of Common Stock (the “Initial Trinity Warrants”). These warrants were exercised in 2022.</w:t>
      </w:r>
    </w:p>
    <w:p>
      <w:pPr>
        <w:spacing w:after="0" w:line="183"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The Loan Agreement contains customary representations, warranties and covenants; however, the Loan Agreement does not include any financial covenants. In May 2021, the Loan Agreement was modified to increase the overall debt commitment by $15.0 million (the “Tranche B” or the “First Loan Agreement Amendment”) and $8.0 million of the additional commitment was drawn at the closing and the remaining commitment of $7.0 million was available at the Company’s option at any time through March 10, 2022 subject to certain conditions. The Company drew the remaining $7.0 million in November 2021. In conjunction with the First Loan Agreement Amendment, the Company cancelled the Initial Trinity Warrants and issued 783,129 warrants to purchase the Common Stock (the “Trinity Warrants”) which was an incremental cost allocated between Tranche A and Tranche B.</w:t>
      </w:r>
    </w:p>
    <w:p>
      <w:pPr>
        <w:spacing w:after="0" w:line="192"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The First Loan Agreement Amendment was considered a modification for accounting purposes. The Company capitalized $2.8 million of debt issuance costs which consist of incremental costs incurred for the lenders and third-party legal firms as well as the fair value of the warrant issued in conjunction with the term loan.</w:t>
      </w:r>
    </w:p>
    <w:p>
      <w:pPr>
        <w:spacing w:after="0" w:line="176" w:lineRule="exact"/>
        <w:rPr>
          <w:sz w:val="20"/>
          <w:szCs w:val="20"/>
          <w:color w:val="auto"/>
        </w:rPr>
      </w:pPr>
    </w:p>
    <w:p>
      <w:pPr>
        <w:jc w:val="both"/>
        <w:ind w:left="60" w:right="79" w:firstLine="486"/>
        <w:spacing w:after="0" w:line="289" w:lineRule="auto"/>
        <w:rPr>
          <w:sz w:val="20"/>
          <w:szCs w:val="20"/>
          <w:color w:val="auto"/>
        </w:rPr>
      </w:pPr>
      <w:r>
        <w:rPr>
          <w:rFonts w:ascii="Times New Roman" w:cs="Times New Roman" w:eastAsia="Times New Roman" w:hAnsi="Times New Roman"/>
          <w:sz w:val="17"/>
          <w:szCs w:val="17"/>
          <w:color w:val="auto"/>
        </w:rPr>
        <w:t>On October 21, 2021, the Company entered into a second amendment to the Loan Agreement (the “Second Loan Agreement Amendment”), which modified the date requiring the Company to deliver evidence of completion of the PIPE Financing and execution of a definitive merger agreement with a special purpose acquisition company to October 31, 2021.</w:t>
      </w:r>
    </w:p>
    <w:p>
      <w:pPr>
        <w:spacing w:after="0" w:line="158"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Under the Second Loan Agreement Amendment, the maturity date was modified to be the date equal to 48 months from the first payment date of each specific cash advance. Subject to an interest only period of 19 months following each specific cash advance date, the term loan incurs interest at a rate of the greater of 11% or the US Prime Rate plus 7.50% per annum, payable monthly. The Term Loan Agreement includes certain negative covenants, primarily consisting of restrictions on the Company’s ability to incur indebtedness, pay dividends, execute fundamental change transactions, and other specified actions.</w:t>
      </w:r>
    </w:p>
    <w:p>
      <w:pPr>
        <w:spacing w:after="0" w:line="187"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January 2022, the Loan Agreement was modified to increase the overall debt commitment by $5.0 million (the “Tranche C” or the “Third Loan Agreement Amendment”) which was drawn on January 27, 2022. Subject to an interest only period of 19 months, Tranche C incurs interest at a rate of the greater of 11% or the US Prime Rate plus 7.50% per annum, payable monthly, until the maturity date of February 1, 2026. Other modifications per the Third Loan Agreement Amendment included an extension of the requirement to raise an additional $75 million of equity until April 1, 2022, and a defined exit fee for the additional $5.0 million to be at 20% of the advanced funds under the amendment. The Company met the requirement to raise additional equity of $75 million through the Business Combination mentioned in Note 2 and paid an exit fee of $1.0 million which is 20% of the Tranche C amount. The exit fee was capitalized as a debt issuance cost and is amortized using the effective interest method over the life of Tranche C. The exit fee was not applicable to Tranche A or Tranche B. In conjunction with the Third Loan Agreement Amendment, the Company also guaranteed payment of all monetary amounts owed and performance of all covenants, obligations and liabilities.</w:t>
      </w:r>
    </w:p>
    <w:p>
      <w:pPr>
        <w:spacing w:after="0" w:line="192"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In addition, the Company is required to pay a final payment fee equal to 2.75% of the aggregate amount of all term loan advances. The final payment fee is being accreted and amortized into interest expense using the effective interest rate method over the term of the loan. The effective interest rate for all tranches of the debt was approximately 22.5% as of March 31, 2024 and December 31, 2023,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Long term debt and the unamortized discount balances are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amount</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 principal</w:t>
            </w: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(12,931)</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net of current portion</w:t>
            </w: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portion of long-term debt – principal</w:t>
            </w: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13,446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12,931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unamortized debt discount</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Debt – current portion</w:t>
            </w:r>
          </w:p>
        </w:tc>
        <w:tc>
          <w:tcPr>
            <w:tcW w:w="1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recorded interest expense of $1.1 million, which includes accretion of the end-of-term liability, amortization of the commitment fee asset and amortization of debt issuance costs totaling $0.3 million. During the three months ended March 31, 2023, the Company recorded interest expense of $1.5 million, which includes accretion of the end-of-term liability, amortization of the commitment fee asset and amortization of debt issuance costs totaling $0.2 million, respectively.</w:t>
      </w:r>
    </w:p>
    <w:p>
      <w:pPr>
        <w:spacing w:after="0" w:line="183"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The unamortized debt discount as of March 31, 2024, and December 31, 2023 of $0.7 million and $1.0 million, respectively, is offset against the carrying value of the term loan in the condensed consolidated balance sheets.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7280" w:type="dxa"/>
            <w:vAlign w:val="bottom"/>
            <w:gridSpan w:val="3"/>
          </w:tcPr>
          <w:p>
            <w:pPr>
              <w:jc w:val="right"/>
              <w:ind w:right="976"/>
              <w:spacing w:after="0"/>
              <w:rPr>
                <w:sz w:val="20"/>
                <w:szCs w:val="20"/>
                <w:color w:val="auto"/>
              </w:rPr>
            </w:pPr>
            <w:r>
              <w:rPr>
                <w:rFonts w:ascii="Times New Roman" w:cs="Times New Roman" w:eastAsia="Times New Roman" w:hAnsi="Times New Roman"/>
                <w:sz w:val="18"/>
                <w:szCs w:val="18"/>
                <w:color w:val="auto"/>
              </w:rPr>
              <w:t>Scheduled principal payments on total outstanding debt are as follows (in thousands):</w:t>
            </w:r>
          </w:p>
        </w:tc>
        <w:tc>
          <w:tcPr>
            <w:tcW w:w="1200" w:type="dxa"/>
            <w:vAlign w:val="bottom"/>
          </w:tcPr>
          <w:p>
            <w:pPr>
              <w:spacing w:after="0"/>
              <w:rPr>
                <w:sz w:val="20"/>
                <w:szCs w:val="20"/>
                <w:color w:val="auto"/>
              </w:rPr>
            </w:pPr>
          </w:p>
        </w:tc>
      </w:tr>
      <w:tr>
        <w:trPr>
          <w:trHeight w:val="405"/>
        </w:trPr>
        <w:tc>
          <w:tcPr>
            <w:tcW w:w="420" w:type="dxa"/>
            <w:vAlign w:val="bottom"/>
            <w:tcBorders>
              <w:bottom w:val="single" w:sz="8" w:color="CCEEFF"/>
            </w:tcBorders>
          </w:tcPr>
          <w:p>
            <w:pPr>
              <w:spacing w:after="0"/>
              <w:rPr>
                <w:sz w:val="24"/>
                <w:szCs w:val="24"/>
                <w:color w:val="auto"/>
              </w:rPr>
            </w:pPr>
          </w:p>
        </w:tc>
        <w:tc>
          <w:tcPr>
            <w:tcW w:w="7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9"/>
        </w:trPr>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7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r>
      <w:tr>
        <w:trPr>
          <w:trHeight w:val="216"/>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7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r>
      <w:tr>
        <w:trPr>
          <w:trHeight w:val="216"/>
        </w:trPr>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7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10"/>
        </w:trPr>
        <w:tc>
          <w:tcPr>
            <w:tcW w:w="420" w:type="dxa"/>
            <w:vAlign w:val="bottom"/>
          </w:tcPr>
          <w:p>
            <w:pPr>
              <w:spacing w:after="0"/>
              <w:rPr>
                <w:sz w:val="18"/>
                <w:szCs w:val="18"/>
                <w:color w:val="auto"/>
              </w:rPr>
            </w:pPr>
          </w:p>
        </w:tc>
        <w:tc>
          <w:tcPr>
            <w:tcW w:w="7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19,330</w:t>
            </w:r>
          </w:p>
        </w:tc>
      </w:tr>
      <w:tr>
        <w:trPr>
          <w:trHeight w:val="20"/>
        </w:trPr>
        <w:tc>
          <w:tcPr>
            <w:tcW w:w="4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220"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SNII issued 4,450,000 private placement warrants (“Private Warrants”) and 8,625,000 public warrants (“Public Warrants”). Each whole Private Warrant and Public Warrant entitles the holder to purchase one share of our Common Stock at a price of $11.50 per share, subject to adjustments, and will expire five years after completion of the Business Combination or earlier upon redemption or liquidation.</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Liability Classified Warrants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229" w:lineRule="exact"/>
        <w:rPr>
          <w:sz w:val="20"/>
          <w:szCs w:val="20"/>
          <w:color w:val="auto"/>
        </w:rPr>
      </w:pPr>
    </w:p>
    <w:p>
      <w:pPr>
        <w:jc w:val="both"/>
        <w:ind w:left="60" w:right="59" w:firstLine="486"/>
        <w:spacing w:after="0" w:line="257" w:lineRule="auto"/>
        <w:rPr>
          <w:sz w:val="20"/>
          <w:szCs w:val="20"/>
          <w:color w:val="auto"/>
        </w:rPr>
      </w:pPr>
      <w:r>
        <w:rPr>
          <w:rFonts w:ascii="Times New Roman" w:cs="Times New Roman" w:eastAsia="Times New Roman" w:hAnsi="Times New Roman"/>
          <w:sz w:val="18"/>
          <w:szCs w:val="18"/>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w:t>
      </w:r>
    </w:p>
    <w:p>
      <w:pPr>
        <w:spacing w:after="0" w:line="1" w:lineRule="exact"/>
        <w:rPr>
          <w:sz w:val="20"/>
          <w:szCs w:val="20"/>
          <w:color w:val="auto"/>
        </w:rPr>
      </w:pPr>
    </w:p>
    <w:p>
      <w:pPr>
        <w:jc w:val="both"/>
        <w:ind w:left="60" w:right="59" w:hanging="10"/>
        <w:spacing w:after="0" w:line="251" w:lineRule="auto"/>
        <w:tabs>
          <w:tab w:leader="none" w:pos="3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prior written notice of redemption is provided to the holders, and (ii) the last reported sale price of the Company’s Common Stock equals or exceeds $18.00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As of March 31, 2024, there were 9,802,138 Public Warrants issued and outstanding (Refer to Note 5 for fair value measurement). The Public Warrants are accounted for as a derivative liability. The fair value of the Public Warrants is measured at each reporting period based on the listed price for the warrants, with subsequent changes in the fair value recognized in the condensed consolidated statement of operations at each reporting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 calculated fair value of the derivative liability for the Public Warrants as of March 31, 2024 and December 31, 2023 was $2.4 million and $1.3 million, respectively. The change in the fair value of the Public Warrants included in the condensed consolidated statement of operations during the three months ended March 31, 2024 and 2023 was a loss of $1.1 million and $0.3 million, respectively.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Private Warrants</w:t>
      </w:r>
    </w:p>
    <w:p>
      <w:pPr>
        <w:spacing w:after="0" w:line="229" w:lineRule="exact"/>
        <w:rPr>
          <w:sz w:val="20"/>
          <w:szCs w:val="20"/>
          <w:color w:val="auto"/>
        </w:rPr>
      </w:pPr>
    </w:p>
    <w:p>
      <w:pPr>
        <w:jc w:val="both"/>
        <w:ind w:left="60" w:right="59" w:firstLine="486"/>
        <w:spacing w:after="0" w:line="253" w:lineRule="auto"/>
        <w:rPr>
          <w:sz w:val="20"/>
          <w:szCs w:val="20"/>
          <w:color w:val="auto"/>
        </w:rPr>
      </w:pPr>
      <w:r>
        <w:rPr>
          <w:rFonts w:ascii="Times New Roman" w:cs="Times New Roman" w:eastAsia="Times New Roman" w:hAnsi="Times New Roman"/>
          <w:sz w:val="18"/>
          <w:szCs w:val="18"/>
          <w:color w:val="auto"/>
        </w:rPr>
        <w:t>The Private Warrants may not be redeemed by the Company so long as the Private Warrants are held by the initial purchasers, or such purchasers’ permitted transferees. The Private Warrants have terms and provisions identical to those of the Public Warrants, including as to exercise price, exercisability and exercise period, except if the Private Warrants are held by someone other than the initial purchasers’ permitted transferees, then the Private Warrants are redeemable by the Company and exercisable by such holders on the same basis as the Public Warrants. On August 18, 2022, the Private Warrants were transferred from the initial purchasers to permitted transferees and remain unredeemable by the Company. As of March 31, 2024, there were 3,272,834 Private Warrants issued and outstanding (Refer to Note 5 for fair value measurement).The Private Warrants are accounted for as a derivative liability. The fair value of the Private Warrants is determined using the Black- Scholes option-pricing model, with subsequent changes in the fair value recognized in the condensed consolidated statements of operations at each reporting date.</w:t>
      </w:r>
    </w:p>
    <w:p>
      <w:pPr>
        <w:spacing w:after="0" w:line="194"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 calculated fair value of the derivative liability for the Private Warrants as of March 31, 2024 and December 31, 2023 was $3.1 million and $1.6 million, respectively. The change in the fair value of the Private Warrants included in the condensed consolidated statements of operations during the three months ended March 31, 2024 and 2023 was a loss of $1.5 million and $0.6 million, respectively.</w:t>
      </w:r>
    </w:p>
    <w:p>
      <w:pPr>
        <w:spacing w:after="0" w:line="180" w:lineRule="exact"/>
        <w:rPr>
          <w:sz w:val="20"/>
          <w:szCs w:val="20"/>
          <w:color w:val="auto"/>
        </w:rPr>
      </w:pPr>
    </w:p>
    <w:p>
      <w:pPr>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Significant inputs into the Black-Scholes option-pricing models used to value the Private Warrants at March 31, 2024 and December 31, 2023 are as follows: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Valuation Assumptions</w:t>
            </w:r>
          </w:p>
        </w:tc>
        <w:tc>
          <w:tcPr>
            <w:tcW w:w="30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21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 (%)</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 (%)</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time to expiration (years)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4"/>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Equity Classified Warrants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Series C Preferred Stock Financing Warrants</w:t>
      </w:r>
    </w:p>
    <w:p>
      <w:pPr>
        <w:spacing w:after="0" w:line="229"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During 2020, a subsidiary of Legacy Rigetti issued and sold an aggregate of 54.5 million shares of its Series C Preferred Stock at a purchase price of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have a $0.01 per share exercise price and a 10-year term to expiration. The Series C Warrants can be exercised for cash or on a cashless basis. As of March 31, 2024, there were 972,578 Series C Warrants issued and outstanding.</w:t>
      </w:r>
    </w:p>
    <w:p>
      <w:pPr>
        <w:spacing w:after="0" w:line="187"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 Company determined that the Series C Warrants met the requirements for equity classification under ASC 480 and ASC 815. The Company estimated the fair value of the Series C Warrants using the Black-Scholes model and allocated approximately $1.2 million in proceeds from the Series C Preferred Stock to the value of the Series C Warrants on a relative fair value basis, which was recorded to additional paid in capital.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Customer Warrant</w:t>
      </w:r>
    </w:p>
    <w:p>
      <w:pPr>
        <w:spacing w:after="0" w:line="229"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In February 2020, the Company issued a warrant to purchase 2,680,607 shares of Class A Common Stock to a customer in conjunction with a revenue arrangement (the “Customer Warrant”). The Customer Warrant has an exercise price of $1.152 per share and has a 10-year term to expiration. 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 The Customer Warrant was assumed by the Company in connection with the Business Combination and converted into a warrant to purchase shares of Common Stock.</w:t>
      </w:r>
    </w:p>
    <w:p>
      <w:pPr>
        <w:spacing w:after="0" w:line="192"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March 31, 2024, the deferred asset balance outstanding is approximately $0.1 million, which will be recognized as a reduction in revenue in future periods.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vesting status of the Customer Warrant is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Customer Warrant shares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1,340,297</w:t>
            </w:r>
          </w:p>
        </w:tc>
        <w:tc>
          <w:tcPr>
            <w:tcW w:w="3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1,340,297</w:t>
            </w:r>
          </w:p>
        </w:tc>
      </w:tr>
      <w:tr>
        <w:trPr>
          <w:trHeight w:val="216"/>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Unvested Customer Warrant shares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1,340,310</w:t>
            </w:r>
          </w:p>
        </w:tc>
        <w:tc>
          <w:tcPr>
            <w:tcW w:w="3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1,340,310</w:t>
            </w:r>
          </w:p>
        </w:tc>
      </w:tr>
      <w:tr>
        <w:trPr>
          <w:trHeight w:val="210"/>
        </w:trPr>
        <w:tc>
          <w:tcPr>
            <w:tcW w:w="6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2,680,607</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2,680,607</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Earn-out Liabilities</w:t>
      </w:r>
    </w:p>
    <w:p>
      <w:pPr>
        <w:spacing w:after="0" w:line="229"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Upon the closing of the Business Combination on March 2, 2022, SNII, Supernova Partners II, LLC and SNII’s directors and officers (collectively the “Sponsor Holders”) subjected certain shares of Common Stock that they own (the “Sponsor Vesting Shares”) to forfeiture for a five-year period following the closing of the Business Combination, with vesting occurring only if thresholds related to the weighted average price of Common Stock are met as described below (the “Earn-out Triggering Events”). Any such shares held by the Sponsor Holders that have not vested by the fifth anniversary of the closing of the Business Combination will be forfeited.</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Sponsor Vesting Shares – Vesting Provisions:</w:t>
      </w:r>
    </w:p>
    <w:p>
      <w:pPr>
        <w:spacing w:after="0" w:line="225" w:lineRule="exact"/>
        <w:rPr>
          <w:sz w:val="20"/>
          <w:szCs w:val="20"/>
          <w:color w:val="auto"/>
        </w:rPr>
      </w:pPr>
    </w:p>
    <w:p>
      <w:pPr>
        <w:jc w:val="both"/>
        <w:ind w:left="1040" w:right="79" w:hanging="477"/>
        <w:spacing w:after="0" w:line="258"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2,479,000 shares of Common Stock held by the Sponsor Holders became unvested and subject to forfeiture as of the closing of the Business Combination and will only vest if, during the five year period following the closing of the Business Combination, the volume weighted average price of Common Stock equals or exceeds $12.50 for any twenty trading days within a period of thirty consecutive trading days (such shares, the “Promote Sponsor Vesting Shares”), and</w:t>
      </w:r>
    </w:p>
    <w:p>
      <w:pPr>
        <w:spacing w:after="0" w:line="183" w:lineRule="exact"/>
        <w:rPr>
          <w:rFonts w:ascii="Times New Roman" w:cs="Times New Roman" w:eastAsia="Times New Roman" w:hAnsi="Times New Roman"/>
          <w:sz w:val="18"/>
          <w:szCs w:val="18"/>
          <w:color w:val="auto"/>
        </w:rPr>
      </w:pPr>
    </w:p>
    <w:p>
      <w:pPr>
        <w:jc w:val="both"/>
        <w:ind w:left="1040" w:right="79" w:hanging="477"/>
        <w:spacing w:after="0" w:line="255"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580,273 shares of Common Stock held by the Sponsor Holders became unvested and subject to forfeiture as of the closing of the Business Combination and will only vest if, during the five year period following the closing of the Business Combination, the volume weighted average price of Common Stock equals or exceeds $15.00 for any twenty trading days within a period of thirty consecutive trading days (such shares, the “Sponsor Redemption-Based Vesting Shares,” and, collectively with the Promote Sponsor Vesting Shares, the “Sponsor Vesting Shares”). Any such shares held by the Sponsor Holders that remain unvested after the fifth anniversary of the closing of the Business Combination will be forfeited.</w:t>
      </w:r>
    </w:p>
    <w:p>
      <w:pPr>
        <w:spacing w:after="0" w:line="189" w:lineRule="exact"/>
        <w:rPr>
          <w:sz w:val="20"/>
          <w:szCs w:val="20"/>
          <w:color w:val="auto"/>
        </w:rPr>
      </w:pPr>
    </w:p>
    <w:p>
      <w:pPr>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The Earn-out liabilities are adjusted to fair value each reporting period using the Monte Carlo simulation model until such time as the Earn-Out Triggering Events are achieved or the Sponsor Vesting Shares are forfeited.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92"/>
        <w:spacing w:after="0" w:line="261" w:lineRule="auto"/>
        <w:rPr>
          <w:sz w:val="20"/>
          <w:szCs w:val="20"/>
          <w:color w:val="auto"/>
        </w:rPr>
      </w:pPr>
      <w:r>
        <w:rPr>
          <w:rFonts w:ascii="Times New Roman" w:cs="Times New Roman" w:eastAsia="Times New Roman" w:hAnsi="Times New Roman"/>
          <w:sz w:val="18"/>
          <w:szCs w:val="18"/>
          <w:color w:val="auto"/>
        </w:rPr>
        <w:t>The calculated fair value of the Earn-out liabilities with respect to the Sponsor Vesting Shares as of March 31, 2024 and December 31, 2023 was $3.8 million and $2.2 million, respectively. The change in the fair value of the Earn-out liabilities included in the condensed consolidated statements of operations during the three months ended March 31, 2024 and 2023, was a loss of $1.6 million and $0.3 million, respectively.</w:t>
      </w:r>
    </w:p>
    <w:p>
      <w:pPr>
        <w:spacing w:after="0" w:line="180"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Significant inputs into the Monte Carlo simulation models as of March 31, 2024 and December 31, 2023 are as follows: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Valuation Assumptions</w:t>
            </w: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Stock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0.98</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Simulated trading days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volatility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time to expiration (in years)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has reserved the following shares of Common Stock for issuance upon the conversion, exercise or vesting of the underlying instruments: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16,763,305</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Awards—RSUs Outstanding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10,152,106</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Awards—Options Outstanding</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7,308,084</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34,223,495</w:t>
            </w:r>
          </w:p>
        </w:tc>
      </w:tr>
      <w:tr>
        <w:trPr>
          <w:trHeight w:val="20"/>
        </w:trPr>
        <w:tc>
          <w:tcPr>
            <w:tcW w:w="7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At-the-Market Offering Agreement</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On March 15, 2024, the Company entered into an At-the-Market (“ATM”) Sales Agreement (the “ATM Agreement”) with B. Riley Securities, Inc. (“B. Riley”) and Needham &amp; Company, LLC (“Needham”; each of B. Riley and Needham, a “Sales Agent” and collectively, the “Sales Agents”), pursuant to which the Company may offer and sell, from time to time in its sole discretion, shares of its common stock, having an aggregate offering price of up to $100,000,000, subject to certain limitations as set forth in the ATM Agreement. The Company is not obligated to make any sales under the ATM Agreement.</w:t>
      </w:r>
    </w:p>
    <w:p>
      <w:pPr>
        <w:spacing w:after="0" w:line="120" w:lineRule="exact"/>
        <w:rPr>
          <w:sz w:val="20"/>
          <w:szCs w:val="20"/>
          <w:color w:val="auto"/>
        </w:rPr>
      </w:pPr>
    </w:p>
    <w:p>
      <w:pPr>
        <w:jc w:val="both"/>
        <w:ind w:left="60" w:right="59" w:firstLine="480"/>
        <w:spacing w:after="0" w:line="255" w:lineRule="auto"/>
        <w:rPr>
          <w:sz w:val="20"/>
          <w:szCs w:val="20"/>
          <w:color w:val="auto"/>
        </w:rPr>
      </w:pPr>
      <w:r>
        <w:rPr>
          <w:rFonts w:ascii="Times New Roman" w:cs="Times New Roman" w:eastAsia="Times New Roman" w:hAnsi="Times New Roman"/>
          <w:sz w:val="18"/>
          <w:szCs w:val="18"/>
          <w:color w:val="auto"/>
        </w:rPr>
        <w:t>Any shares offered and sold in the ATM offering will be issued pursuant to the Company’s effective shelf registration statement on Form S-3 and the related prospectus supplement. Under the ATM Agreement, the sales agents may sell shares of common stock by any method permitted by law deemed to be an “at the market offering” as defined in Rule 415(a)(4) of the Securities Act of 1933, as amended. The Company will pay the sales agents a commission rate of 2.5% of the gross sales proceeds of any shares sold and has agreed to provide the sales agents with customary indemnification, contribution and reimbursement rights. The ATM Agreement contains customary representations and warranties and conditions to the placements of the shares pursuant thereto.</w:t>
      </w:r>
    </w:p>
    <w:p>
      <w:pPr>
        <w:spacing w:after="0" w:line="121" w:lineRule="exact"/>
        <w:rPr>
          <w:sz w:val="20"/>
          <w:szCs w:val="20"/>
          <w:color w:val="auto"/>
        </w:rPr>
      </w:pPr>
    </w:p>
    <w:p>
      <w:pPr>
        <w:jc w:val="both"/>
        <w:ind w:left="60" w:right="59" w:firstLine="48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Company raised gross proceeds of $11.3 million pursuant to the ATM offering through the sale of 6,645,982 shares of its common stock at a weighted average price of $1.69 per share. The net proceeds from the ATM offering during the period were $11.0 million after deducting sales agent commissions of $0.3 million and offering expense of less than $0.1 million. As of March 31, 2024, up to $88.7 million of Company common stock remains available for sale pursuant to the ATM offering.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229"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The Company entered into a Common Stock Purchase Agreement (the “Purchase Agreement”) with B. Riley Principal Capital II, LLC (“B. Riley”) on August 11, 2022 pursuant to which the Company was able to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Purchase Agreement).</w:t>
      </w:r>
    </w:p>
    <w:p>
      <w:pPr>
        <w:spacing w:after="0" w:line="18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In consideration of the parties entering into the foregoing agreement, the parties also entered into a Registration Rights Agreement on August 11, 2022, pursuant to which the Company provides B. Riley with registration rights with respect to such Common Stock and pursuant to which the Company filed a registration statement covering the resale of such Common Stock.</w:t>
      </w:r>
    </w:p>
    <w:p>
      <w:pPr>
        <w:spacing w:after="0" w:line="180"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received proceeds of $12.8 million, from the issuance and sale of 10,056,799 shares of Common Stock to B. Riley under the Purchase Agreement. As of March 31, 2024, there are no remaining shares available for sale under the Purchase Agreement; the agreement has terminated.</w:t>
      </w:r>
    </w:p>
    <w:p>
      <w:pPr>
        <w:spacing w:after="0" w:line="176"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The Company was not able to sell Common Stock under the Purchase Agreement for an extended period in early 2023 while its share price was trading below $1.00 per share. As a result, the Company recognized $0.8 million of impairment charges during the three months ended March 31, 2023 for previously deferred offering costs, primarily related to the Purchase Agreement, which were recorded as selling, general and administrative expense in the accompanying condensed consolidated statement of operations.</w:t>
      </w:r>
    </w:p>
    <w:p>
      <w:pPr>
        <w:spacing w:after="0" w:line="179" w:lineRule="exact"/>
        <w:rPr>
          <w:sz w:val="20"/>
          <w:szCs w:val="20"/>
          <w:color w:val="auto"/>
        </w:rPr>
      </w:pPr>
    </w:p>
    <w:p>
      <w:pPr>
        <w:jc w:val="right"/>
        <w:ind w:left="540" w:right="6399" w:hanging="490"/>
        <w:spacing w:after="0" w:line="503" w:lineRule="auto"/>
        <w:tabs>
          <w:tab w:leader="none" w:pos="43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2013 Equity Incentive Plan</w:t>
      </w: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In 2013, the Company adopted the 2013 Equity Incentive Plan ( the “2013 Plan”) which provided for the grant of qualified incentive stock options (“ISOs”), nonqualified stock options (“NSOs”), restricted stock, restricted stock units (“RSUs”) or other awards to the Company’s employees, officers, directors, advisors, and outside consultants. After the Business Combination became effective on March 2, 2022, no additional awards were issued under the 2013 Plan. Awards outstanding under the 2013 Plan will continue to be governed by such plan; however, the Company will not grant any further awards under the 2013 Plan.</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(Note 2), the shareholders approved the Rigetti Computing, Inc. 2022 Equity Incentive Plan (the “2022 Plan”) which provides for the grant of ISOs, NSOs, stock appreciation rights, restricted stock awards, RSUs, performance awards and other forms of awards to employees, directors, and consultants, including employees and consultants of the Company’s affiliates. As of March 31, 2024, there were 27,793,002 shares of common stock reserved for issuance under the 2022 Plan, of which 13,225,115 shares remain available for future issuance. The number of shares reserved for issuance under the 2022 Plan will automatically increase on January 1st of each year for a period of nine years commencing on January 1, 2023 and ending on (and including) January 1, 2032, in an amount equal to 5% of the total number of shares of common stock of all classes outstanding on a fully diluted basis on December 31 of the preceding year; provided, however, that the board of directors of the Company may act prior to January 1st of a given year to provide that the increase for such year will be a lesser number of shares of Common Stock. Accordingly, as of January 1, 2024, the number of shares of common stock reserved for issuance under the “2022 Plan” increased by 9,119,816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is a summary of stock option activity during the three months ended March 31, 2024:</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3"/>
                <w:szCs w:val="13"/>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7,049,290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March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7,308,084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March 31, 2024</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3,036,084</w:t>
            </w:r>
          </w:p>
        </w:tc>
        <w:tc>
          <w:tcPr>
            <w:tcW w:w="3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months ended March 31, 2024 and 2023 was $1.74 and $0.55 per share, respectively. The intrinsic value of an option is the amount by which the market price of the underlying common stock exceeds the option’s exercise price. The intrinsic value of stock options exercised during the three months ended March 31, 2024 and 2023 was $0.3 million and $1.2 million, respectively. The Company received proceeds from stock option exercises of $0.1 million and $0.8 million during the three months ended March 31, 2024 and 2023, respectively.</w:t>
      </w:r>
    </w:p>
    <w:p>
      <w:pPr>
        <w:spacing w:after="0" w:line="187"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related to stock options granted to employees was $0.4 million for each of the three months ended March 31, 2024 and 2023, respectively. As of March 31, 2024, the unrecognized compensation expense related to unvested stock options was $4.0 million, which is expected to be recognized over a weighted-average period of 2.69 years.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Fair Value of Stock Option Grants</w:t>
      </w:r>
    </w:p>
    <w:p>
      <w:pPr>
        <w:spacing w:after="0" w:line="229"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option-pricing model that uses the assumptions noted in the table below. Expected volatility for the Company’s Common Stock was determined based on a blended average of the historical volatility of a peer group of similar public companies and the implied volatility from the Company’s traded warrants. The Company has not been public for a sufficient length of time to derive expected volatility from trading in its common stock. The expected term of stock options granted was calculated using the simplified method, which represents the average of the contractual term and the weighted-average vesting period of the option. The Company uses the simplified method because it does not have sufficient historical option exercise data to provide a reasonable basis upon which to estimate expected term.</w:t>
      </w:r>
    </w:p>
    <w:p>
      <w:pPr>
        <w:spacing w:after="0" w:line="192"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 assumed dividend yield is based upon the Company’s expectation of not paying dividends in the foreseeable future. The risk-free rate is based upon the U.S. Treasury yield curve in effect at the time of grant for the period equivalent to the expected term of the stock option. In determining the exercise prices for stock options granted, the Company’s board of directors has utilized the fair value of the Common Stock as of the grant date.</w:t>
      </w:r>
    </w:p>
    <w:p>
      <w:pPr>
        <w:spacing w:after="0" w:line="180"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Before the Business Combination,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 the composition and ability of the current engineering and management team, an evaluation or benchmark of the Company’s competition, the current business climate in the marketplace, the illiquid nature of the Company’s common stock, arm’s-length sales of the Company’s capital stock, the effect of the rights and preferences of the preferred shareholders, and the prospects of a liquidity event, among others. All of the Company’s outstanding stock options have a time-based vesting condition ranging from 1-5 years, except that 500,000 stock options granted in 2022 have a market-based vesting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The weighted average valuation assumptions used as inputs to the Black-Scholes option-pricing model to value stock options granted during the three months ended March 31, 2024, were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w:t>
            </w:r>
          </w:p>
        </w:tc>
        <w:tc>
          <w:tcPr>
            <w:tcW w:w="0" w:type="dxa"/>
            <w:vAlign w:val="bottom"/>
          </w:tcPr>
          <w:p>
            <w:pPr>
              <w:spacing w:after="0"/>
              <w:rPr>
                <w:sz w:val="1"/>
                <w:szCs w:val="1"/>
                <w:color w:val="auto"/>
              </w:rPr>
            </w:pPr>
          </w:p>
        </w:tc>
      </w:tr>
      <w:tr>
        <w:trPr>
          <w:trHeight w:val="148"/>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Valuation Assumptions</w:t>
            </w:r>
          </w:p>
        </w:tc>
        <w:tc>
          <w:tcPr>
            <w:tcW w:w="2680" w:type="dxa"/>
            <w:vAlign w:val="bottom"/>
            <w:vMerge w:val="restart"/>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jc w:val="right"/>
              <w:ind w:right="719"/>
              <w:spacing w:after="0" w:line="149" w:lineRule="exact"/>
              <w:rPr>
                <w:sz w:val="20"/>
                <w:szCs w:val="20"/>
                <w:color w:val="auto"/>
              </w:rPr>
            </w:pPr>
            <w:r>
              <w:rPr>
                <w:rFonts w:ascii="Times New Roman" w:cs="Times New Roman" w:eastAsia="Times New Roman" w:hAnsi="Times New Roman"/>
                <w:sz w:val="14"/>
                <w:szCs w:val="14"/>
                <w:b w:val="1"/>
                <w:bCs w:val="1"/>
                <w:color w:val="auto"/>
              </w:rPr>
              <w:t>Grants</w:t>
            </w:r>
          </w:p>
        </w:tc>
        <w:tc>
          <w:tcPr>
            <w:tcW w:w="0" w:type="dxa"/>
            <w:vAlign w:val="bottom"/>
          </w:tcPr>
          <w:p>
            <w:pPr>
              <w:spacing w:after="0"/>
              <w:rPr>
                <w:sz w:val="1"/>
                <w:szCs w:val="1"/>
                <w:color w:val="auto"/>
              </w:rPr>
            </w:pPr>
          </w:p>
        </w:tc>
      </w:tr>
      <w:tr>
        <w:trPr>
          <w:trHeight w:val="180"/>
        </w:trPr>
        <w:tc>
          <w:tcPr>
            <w:tcW w:w="142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tcPr>
          <w:p>
            <w:pPr>
              <w:jc w:val="center"/>
              <w:ind w:right="299"/>
              <w:spacing w:after="0" w:line="160" w:lineRule="exact"/>
              <w:rPr>
                <w:sz w:val="20"/>
                <w:szCs w:val="20"/>
                <w:color w:val="auto"/>
              </w:rPr>
            </w:pPr>
            <w:r>
              <w:rPr>
                <w:rFonts w:ascii="Times New Roman" w:cs="Times New Roman" w:eastAsia="Times New Roman" w:hAnsi="Times New Roman"/>
                <w:sz w:val="14"/>
                <w:szCs w:val="14"/>
                <w:b w:val="1"/>
                <w:bCs w:val="1"/>
                <w:color w:val="auto"/>
              </w:rPr>
              <w:t>March 18, 2024</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Strike price</w:t>
            </w:r>
          </w:p>
        </w:tc>
        <w:tc>
          <w:tcPr>
            <w:tcW w:w="25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volatility (%)</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 (%)</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is a summary of RSU activity during the three months ended March 31, 2024:</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5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11,517,422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(1,322,630)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10,152,106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 aggregate fair value of outstanding RSUs based on the closing share price of the Company’s common stock at March 31, 2024, was $15.5 million. The total fair value of RSUs that vested during the three months ended March 31, 2024 and 2023, based on the closing price of the Company’s common stock on the vesting date, was $2.1 million and $0.7 million, respectively.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Fair Value of RSUs Awards</w:t>
      </w:r>
    </w:p>
    <w:p>
      <w:pPr>
        <w:spacing w:after="0" w:line="229" w:lineRule="exact"/>
        <w:rPr>
          <w:sz w:val="20"/>
          <w:szCs w:val="20"/>
          <w:color w:val="auto"/>
        </w:rPr>
      </w:pPr>
    </w:p>
    <w:p>
      <w:pPr>
        <w:jc w:val="both"/>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issued 640,730 time-based RSUs. The time-based RSUs vest over periods ranging from 1-4 years and require continuous employment.</w:t>
      </w:r>
    </w:p>
    <w:p>
      <w:pPr>
        <w:spacing w:after="0" w:line="162"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2023, the Company issued 919,545 time-based RSUs and 3,850,000 market-based RSUs. The time-based RSUs vest over periods ranging from 1-4 years and require continuous employment. The market-based RSUs vest only if certain share price thresholds are achieved and require continuous employment. Based upon the terms of such awards, 50% of the shares vest if the Company’s Common Stock trades at or above $2.00 per share, and the other 50% of the shares vest if the Company’s Common Stock trades at or above $4.00 per share, for 20 out of 30 trading days through the fifth anniversary of the grant date.</w:t>
      </w:r>
    </w:p>
    <w:p>
      <w:pPr>
        <w:spacing w:after="0" w:line="187"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 fair value of the Company’s time-based RSUs was calculated based on the fair market value of the Company’s common stock on the date of grant. The fair value of the Company’s market-based RSUs was calculated using a Monte Carlo simulation model at the date of grant. The weighted-average grant date fair value for RSUs granted in the three months ended March 31, 2024 and 2023 was $2.03 and $0.57 per RSU, respectively.</w:t>
      </w:r>
    </w:p>
    <w:p>
      <w:pPr>
        <w:spacing w:after="0" w:line="180"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related to RSUs granted to employees was $2.6 million and $1.3 million for the three months ended March 31, 2024 and 2023, respectively. As of March 31, 2024, the unrecognized compensation expense related to unvested RSUs was $17.2 million which is expected to be recognized over a weighted-average period of 1.65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Summarized Stock-Based Compensation Expenses</w:t>
      </w:r>
    </w:p>
    <w:p>
      <w:pPr>
        <w:spacing w:after="0" w:line="229" w:lineRule="exact"/>
        <w:rPr>
          <w:sz w:val="20"/>
          <w:szCs w:val="20"/>
          <w:color w:val="auto"/>
        </w:rPr>
      </w:pPr>
    </w:p>
    <w:p>
      <w:pPr>
        <w:ind w:left="60" w:right="259" w:firstLine="492"/>
        <w:spacing w:after="0" w:line="282" w:lineRule="auto"/>
        <w:rPr>
          <w:sz w:val="20"/>
          <w:szCs w:val="20"/>
          <w:color w:val="auto"/>
        </w:rPr>
      </w:pPr>
      <w:r>
        <w:rPr>
          <w:rFonts w:ascii="Times New Roman" w:cs="Times New Roman" w:eastAsia="Times New Roman" w:hAnsi="Times New Roman"/>
          <w:sz w:val="18"/>
          <w:szCs w:val="18"/>
          <w:color w:val="auto"/>
        </w:rPr>
        <w:t>The table below summarizes total stock-based compensation expenses for the three months ended March 31, 2024 and 2023, respectively (in thousands):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Borders>
              <w:bottom w:val="single" w:sz="8" w:color="CCEEFF"/>
            </w:tcBorders>
          </w:tcPr>
          <w:p>
            <w:pPr>
              <w:spacing w:after="0"/>
              <w:rPr>
                <w:sz w:val="18"/>
                <w:szCs w:val="18"/>
                <w:color w:val="auto"/>
              </w:rPr>
            </w:pPr>
          </w:p>
        </w:tc>
      </w:tr>
      <w:tr>
        <w:trPr>
          <w:trHeight w:val="209"/>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Revenue Recognition</w:t>
      </w:r>
    </w:p>
    <w:p>
      <w:pPr>
        <w:spacing w:after="0" w:line="229" w:lineRule="exact"/>
        <w:rPr>
          <w:sz w:val="20"/>
          <w:szCs w:val="20"/>
          <w:color w:val="auto"/>
        </w:rPr>
      </w:pPr>
    </w:p>
    <w:p>
      <w:pPr>
        <w:jc w:val="both"/>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depict the disaggregation of revenue according to the type of good or service and timing of transfer of goods or services for the three months ended March 31, 2024 and 2023, respectively (in thousands):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6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Collaborative research, other professional services and related materials</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2,837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 w:type="dxa"/>
            <w:vAlign w:val="bottom"/>
            <w:shd w:val="clear" w:color="auto" w:fill="CCEEFF"/>
          </w:tcPr>
          <w:p>
            <w:pPr>
              <w:spacing w:after="0"/>
              <w:rPr>
                <w:sz w:val="18"/>
                <w:szCs w:val="18"/>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Access to quantum computing systems</w:t>
            </w:r>
          </w:p>
        </w:tc>
        <w:tc>
          <w:tcPr>
            <w:tcW w:w="4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Borders>
              <w:bottom w:val="single" w:sz="8" w:color="CCEEFF"/>
            </w:tcBorders>
          </w:tcPr>
          <w:p>
            <w:pPr>
              <w:spacing w:after="0"/>
              <w:rPr>
                <w:sz w:val="18"/>
                <w:szCs w:val="18"/>
                <w:color w:val="auto"/>
              </w:rPr>
            </w:pPr>
          </w:p>
        </w:tc>
      </w:tr>
      <w:tr>
        <w:trPr>
          <w:trHeight w:val="209"/>
        </w:trPr>
        <w:tc>
          <w:tcPr>
            <w:tcW w:w="5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3,052</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5"/>
        </w:trPr>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6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gridSpan w:val="2"/>
          </w:tcPr>
          <w:p>
            <w:pPr>
              <w:spacing w:after="0"/>
              <w:rPr>
                <w:sz w:val="12"/>
                <w:szCs w:val="12"/>
                <w:color w:val="auto"/>
              </w:rPr>
            </w:pPr>
          </w:p>
        </w:tc>
        <w:tc>
          <w:tcPr>
            <w:tcW w:w="780" w:type="dxa"/>
            <w:vAlign w:val="bottom"/>
            <w:tcBorders>
              <w:bottom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48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4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0" w:type="dxa"/>
            <w:vAlign w:val="bottom"/>
            <w:tcBorders>
              <w:bottom w:val="single" w:sz="8" w:color="auto"/>
            </w:tcBorders>
          </w:tcPr>
          <w:p>
            <w:pPr>
              <w:spacing w:after="0"/>
              <w:rPr>
                <w:sz w:val="18"/>
                <w:szCs w:val="18"/>
                <w:color w:val="auto"/>
              </w:rPr>
            </w:pPr>
          </w:p>
        </w:tc>
      </w:tr>
      <w:tr>
        <w:trPr>
          <w:trHeight w:val="210"/>
        </w:trPr>
        <w:tc>
          <w:tcPr>
            <w:tcW w:w="56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Selected condensed consolidated balance sheet line items that reflect accounts receivable, contract assets and liabilities as of March 31, 2024 and December 31, 2023 were as follows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06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66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68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Changes in deferred revenue from contracts with customers were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Deferral of revenue</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shd w:val="clear" w:color="auto" w:fill="CCEEFF"/>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Amounts recognized as revenue from beginning contract liabilities during the three months ended March 31, 2024 and 2023, totaled $0.2 million and $0.4 million, respectively. Remaining performance obligations represent the portion of the transaction price that has not yet been satisfied or achieved. As of March 31, 2024, the aggregate amount of the transaction price allocated to remaining performance obligations was approximately $9.0 million. The Company expects to recognize estimated revenues related to performance obligations that are unsatisfied (or partially satisfied) during the next twelve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The Company has not identified any costs that are incremental to the acquisition of customer contracts that would be capitalized as deferred costs on the balance sheet in accordance with ASC 340-40. Accordingly, the Company does not have any capitalized contract fulfillment costs as of March 31, 2024 or December 31,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Concentrations, Significant Customers and Geographic Areas</w:t>
      </w:r>
    </w:p>
    <w:p>
      <w:pPr>
        <w:spacing w:after="0" w:line="229" w:lineRule="exact"/>
        <w:rPr>
          <w:sz w:val="20"/>
          <w:szCs w:val="20"/>
          <w:color w:val="auto"/>
        </w:rPr>
      </w:pPr>
    </w:p>
    <w:p>
      <w:pPr>
        <w:jc w:val="both"/>
        <w:ind w:left="60" w:right="59" w:firstLine="405"/>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short-term investments in the form of U.S government agency bonds and corporate bonds, and trade accounts receivable. The Company’s cash and cash equivalents and short-term investments are placed with high-credit-quality financial institutions, and at times exceed federally insured limits. To date, the Company has not experienced any credit loss relating to its cash and cash equivalents or short-term investments.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Significant customers that represent 10% or more of revenue are set forth in the following tables: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21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7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r>
      <w:tr>
        <w:trPr>
          <w:trHeight w:val="234"/>
        </w:trPr>
        <w:tc>
          <w:tcPr>
            <w:tcW w:w="6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Customer accounted for less than 10% of revenue in the respective periods.</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sales to government entities comprised 97.4% and 82.1% of the Company’s total revenue,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 customers that represent 10% or more of accounts receivable are set forth in the following tables: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540" w:right="2079" w:hanging="4"/>
        <w:spacing w:after="0" w:line="531" w:lineRule="auto"/>
        <w:tabs>
          <w:tab w:leader="none" w:pos="6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accounted for less than 10% of accounts receivable in the respective periods. The following table presents a summary of revenue by geography (in thousands):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1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Revenues from external customers are attributed to individual countries based on the physical location in which the services are provided or the particular customer location with whom the Company has contracted.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jc w:val="both"/>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(in thousands, except for per share amounts):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9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(23,354)</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8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151,855</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124,778</w:t>
            </w:r>
          </w:p>
        </w:tc>
      </w:tr>
      <w:tr>
        <w:trPr>
          <w:trHeight w:val="210"/>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8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4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There are 3,059,273 Sponsor Vesting Shares that were not included in the computations of basic and diluted net loss per share for the three months ended March 31, 2024 and 2023, respectively, because the contingencies for the issuance of these shares have not been met. The weighted-average common shares outstanding for the three months ended March 31, 2024 and 2023, respectively, include 972,578 and 1,401,126 weighted-average shares for warrants having an exercise price of $0.01 per share each, respectively.</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have been excluded from the computation of diluted net loss per share as the effect would be anti-dilutive. Therefore, the weighted average number of common shares outstanding used to calculate both basic and diluted net loss per share is the same.</w:t>
      </w:r>
    </w:p>
    <w:p>
      <w:pPr>
        <w:spacing w:after="0" w:line="180"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from the computation of diluted net loss per share for the three months ended March 31,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1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 (1)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14,450,417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14,450,445</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7,308,084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6,120,084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10,152,106</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11,682,373</w:t>
            </w:r>
          </w:p>
        </w:tc>
        <w:tc>
          <w:tcPr>
            <w:tcW w:w="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31,910,607</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32,252,902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3" w:lineRule="exact"/>
        <w:rPr>
          <w:sz w:val="20"/>
          <w:szCs w:val="20"/>
          <w:color w:val="auto"/>
        </w:rPr>
      </w:pPr>
    </w:p>
    <w:p>
      <w:pPr>
        <w:ind w:left="380" w:right="79" w:hanging="330"/>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outstanding warrants does not include unvested Customer Warrants for 1,340,310 shares as of March 31, 2024 and 2023,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The Company did not record income tax expense for the three months ended March 31, 2024 and 2023, respectively, due to the Company’s loss position and full valuation allowance.</w:t>
      </w:r>
    </w:p>
    <w:p>
      <w:pPr>
        <w:spacing w:after="0" w:line="162"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The effective tax rate differs from the statutory rate, primarily due to the Company’s history of incurring losses which have not been benefited and other permanent differences. Realization of deferred tax assets is dependent upon future earnings, if any, the timing and amount of which are uncertain.</w:t>
      </w:r>
    </w:p>
    <w:p>
      <w:pPr>
        <w:spacing w:after="0" w:line="176"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The Company has deferred tax assets as a result of temporary differences between the taxable income on its tax returns and GAAP income, R&amp;D tax credit carry forwards and federal and state net operating loss carry forwards. A deferred tax asset generally represents future tax benefits to be received when temporary differences previously reported in the Company’s condensed consolidated financial statements become deductible for income tax purposes, when net operating loss carry forwards could be applied against future taxable income, or when tax credit carry forwards are utilized in the Company’s tax returns. Realization of deferred tax assets is dependent upon future earnings, if any, the timing and amount of which are uncertain. Accordingly, the net U.S. federal and state deferred tax assets have been fully offset by a valuation allowance.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86"/>
        <w:spacing w:after="0" w:line="252"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Company’s federal net operating loss carryforwards and research and development tax credit carryforwards, and other tax attributes are subject to annual limitation because of prior cumulative changes in the Company’s ownership and may be further limited in the future if additional ownership changes occur. Similar rules apply under state tax laws. These ownership changes limit the amount of net operating loss carryforwards and research and development tax credit carryforwards that can be utilized annually to reduce the Company’s federal and state income tax liability, if any. Such annual limitations could result in the expiration of the net operating loss carryforwards and research and development tax credit carryforwards before their utilization. During the year ended December 31, 2023, the Company assessed whether an ownership change, as defined by Section 382, occurred from its formation through December 31, 2022. Based upon this assessment, the Company reduced the gross deferred tax assets related to its federal and state net operating loss carryforwards and federal research and development tax credit carryforwards. For financial statement purposes, the Company previously included the federal and state net operating loss carryforwards and research and development tax credit carryforwards in the deferred tax assets with a full valuation allowance. Due to the valuation allowance, the reduction in the net operating loss carryforwards and research and development tax credit carryforwards did not have an impact on the Company’s net loss for the year ended December 31, 2023.</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Restructuring and severance</w:t>
      </w:r>
    </w:p>
    <w:p>
      <w:pPr>
        <w:spacing w:after="0" w:line="229"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In February 2023, the Company announced an updated business strategy, including revisions to the Company’s technology roadmap. In connection with this updated strategy, the Company implemented a workforce reduction to focus the organization and its resources on nearer-term strategic priorities. The reduction in the workforce impacted approximately 50 employees or approximately 28% of the Company’s then workforce. Affected employees were offered separation benefits, including severance payments and temporary healthcare coverage assistance. The Company began implementing activities with respect to the revised business plan, updated technology roadmap and reduction in workforce in February 2023 and incurred a restructuring charge of $1.0 million which was paid in full during 2023. Work activities regarding the revised business plan and updated technology roadmap are ongoing.</w:t>
      </w:r>
    </w:p>
    <w:p>
      <w:pPr>
        <w:spacing w:after="0" w:line="192"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charge for restructuring, the Company also incurred $1.0 million for contractual severance benefits related to executive officers of the Company that were terminated in the year ended December 31, 2023. The remaining balance in the Company’s accrual for contractual severance benefits related to executive officers as of December 31, 2023 of $0.2 million was paid out monthly through February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17) Contingencies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party to litigation and other legal proceedings in the ordinary course of business. While the results of any litigation or other legal proceedings are uncertain, the Company is not currently a party to any material legal proceedings that, if determined adversely to the Company, would individually or taken together have a material adverse effect on the Company’s business, financial position, results of operations or cash flows. The Company accrues loss contingencies when it is both probable that a loss will be incurred and when the amount of the loss or range of loss can be reasonably estimated.</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Indemnification Provisions</w:t>
      </w:r>
    </w:p>
    <w:p>
      <w:pPr>
        <w:spacing w:after="0" w:line="229"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The Company’s agreements include provisions indemnifying customers against intellectual property and other third-party claims. In addition, the Company has entered into indemnification agreements with its directors, executive officers and certain other officers that require the Company, among other things, to indemnify them against certain liabilities that may arise as a result of their affiliation with the Company. The Company has not incurred any costs as a result of such indemnification obligations and has not recorded any liabilities related to such obligations in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ind w:left="60" w:right="59" w:firstLine="486"/>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condensed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Part I “Item 1A. Risk Factors” in our Annual Report on Form 10-K for the year ended December 31, 2023,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 See “Cautionary Note Regarding Forward-Looking Statements” elsewhere in this Quarterly Report on Form 10-Q.</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spacing w:after="0" w:line="183"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made accessible via the cloud in the form of Quantum Computing as a Service (“QCaaS’) products. However, the substantial majority of our revenues are derived from development contracts, and we anticipate this market opportunity will continue to represent an important source of revenue for at least the next several years as we work to ramp up sales of QPUs and our QCaaS business. Additionally, we are working to further develop a revenue stream and forging important customer relationships by entering into technology development contracts with various partners.</w:t>
      </w:r>
    </w:p>
    <w:p>
      <w:pPr>
        <w:spacing w:after="0" w:line="188"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We are a vertically integrated company. We own and operate Fab-1, a dedicated and integrated laboratory and manufacturing facility, through which we own the means of producing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spacing w:after="0" w:line="183"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We have been generating revenue since 2018, primarily through partnerships with government agencies and commercial organizations; however, we have not yet generated profits. We have incurred significant operating losses since inception. Our net losses were $75.1 million and $71.5 million for the years ended December 31, 2023 and 2022, respectively, and our net loss was $20.8 million for the three months ended March 31, 2024. We expect to continue to incur additional losses for the foreseeable future as we invest in research, development, and infrastructure consistent with our long-term business strategy. As of March 31, 2024, we had an accumulated deficit of $374.5 million.</w:t>
      </w:r>
    </w:p>
    <w:p>
      <w:pPr>
        <w:spacing w:after="0" w:line="187" w:lineRule="exact"/>
        <w:rPr>
          <w:sz w:val="20"/>
          <w:szCs w:val="20"/>
          <w:color w:val="auto"/>
        </w:rPr>
      </w:pPr>
    </w:p>
    <w:p>
      <w:pPr>
        <w:jc w:val="both"/>
        <w:ind w:left="60" w:right="79" w:firstLine="492"/>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should be sufficient to meet our anticipated operating cash needs until midway through the fourth quarter of 2025, based on our current business plan, and expectations and assumptions considering current macroeconomic conditions. Accordingly, based on our estimates and current business plan, we expect that we will need to obtain additional capital by midway through the fourth quarter of 2025, in order to fund our research and development efforts and business objectives as currently planned. Our estimate does not assume any additional financing, and there is no assurance that additional financing will be available.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551"/>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funding when needed and on attractive terms, we may be required to delay, limit, or substantially reduce our quantum computing development efforts.</w:t>
      </w:r>
    </w:p>
    <w:p>
      <w:pPr>
        <w:spacing w:after="0" w:line="16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In February 2023, we announced an updated business strategy, including revisions to our technology roadmap. In connection with this updated strategy, we implemented a workforce reduction beginning in February 2023 to focus the organization and our resources on nearer-term strategic priorities and our efforts to achieve narrow quantum advantage.</w:t>
      </w:r>
    </w:p>
    <w:p>
      <w:pPr>
        <w:spacing w:after="0" w:line="68"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Key achievements in 2023 included the launch of the Ankaa 84- qubit Ankaa™-2 system to customers via Rigetti Quantum Cloud Services (QCS). The Ankaa-2 system achieved 98% median 2-qubit fidelity, which represents a 2.5x performance improvement compared to our previous QPUs.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continue to plan to:</w:t>
      </w:r>
    </w:p>
    <w:p>
      <w:pPr>
        <w:spacing w:after="0" w:line="117" w:lineRule="exact"/>
        <w:rPr>
          <w:sz w:val="20"/>
          <w:szCs w:val="20"/>
          <w:color w:val="auto"/>
        </w:rPr>
      </w:pPr>
    </w:p>
    <w:p>
      <w:pPr>
        <w:ind w:left="880" w:right="79" w:hanging="236"/>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working to improve the performance of our QPUs with the goal of reaching at least 99% 2-qubit gate fidelity on an anticipated Ankaa-3 84 qubit system by the end of 2024.</w:t>
      </w:r>
    </w:p>
    <w:p>
      <w:pPr>
        <w:spacing w:after="0" w:line="53" w:lineRule="exact"/>
        <w:rPr>
          <w:rFonts w:ascii="Times New Roman" w:cs="Times New Roman" w:eastAsia="Times New Roman" w:hAnsi="Times New Roman"/>
          <w:sz w:val="18"/>
          <w:szCs w:val="18"/>
          <w:color w:val="auto"/>
        </w:rPr>
      </w:pPr>
    </w:p>
    <w:p>
      <w:pPr>
        <w:ind w:left="880" w:right="79" w:hanging="236"/>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above target is achieved, we plan to shift focus to scaling to develop Lyra, an anticipated 336-qubit system.</w:t>
      </w:r>
    </w:p>
    <w:p>
      <w:pPr>
        <w:spacing w:after="0" w:line="16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We also plan to continue to pursue sales of Novera™, our first commercially available QPU launched in 2023, which features a 9-qubit chip, tunable couplers for fast 2-qubit operations and a 5-qubit chip for testing single-qubit operations.</w:t>
      </w:r>
    </w:p>
    <w:p>
      <w:pPr>
        <w:spacing w:after="0" w:line="176"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believe that this business plan should enable us to concentrate our software application development strategy on what we believe to be the highest likelihood applications for demonstrating nearer term narrow quantum advantage.</w:t>
      </w:r>
    </w:p>
    <w:p>
      <w:pPr>
        <w:spacing w:after="0" w:line="162"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In February 2023, the reduction in the workforce impacted approximately 50 employees or 28% of our then workforce. We began implementing activities with respect to the revised business plan and reduction in workforce in February 2023. Affected employees were offered separation benefits, including severance payments and temporary healthcare coverage assistance. We incurred a $1.0 million restructuring charge in the three months ended March 31, 2023, for severance payments and temporary healthcare coverage for affected employees. In addition to the restructuring charge, we also incurred $1.0 million of expenses for contractual severance benefits related to executive officers of the Company that were terminated in the three months ended March 31, 2023.</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229" w:lineRule="exact"/>
        <w:rPr>
          <w:sz w:val="20"/>
          <w:szCs w:val="20"/>
          <w:color w:val="auto"/>
        </w:rPr>
      </w:pPr>
    </w:p>
    <w:p>
      <w:pPr>
        <w:jc w:val="both"/>
        <w:ind w:left="60" w:right="59" w:firstLine="486"/>
        <w:spacing w:after="0" w:line="253" w:lineRule="auto"/>
        <w:rPr>
          <w:sz w:val="20"/>
          <w:szCs w:val="20"/>
          <w:color w:val="auto"/>
        </w:rPr>
      </w:pPr>
      <w:r>
        <w:rPr>
          <w:rFonts w:ascii="Times New Roman" w:cs="Times New Roman" w:eastAsia="Times New Roman" w:hAnsi="Times New Roman"/>
          <w:sz w:val="18"/>
          <w:szCs w:val="18"/>
          <w:color w:val="auto"/>
        </w:rPr>
        <w:t>Unfavorable conditions in the economy in the United States and abroad may negatively affect the growth of our business and have affected our results of operations. For example, macroeconomic events, including rising inflation, the U.S. Federal Reserve raising interest rates, recent and potential bank failures, the ongoing military conflict involving Russia and Ukraine and sanctions related thereto, the state of war between Israel and Hamas and the related risk of a larger conflict have led to economic uncertainty globally. The effect of macroeconomic conditions may not be fully reflected in the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Part I “Item 1A. Risk Factors” in our Annual Report on Form 10-K for the year ended December 31, 2023, including the risk factor titled “Unstable market and economic conditions have had and may continue to have serious adverse consequences on our business, financial condition and share price.”</w:t>
      </w:r>
    </w:p>
    <w:p>
      <w:pPr>
        <w:spacing w:after="0" w:line="192"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We have experienced and may experience further increases in the cost of raw materials, component parts, and labor, which we largely attribute to inflation, the U.S. Federal Reserve raising interest rates, high demand, and supply chain restraints. Rising costs and supply chain constraints have been further exacerbated by the ongoing military conflict involving Russia and Ukraine and sanctions related thereto, the state of war between Israel and Hamas and the related risk of a larger conflict.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expect these increased costs will persist for the foreseeable future and may increase. Additionally,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w:t>
      </w:r>
    </w:p>
    <w:p>
      <w:pPr>
        <w:spacing w:after="0" w:line="180"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Economic conditions in some parts of the world have been worsening, with disruptions to, and volatility and uncertainty in, the credit and financial markets in the U.S. and worldwide resulting from the effects of inflation and increases in interest rates. It is not possible at this time to estimate the long-term impact that these and related events could have on our business, as the impact will depend on future developments, which are highly uncertain and cannot be predicted.</w:t>
      </w:r>
    </w:p>
    <w:p>
      <w:pPr>
        <w:spacing w:after="0" w:line="183"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 other efforts. However, like many other companies, we are taking actions to monitor our operations to account for the increases in the cost of capital. Specifically, this includes efforts to enhance our operational efficiency, including with respect to capital expenditures, maximize our R&amp;D productivity spend through strategic collaborations, and being highly selective in hiring top-tier talent.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through our development contracts, as well as from our sales of QPUs,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3" w:lineRule="exact"/>
        <w:rPr>
          <w:sz w:val="20"/>
          <w:szCs w:val="20"/>
          <w:color w:val="auto"/>
        </w:rPr>
      </w:pPr>
    </w:p>
    <w:p>
      <w:pPr>
        <w:jc w:val="both"/>
        <w:ind w:left="60" w:right="59" w:firstLine="486"/>
        <w:spacing w:after="0" w:line="275" w:lineRule="auto"/>
        <w:rPr>
          <w:sz w:val="20"/>
          <w:szCs w:val="20"/>
          <w:color w:val="auto"/>
        </w:rPr>
      </w:pPr>
      <w:r>
        <w:rPr>
          <w:rFonts w:ascii="Arial" w:cs="Arial" w:eastAsia="Arial" w:hAnsi="Arial"/>
          <w:sz w:val="17"/>
          <w:szCs w:val="17"/>
          <w:color w:val="auto"/>
        </w:rPr>
        <w:t>Cost of revenue consists primarily of all direct and indirect costs associated with sales of QPUs, QCaaS offerings and development contracts and other services, including materials,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Our operating expenses primarily consist of research and development, and selling, general and administrative expenses. Sales and marketing expenses became less significant following the reduction in workforce and strategic realignment we announced in February 2023. For this reason, sales and marketing and general administrative expenses have been combined and are now reported as selling, general and administrative. Related amounts for all prior periods have been reclassified to conform with this presentation.</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left="60" w:right="79"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include compensation, employee benefits, stock-based compensation, insurance, facility costs, professional service fees, and other general overhead costs other than those associated with sales of QPUs and providing development contracts, QCaaS offerings and other services. We expect selling, general and administrative expenses to increase as we grow our business, particularly to the extent we achieve narrow and broad quantum advantage, and subsequently enhance our product and service offerings, expand our customer base, and implement new marketing strategies.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In February 2023, we announced an updated business strategy, including revisions to our technology roadmap. In connection with this updated strategy, we implemented a workforce reduction in order to focus the organization and its resources on nearer-term strategic priorities. The reduction in the workforce impacted approximately 50 employees or approximately 28% of our then workforce. Affected employees were offered separation benefits, including severance payments and temporary healthcare coverage assistance.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 (in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2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(22,020)</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(1,621)</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(23,354)</w:t>
            </w: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(23,354)</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Revenue increased by $0.9 million for the three months ended March 31, 2024, compared to the three months ended March 31, 2023. Our development contracts are typically fixed price milestone or cost share-based contracts and the timing and amounts of revenue recognized in any given period will vary significantly based on the delivery of the associated milestones and/or the work performed. The timing and delivery of QPU sales will also vary and impact revenue in any given quarterly or annual period. The increase in revenue during the three months ended March 31, 2024 reflects typical variability in the timing of revenue recognition from development contracts. Revenue from development contracts and QPU sales is expected to vary in terms of timing and size, resulting in significant fluctuations in revenue levels in future periods.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the next few years, we expect much of our revenue to be generated from development contracts and sales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QPUs.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Cost of revenue increased by $1.0 million for the three months ended March 31, 2024, compared to the three months ended March 31, 2023. The increase in cost of revenue during the three months ended March 31, 2024 is primarily due to changes in the composition of our revenue and variability in the pricing and terms of our development contracts. During the three months ended March 31, 2024, we entered into a new contract to deliver a 24 qubit quantum computing system with higher costs and a lower gross margin profile than most of our other contracts, contributing to the increase in cost of revenue and lower gross margin percentage for the three months ended March 31, 2024, compared to the three months ended March 31, 2023.</w:t>
      </w:r>
    </w:p>
    <w:p>
      <w:pPr>
        <w:spacing w:after="0" w:line="189"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We expect that cost of revenue and total gross profit as a percentage of revenue will vary in future quarterly and annual periods due to changes in the composition of our revenue and variability in the pricing and terms of our development contracts.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79" w:firstLine="492"/>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$2.2 million for the three months ended March 31, 2024, compared to the three months ended March 31, 2023, primarily due to the following factors:</w:t>
      </w:r>
    </w:p>
    <w:p>
      <w:pPr>
        <w:ind w:left="1220" w:right="79" w:hanging="333"/>
        <w:spacing w:after="0" w:line="250"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employee related expenses decreased by $1.6 million, primarily due to our February 2023 restructuring.</w:t>
      </w:r>
    </w:p>
    <w:p>
      <w:pPr>
        <w:ind w:left="1220" w:hanging="333"/>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costs decreased by $0.9 million, primarily due to savings from R&amp;D related IT systems rationalization.</w:t>
      </w:r>
    </w:p>
    <w:p>
      <w:pPr>
        <w:spacing w:after="0" w:line="9" w:lineRule="exact"/>
        <w:rPr>
          <w:rFonts w:ascii="Times New Roman" w:cs="Times New Roman" w:eastAsia="Times New Roman" w:hAnsi="Times New Roman"/>
          <w:sz w:val="18"/>
          <w:szCs w:val="18"/>
          <w:color w:val="auto"/>
        </w:rPr>
      </w:pPr>
    </w:p>
    <w:p>
      <w:pPr>
        <w:jc w:val="both"/>
        <w:ind w:left="1220" w:right="79" w:hanging="333"/>
        <w:spacing w:after="0" w:line="255"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decreases were partially offset by increases in stock-based compensation of $0.4 million and other expenses. Stock compensation expenses were low during the three months ended March 31, 2023 due to forfeitures resulting from the February 2023 restructuring.</w:t>
      </w:r>
    </w:p>
    <w:p>
      <w:pPr>
        <w:spacing w:after="0" w:line="186" w:lineRule="exact"/>
        <w:rPr>
          <w:sz w:val="20"/>
          <w:szCs w:val="20"/>
          <w:color w:val="auto"/>
        </w:rPr>
      </w:pPr>
    </w:p>
    <w:p>
      <w:pPr>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We anticipate that R&amp;D expenditure will grow in the future as we continue to focus on our technology roadmap and long-term goal of achieving broad quantum advantage.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ind w:left="60" w:right="79"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$2.4 million for the three months ended March 31, 2024, compared to the three months ended March 31, 2023, primarily due to the following factors:</w:t>
      </w:r>
    </w:p>
    <w:p>
      <w:pPr>
        <w:ind w:left="1220" w:right="79" w:hanging="333"/>
        <w:spacing w:after="0" w:line="250"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severance and employee related expenses decreased by $1.7 million, primarily due to our February 2023 restructuring.</w:t>
      </w:r>
    </w:p>
    <w:p>
      <w:pPr>
        <w:jc w:val="both"/>
        <w:ind w:left="1220" w:right="79" w:hanging="333"/>
        <w:spacing w:after="0" w:line="255"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2023 included $1.1 million of expense related to the Ampere Forward Agreement which expired in October 2023. The Ampere Forward Agreement had no impact on our results for the three months ended March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20" w:right="79" w:hanging="333"/>
        <w:spacing w:after="0" w:line="261" w:lineRule="auto"/>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primarily related to public company compliance decreased by $1.0 million, because many of these activities are either performed more efficiently or have been brought in-house.</w:t>
      </w:r>
    </w:p>
    <w:p>
      <w:pPr>
        <w:jc w:val="both"/>
        <w:ind w:left="1220" w:right="79" w:hanging="333"/>
        <w:spacing w:after="0" w:line="255" w:lineRule="auto"/>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decreases were partially offset by increases in stock-based compensation of $0.9 million and other net increases totaling $0.5 million. Stock compensation expenses were low during the three months ended March 31, 2023 due to forfeitures resulting from the February 2023 restructuring.</w:t>
      </w:r>
    </w:p>
    <w:p>
      <w:pPr>
        <w:spacing w:after="0" w:line="186"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In February 2023, we announced an updated business strategy, including revisions to our technology roadmap. In connection with this updated strategy, we implemented a workforce reduction in order to focus the organization and our resources on nearer-term strategic priorities. The reduction in the workforce impacted approximately 50 employees or approximately 28% of our then workforce. Affected employees were offered separation benefits, including severance payments and temporary healthcare coverage assistance.</w:t>
      </w:r>
    </w:p>
    <w:p>
      <w:pPr>
        <w:spacing w:after="0" w:line="183"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We began implementing activities with respect to our revised business plan, updated technology roadmap and reduction in workforce in February 2023, resulting in a $1.0 million restructuring charge for the three months ended March 31, 2023. No further restructuring charges related to this action are expected.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income and (expense), net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Our outstanding debt carries a variable rate of interest. Interest expenses decreased by $0.4 million for the three months ended March 31, 2024 when compared to the three months ended March 31, 2023. The reduction in interest expense was due to the lower outstanding balance of principal at March 31, 2024 compared to March 31, 2023, due to principal repayments, offset in part by the impact of increases in the prime interest rate that occurred throughout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2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Interest income was $1.1 million during the three months ended March 31, 2024, down from $1.3 million during the three months ended March 31, 2023. The decrease in interest income is due to lower balances of invested cash and available-for-sale investments during the three months ended March 31, 2024, compared to the three months ended March 31, 2023, offset in part by higher rates of interest earned on our investments.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229"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A discussion of the change in the fair value of the warrant liabilities is included in Note 8 to our condensed consolidated financial statements for the three months ended March 31, 2024, included elsewhere in this Quarterly Report on Form 10-Q.</w:t>
      </w:r>
    </w:p>
    <w:p>
      <w:pPr>
        <w:spacing w:after="0" w:line="176"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The change in fair value of our warrant liabilities for the three months ended March 31, 2024 and 2023, was a loss of $2.6 million and $0.9 million, respectively. The increase in loss for the three months ended March 31, 2024 was primarily due to the change in our stock price and related share price volatility.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Fair Value of Earn-Out Liabilities</w:t>
      </w:r>
    </w:p>
    <w:p>
      <w:pPr>
        <w:spacing w:after="0" w:line="229"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A discussion of the change in the fair value of the earn-out liabilities is included in Note 9 to our condensed consolidated financial statements for the three months ended March 31, 2024, included elsewhere in this Quarterly Report on Form 10-Q.</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The change in fair value of our earn-out liabilities for the three months ended March 31, 2024 and 2023, was a loss of $1.6 million and $0.3 million, respectively. The increase in loss for the three months ended March 31, 2024 was primarily due to the change in our stock price and related share price volatility.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We did not record income tax expense during the three months ended March 31, 2024 or 2023 due to the Company’s loss position and full valuation allowance.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We have incurred net losses and negative cash flows since inception. Historically, we have financed our operations primarily through proceeds from the Business Combination (see Note 2 to our condensed consolidated financial statements for the three months ended March 31, 2024), issuance of common stock, preferred stock, warrants, convertible notes, venture backed debt and revenues. Our net losses were $75.1 million and $71.5 million for the years ended December 31, 2023 and 2022, respectively, and our net loss was $20.8 million for the three months ended March 31, 2024. We expect to continue to incur additional losses for the foreseeable future as we invest in research, development, and infrastructure consistent with our long-term business strategy. As of March 31, 2024, we had an accumulated deficit of $374.5 million.</w:t>
      </w:r>
    </w:p>
    <w:p>
      <w:pPr>
        <w:spacing w:after="0" w:line="189"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We received net proceeds of $225.6 million from the closing of the Business Combination on March 2, 2022. During the three months ended March 31, 2024, we received proceeds of $12.8 million, from the sale of 10,056,799 shares of our common stock to B. Riley under a Purchase Agreement which has since terminated, because there are no remaining shares available for sale under the agreement. On March 15, 2024, we entered into an ATM Sales Agreement pursuant to which we may offer and sell, from time to time at our sole discretion, shares of our common stock, having an aggregate offering price of up to $100,000,000, subject to certain limitations as set forth in the ATM Sales Agreement. During the three months ended March 31, 2024, we received net proceeds of $11.0 million from the sale of 6,645,982 shares of our common stock under the ATM sales agreement. During the month of April 2024, we received an additional $9.0 million of net proceeds from the sale of 6,320,000 shares of common stock under the ATM sales agreement.</w:t>
      </w:r>
    </w:p>
    <w:p>
      <w:pPr>
        <w:spacing w:after="0" w:line="188" w:lineRule="exact"/>
        <w:rPr>
          <w:sz w:val="20"/>
          <w:szCs w:val="20"/>
          <w:color w:val="auto"/>
        </w:rPr>
      </w:pPr>
    </w:p>
    <w:p>
      <w:pPr>
        <w:jc w:val="both"/>
        <w:ind w:left="60" w:right="59" w:firstLine="486"/>
        <w:spacing w:after="0" w:line="253" w:lineRule="auto"/>
        <w:rPr>
          <w:sz w:val="20"/>
          <w:szCs w:val="20"/>
          <w:color w:val="auto"/>
        </w:rPr>
      </w:pPr>
      <w:r>
        <w:rPr>
          <w:rFonts w:ascii="Times New Roman" w:cs="Times New Roman" w:eastAsia="Times New Roman" w:hAnsi="Times New Roman"/>
          <w:sz w:val="18"/>
          <w:szCs w:val="18"/>
          <w:color w:val="auto"/>
        </w:rPr>
        <w:t>We believe that our existing balances of cash, cash equivalents and available-for-sale investments should be sufficient to meet our anticipated operating cash needs for at least the next 12 months, and to midway through the fourth quarter of 2025, based on our current business plan, and expectations and assumptions considering current macroeconomic conditions. Based on our estimates and current business plan, we expect that we will need to obtain additional capital by midway through the fourth quarter of 2025 to fund our research and development efforts and business objectives as currently planned. Our estimate does not assume any additional financing and we cannot be sure that additional financing will be available. If we are unable to raise additional funding when needed and on attractive terms, we may be required to delay, limit or substantially reduce our quantum computing development efforts.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under Part I “Item 1A. Risk Factors” in our Annual Report on Form 10-K for the year ended December 31, 2023.</w:t>
      </w:r>
    </w:p>
    <w:p>
      <w:pPr>
        <w:spacing w:after="0" w:line="190"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w:t>
      </w:r>
    </w:p>
    <w:p>
      <w:pPr>
        <w:spacing w:after="0" w:line="187"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These conditions have been further exacerbated by recent and potential future disruptions in access to bank deposits or lending commitments due to bank failures, the ongoing military conflict involving Russia and Ukraine and sanctions related thereto, the state of war between Israel and Hamas and the related risk of a larger conflict.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w:t>
      </w:r>
    </w:p>
    <w:p>
      <w:pPr>
        <w:spacing w:after="0" w:line="180"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If we are unable to raise capital when needed and on attractive terms, we would be forced to delay, reduce or eliminate our research and development programs and/or other efforts. A recession or additional market corrections resulting from the impact of difficult macroeconomic conditions or disruptions in the banking system could materially affect our business and the value of our securities.</w:t>
      </w:r>
    </w:p>
    <w:p>
      <w:pPr>
        <w:spacing w:after="0" w:line="180"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Our cash requirements include employee-related costs such as salaries and benefits; materials and components for research and development; working capital requirements; capital expenditures for our quantum chip fabrication facility; quantum computing refrigerators and other requirements; planned development of multiple generations of quantum processors; anticipated investments to scale our operations in the future; and strategic collaborative arrangements and investments.</w:t>
      </w:r>
    </w:p>
    <w:p>
      <w:pPr>
        <w:spacing w:after="0" w:line="183"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We will require a significant amount of cash for expenditure as we invest in ongoing research and development and business operations. Until such time as we can generate significant revenue from sales of QPUs, our development contracts and other services, including our QCaaS offering, we expect to finance our cash needs primarily through our existing cash, cash equivalents and available-for-sale investments, potential securities financings or other capital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w:t>
      </w:r>
    </w:p>
    <w:p>
      <w:pPr>
        <w:spacing w:after="0" w:line="189" w:lineRule="exact"/>
        <w:rPr>
          <w:sz w:val="20"/>
          <w:szCs w:val="20"/>
          <w:color w:val="auto"/>
        </w:rPr>
      </w:pPr>
    </w:p>
    <w:p>
      <w:pPr>
        <w:jc w:val="both"/>
        <w:ind w:left="60" w:right="59" w:firstLine="486"/>
        <w:spacing w:after="0" w:line="253" w:lineRule="auto"/>
        <w:rPr>
          <w:sz w:val="20"/>
          <w:szCs w:val="20"/>
          <w:color w:val="auto"/>
        </w:rPr>
      </w:pPr>
      <w:r>
        <w:rPr>
          <w:rFonts w:ascii="Times New Roman" w:cs="Times New Roman" w:eastAsia="Times New Roman" w:hAnsi="Times New Roman"/>
          <w:sz w:val="18"/>
          <w:szCs w:val="18"/>
          <w:color w:val="auto"/>
        </w:rPr>
        <w:t>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under Part I “Item 1A. Risk Factors” in our Annual Report on Form 10-K for the year ended December 31, 2023. Furthermore, we currently have on file with the SEC an effective shelf registration statement on Form S-3, which allows us to offer and sell up to an aggregate amount of $250.0 million of any combination of common stock, common stock or preferred stock upon conversion of debt securities, common stock upon conversion of preferred stock, or common stock, preferred stock or debt securities upon exercise of warrants from time to time, pursuant to which we have entered into an ATM offering for the sale of up to an aggregate amount of $100 million of common stock from time to time, of which $79.5 million of common stock remains available for sale as of the date hereof.</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9"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In January 2022, we entered into the Third Amendment to the Loan Agreement with Trinity to increase the debt commitment by $5.0 million to $32.0 million thereunder. The amendment allowed us to draw an additional $5.0 million immediately with an additional $8.0 million to be drawn at the sole discretion of the lender. We drew the additional $5.0 million upon signing the amendment. The Third Amendment also included an extension of the requirement to raise an additional $75.0 million of equity which was satisfied through the Business Combination and a defined exit fee for the additional $5.0 million to be at 20% of the advanced funds under the Third Amendment. In conjunction with the amendment, we also guaranteed payment of all monetary amounts owed and performance of all covenants, obligations and liabilities. As of March 31, 2024, the total principal amount outstanding under the Loan Agreement was $19.3 million. The Loan Agreement is secured by a first-priority security interest in substantially all of our assets.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cash commitments as of March 31, 2024 were primarily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Long-term</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obligations</w:t>
            </w:r>
          </w:p>
        </w:tc>
        <w:tc>
          <w:tcPr>
            <w:tcW w:w="1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Estimated cash interest on financing obligations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r>
      <w:tr>
        <w:trPr>
          <w:trHeight w:val="210"/>
        </w:trPr>
        <w:tc>
          <w:tcPr>
            <w:tcW w:w="4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14,685</w:t>
            </w:r>
          </w:p>
        </w:tc>
      </w:tr>
      <w:tr>
        <w:trPr>
          <w:trHeight w:val="20"/>
        </w:trPr>
        <w:tc>
          <w:tcPr>
            <w:tcW w:w="4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86"/>
        <w:spacing w:after="0" w:line="261" w:lineRule="auto"/>
        <w:rPr>
          <w:sz w:val="20"/>
          <w:szCs w:val="20"/>
          <w:color w:val="auto"/>
        </w:rPr>
      </w:pPr>
      <w:r>
        <w:rPr>
          <w:rFonts w:ascii="Times New Roman" w:cs="Times New Roman" w:eastAsia="Times New Roman" w:hAnsi="Times New Roman"/>
          <w:sz w:val="18"/>
          <w:szCs w:val="18"/>
          <w:color w:val="auto"/>
        </w:rPr>
        <w:t>Financing obligations consist of payments related to the Loan and Security Agreement. Operating lease obligations consist of obligations under non-cancelable operating leases for our offices, facilities and equipment. The table above does not include amounts owed for purchases of capital equipment; supplies; materials; or fixed or minimum services under non-cancelable contracts.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p>
      <w:pPr>
        <w:spacing w:after="0" w:line="22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spacing w:after="0" w:line="180"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2024 was $13.1 million, primarily resulting from our net loss of $20.8 million, partially offset by non-cash expenses totaling $8.8 million. Changes in operating assets and liabilities had a $1.2 million negative impact on net cash used in operating activities during the three months ended March 31, 2024.</w:t>
      </w:r>
    </w:p>
    <w:p>
      <w:pPr>
        <w:spacing w:after="0" w:line="180"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2023 was $15.5 million, primarily resulting from our net loss of $23.4 million, partially offset by non-cash expenses totaling $7.1 million. Changes in operating assets and liabilities had a $0.8 million negative impact on net cash used in operating activities during the three months ended March 31, 2023.</w:t>
      </w:r>
    </w:p>
    <w:p>
      <w:pPr>
        <w:spacing w:after="0" w:line="180"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was reduced by $2.4 million to $13.1 million during the three months ended March 31, 2024, from $15.5 million for the three months ended March 31, 2023. Our net loss from operations decreased by $2.6 million to $20.8 million for three months ended March 31, 2024. Non-cash charges impacting our net loss from operations increased by $1.7 million to $8.8 million during the three months ended March 31, 2024, from $7.1 million during the three months ended March 31, 2023. Operating assets and liabilities had a $0.4 million negative impact on the change in cash used in operating activities during the three months ended March 31, 2024, compared to the three months ended March 31,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p>
      <w:pPr>
        <w:spacing w:after="0" w:line="229"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three months ended March 31, 2024 totaled $6.2 million, resulting from $39.0 million of maturities of available-for-sale securities, partially offset by $27.3 million of purchases of available-for-sale securities and $5.5 million of purchases of property and equipment.</w:t>
      </w:r>
    </w:p>
    <w:p>
      <w:pPr>
        <w:spacing w:after="0" w:line="176"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2023 totaled $15.0 million, resulting from $38.5 million of purchases of available-for-sale securities and $4.8 million of purchases of property and equipment, offset in part by $28.3 million of maturities of available-for-sale securities.</w:t>
      </w:r>
    </w:p>
    <w:p>
      <w:pPr>
        <w:spacing w:after="0" w:line="176" w:lineRule="exact"/>
        <w:rPr>
          <w:sz w:val="20"/>
          <w:szCs w:val="20"/>
          <w:color w:val="auto"/>
        </w:rPr>
      </w:pPr>
    </w:p>
    <w:p>
      <w:pPr>
        <w:jc w:val="both"/>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Investments in property and equipment relate primarily to process computing equipment, quantum computing refrigerators, and development tools for our chip fabrication facility.</w:t>
      </w:r>
    </w:p>
    <w:p>
      <w:pPr>
        <w:spacing w:after="0" w:line="162"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2024 increased by $21.2 million when compared to the three months ended March 31, 2023, primarily due to an increase in maturities of available-for-sale securities and decreased purchases of available-for-sale securities.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p>
      <w:pPr>
        <w:spacing w:after="0" w:line="22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during the three months ended March 31, 2024 totaled $20.7 million. We received net proceeds of $12.8 million from the sale of 10,056,799 shares of common stock to B. Riley through our prior Purchase Agreement and net proceeds of $11.0 million from the sale of 6,645,982 shares of common stock pursuant to our ATM program. Proceeds from the sale of common stock were offset in part by principal payments of $3.0 million under the Loan Agreement and payments of $0.2 million for deferred offering costs.</w:t>
      </w:r>
    </w:p>
    <w:p>
      <w:pPr>
        <w:spacing w:after="0" w:line="183"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2023 totaled $1.2 million, reflecting $1.8 million of principal payments under the Loan Agreement and payments of $0.1 million for deferred offering costs, offset in part by proceeds from the exercise of stock options and warrants totaling $0.8 million.</w:t>
      </w:r>
    </w:p>
    <w:p>
      <w:pPr>
        <w:spacing w:after="0" w:line="176"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2024 increased by $21.9 million when compared to the three months ended March 31, 2023, largely due to the sale of common through our prior Purchase Agreement with B. Riley and our ATM program. We expect to satisfy our cash needs primarily through on-hand cash, cash equivalents and available-for-sale investments, the sale of common stock through the ATM Agreement, subject to market and other conditions, and other potential securities financings or capital sources.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condensed consolidated financial statements included in this Quarterly Report on Form 10-Q, which have been prepared in accordance with GAAP.</w:t>
      </w:r>
    </w:p>
    <w:p>
      <w:pPr>
        <w:spacing w:after="0" w:line="176"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Preparation of these financial statements requires us to make estimates and assumptions that affect the reported amounts of assets and liabilities and the disclosure of contingent assets and liabilities. We also make estimates and assumptions that affect revenue and expenses during the reporting periods. Our estimates are based on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spacing w:after="0" w:line="187"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condensed consolidated financial statements included in our Annual Report on Form 10-K for the year ended December 31, 2023, we believe the following critical accounting policies and estimates are most important to understanding and evaluating our reported financial results.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Public and Private Warrants</w:t>
      </w:r>
    </w:p>
    <w:p>
      <w:pPr>
        <w:spacing w:after="0" w:line="22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SNII issued 4,450,000 private placement warrants (“Private Warrants”) and 8,625,000 public warrants (“Public Warrants” and collectively, “Warrants”). As of March 31 2024, there were 13,074,972 Warrants outstanding, consisting of 3,272,834 Private Warrants and 9,802,138 Public Warrants. Each whole warrant entitles the holder to purchase one share of our Common Stock at a price of $11.50 per share, subject to adjustments and will expire five years after the Merger or earlier upon redemption or liquidation.</w:t>
      </w:r>
    </w:p>
    <w:p>
      <w:pPr>
        <w:spacing w:after="0" w:line="183"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our stock and should be classified as a liability.</w:t>
      </w:r>
    </w:p>
    <w:p>
      <w:pPr>
        <w:spacing w:after="0" w:line="180"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Since the Private Warrants meet the definition of a derivative, we recorded the Private Warrants as liabilities in the condensed consolidated balance sheet at fair value upon the closing of the Business Combination, with subsequent changes in the fair value recognized in the condensed consolidated statements of operations at each reporting date. The fair value of the Private Warrants was measured using the Black-Scholes option-pricing model at each measurement date.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The Public Warrants also fail to meet the indexation guidance in ASC 815 and are accounted for as liabilities as the Public Warrants include a provision whereby in a scenario in which there is not an effective registration statement, the warrant holders have a cap, 0.361 shares of Common Stock per warrant (subject to adjustment), on the issuable number of shares in a cashless exercise.</w:t>
      </w:r>
    </w:p>
    <w:p>
      <w:pPr>
        <w:spacing w:after="0" w:line="180"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Subsequent to the separate listing and trading of the Public Warrants, the fair value of the Public Warrants has been measured based on the observable listed prices for such warrants and the fair value of the Private Warrants are measured using a Monte Carlo Pricing Model.</w:t>
      </w:r>
    </w:p>
    <w:p>
      <w:pPr>
        <w:spacing w:after="0" w:line="176" w:lineRule="exact"/>
        <w:rPr>
          <w:sz w:val="20"/>
          <w:szCs w:val="20"/>
          <w:color w:val="auto"/>
        </w:rPr>
      </w:pPr>
    </w:p>
    <w:p>
      <w:pPr>
        <w:jc w:val="both"/>
        <w:ind w:left="60" w:right="79" w:firstLine="486"/>
        <w:spacing w:after="0" w:line="261" w:lineRule="auto"/>
        <w:rPr>
          <w:sz w:val="20"/>
          <w:szCs w:val="20"/>
          <w:color w:val="auto"/>
        </w:rPr>
      </w:pPr>
      <w:r>
        <w:rPr>
          <w:rFonts w:ascii="Times New Roman" w:cs="Times New Roman" w:eastAsia="Times New Roman" w:hAnsi="Times New Roman"/>
          <w:sz w:val="18"/>
          <w:szCs w:val="18"/>
          <w:color w:val="auto"/>
        </w:rPr>
        <w:t>On the consummation of the Business Combination, we recorded a liability related to the Private Warrants of $9.6 million, with an offsetting entry to additional paid-in capital. As of March 31, 2024, the fair value of the Private Warrants decreased to $3.1 million, with the change in fair value of the derivative warrant liabilities recorded in the condensed consolidated statements of operations each reporting period.</w:t>
      </w:r>
    </w:p>
    <w:p>
      <w:pPr>
        <w:spacing w:after="0" w:line="180"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Similarly, on the consummation of the Business Combination, we recorded a liability related to the Public Warrants of $16.3 million, with an offsetting entry to additional paid-in capital. As of March 31, 2024, the fair value of the Public Warrants decreased to $2.4 million with the change in fair value of derivative warrant liabilities recorded in the condensed consolidated statements of operations each reporting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Derivative Warrant Liabilities</w:t>
      </w:r>
    </w:p>
    <w:p>
      <w:pPr>
        <w:spacing w:after="0" w:line="22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We currently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815, “Derivatives and Hedging” (“ASC 815”) at the initial recognition date.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Earn-Out Liabilities</w:t>
      </w:r>
    </w:p>
    <w:p>
      <w:pPr>
        <w:spacing w:after="0" w:line="229"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Upon the closing of the Business Combination on March 2, 2022, SNII, Supernova Partners II, LLC and SNII’s directors and officers (collectively the “Sponsor Holders”) subjected certain shares of Common Stock that it owns (the “Sponsor Vesting Shares”) to forfeiture for a five-year period following the closing of the Business Combination, with vesting occurring only if thresholds related to the weighted average price of Common Stock are met for the duration of various specified consecutive day trading periods following the closing of the Business Combination (the “Earn-out Triggering Events”). Any such shares held by the Sponsor Holders that have not vested by the fifth anniversary of the closing of the Business Combination will be forfeited.</w:t>
      </w:r>
    </w:p>
    <w:p>
      <w:pPr>
        <w:spacing w:after="0" w:line="18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The Sponsor Vesting Shares are accounted for as liability classified instruments because the Earn-Out Triggering Events that determine the number of Sponsor Vesting Shares to be earned back by the Sponsor Holders include outcomes that are not solely indexed to our Common Stock. The aggregate fair value of the Sponsor Vesting Shares at the time of the Business Combination Closing was estimated using a Monte Carlo simulation model and was determined to be $20.4 million.</w:t>
      </w:r>
    </w:p>
    <w:p>
      <w:pPr>
        <w:spacing w:after="0" w:line="183"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the Earn-Out Triggering Events were not achieved for any of the tranches, and as such, the Company adjusted the carrying amount of the liability to its estimated fair value of $3.8 million with the change in fair value of the earn-out liability recorded in the condensed consolidated statements of operations each reporting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Revenue consists primarily of our contracts that provide access to Rigetti quantum computing systems, collaborative research services, professional services, and the sale of QPUs and custom quantum computing components. Access to Rigetti quantum computing systems can be purchased as a quantum computing subscription, or on a usage basis for a specified quantity of hours. Revenue related to subscription-based access to Rigetti quantum computing systems (i.e., quantum computing subscriptions) is recognized on a ratable basis over the subscription term, which can range from six months to two years. Revenue related to usage-based access to Rigetti quantum computing systems is recognized over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time as the systems are accessed using an output method based on compute credit hours expended. Revenue related to collaborative research services and professional services is recognized over time based on completed milestones or hours or costs incurred as appropriate. Revenue for partially completed milestones deemed probable of being met is recognized using an input measure based on actual labor hours incurred to date relative to total estimated labor hours needed to complete the milestone. Revenue related to cost share contracts is recognized as the reimbursable costs are incurred.</w:t>
      </w:r>
    </w:p>
    <w:p>
      <w:pPr>
        <w:spacing w:after="0" w:line="183"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For fixed price milestone-based contracts, revenue is recognized based on the input measure explained above as control is expected to transfer over the time period a milestone is completed. Revenue related to the sale of QPUs and custom quantum computing components is recognized at a point in time, and upon customer acceptance for custom quantum computing components.</w:t>
      </w:r>
    </w:p>
    <w:p>
      <w:pPr>
        <w:spacing w:after="0" w:line="180"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Our fixed fee development contracts vary in term from one to five years, with the majority of such contracts having a term of 18 months to two years. When establishing the pricing for our fixed fee arrangements, we determine the pricing based on estimated costs to complete and expected margins taking into account the scope of work outlined within the contract being evaluated and our historical experience with similar services and contracts. Actual costs incurred over the period in which these contracts are fulfilled could vary from these estimates and therefore, these estimates are subject to uncertainty. On a quarterly basis, management reviews the progress with respect to each contract and its related milestones and evaluates whether any changes in estimates exist. As a result of the quarterly reviews, revisions in the estimated effort to complete the contract are reflected in the period in which the change is identified. These revisions may impact the overall progress related to transfer of control and therefore result in either increases or decreases in revenues as well as increases or decreases in fulfillment costs and contract margins. In accordance, with ASC No. 250, Accounting Changes and Error Corrections, any changes in estimates are reflected in our condensed consolidated statements of operations in the period in which the circumstances that give rise to the revision become known to management. To date, we have not experienced any changes in estimates that have had a material impact on our results from operations or financial position.</w:t>
      </w:r>
    </w:p>
    <w:p>
      <w:pPr>
        <w:spacing w:after="0" w:line="187"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When our contracts with customers contain multiple performance obligations, the transaction price is allocated on a relative standalone selling price basis to each performance obligation. We typically determine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we will reallocate the total transaction price to each performance obligation based on the relative standalone selling price of each.</w:t>
      </w:r>
    </w:p>
    <w:p>
      <w:pPr>
        <w:spacing w:after="0" w:line="192"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spacing w:after="0" w:line="183" w:lineRule="exact"/>
        <w:rPr>
          <w:sz w:val="20"/>
          <w:szCs w:val="20"/>
          <w:color w:val="auto"/>
        </w:rPr>
      </w:pPr>
    </w:p>
    <w:p>
      <w:pPr>
        <w:jc w:val="both"/>
        <w:ind w:left="60" w:right="59" w:firstLine="486"/>
        <w:spacing w:after="0" w:line="274" w:lineRule="auto"/>
        <w:rPr>
          <w:sz w:val="20"/>
          <w:szCs w:val="20"/>
          <w:color w:val="auto"/>
        </w:rPr>
      </w:pPr>
      <w:r>
        <w:rPr>
          <w:rFonts w:ascii="Times New Roman" w:cs="Times New Roman" w:eastAsia="Times New Roman" w:hAnsi="Times New Roman"/>
          <w:sz w:val="17"/>
          <w:szCs w:val="17"/>
          <w:color w:val="auto"/>
        </w:rPr>
        <w:t>Our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our assessment of standalone selling prices, we determined that there were no significant material rights provided to our customers requiring separate recognition.</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of our condensed consolidated financial statements for the period ended March 31, 2024 included elsewhere in this Quarterly Report on Form 10-Q.</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spacing w:after="0" w:line="192"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(a) December 31, 2026, the last day of our first fiscal year following the fifth anniversary of the completion of SNII’s initial public offering, (b) the last date of our fiscal year in which we have total annual gross revenue of at least $1.24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187"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Rule12b-2 of the Exchange Act and are not required to provide the information required under this item.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March 31, 2024. Based on the evaluation of our disclosure controls and procedures, our management concluded that, as of March 31, 2024, our disclosure controls and procedures were not effective due to the material weakness described below.</w:t>
      </w:r>
    </w:p>
    <w:p>
      <w:pPr>
        <w:spacing w:after="0" w:line="75"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We have added, and continue to add, additional controls over our year-end and quarter-end closing processes, which are still being implemented. We have hired additional accounting resources. The material weakness related to our year-end and quarter-end close processes will not be considered remediated until such time as management designs and implements effective controls that operate for a sufficient period of time and has concluded, through testing, that these controls are effective.</w:t>
      </w:r>
    </w:p>
    <w:p>
      <w:pPr>
        <w:spacing w:after="0" w:line="183"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condensed consolidated financial statements will not be prevented or detected on a timely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After giving full consideration to the material weakness and the additional procedures that we performed, management has concluded that the condensed consolidated financial statements contained in this Quarterly Report on Form 10-Q fairly present, in all material respects, our financial condition, results of operations and cash flows for the periods presented in conformity with GAAP; however, the material weakness could have resulted in a misstatement of account balances or disclosures that would be considered material to the annual or interim condensed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22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As previously disclosed, in connection with the preparation of the financial statements for the year ended December 31, 2023, we identified a material weakness in our internal control over financial reporting related to the design and operation of our overall closing and financial reporting processes, including the timely preparation of account reconciliations, effective segregation of duties, particularly with respect to change management and logical access over IT systems, and a lack of timely review over the financial statement close process.</w:t>
      </w:r>
    </w:p>
    <w:p>
      <w:pPr>
        <w:spacing w:after="0" w:line="183"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We have concluded that this material weakness is due to the fact that, between the date the Company went public pursuant to the Business Combination and December 31, 2022, the Company had limited resources and did not have the necessary business processes and related internal controls formally designed and implemented coupled with the appropriate resources with the appropriate level of experience and technical expertise to oversee our closing and financial reporting processes. This material weakness continued to exist as of March 31, 2024 due to the reasons described above, including the period of time required to hire and train new employees with the appropriate level of experience and technical expertise, and because the necessary controls to remediate the material weakness have not been fully implemented and sufficiently tested.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229" w:lineRule="exact"/>
        <w:rPr>
          <w:sz w:val="20"/>
          <w:szCs w:val="20"/>
          <w:color w:val="auto"/>
        </w:rPr>
      </w:pPr>
    </w:p>
    <w:p>
      <w:pPr>
        <w:jc w:val="both"/>
        <w:ind w:left="60" w:right="79" w:firstLine="492"/>
        <w:spacing w:after="0" w:line="261" w:lineRule="auto"/>
        <w:rPr>
          <w:sz w:val="20"/>
          <w:szCs w:val="20"/>
          <w:color w:val="auto"/>
        </w:rPr>
      </w:pPr>
      <w:r>
        <w:rPr>
          <w:rFonts w:ascii="Times New Roman" w:cs="Times New Roman" w:eastAsia="Times New Roman" w:hAnsi="Times New Roman"/>
          <w:sz w:val="18"/>
          <w:szCs w:val="18"/>
          <w:color w:val="auto"/>
        </w:rPr>
        <w:t>Our remediation plan related to the material weakness over our overall closing and financial reporting processes includes:</w:t>
      </w:r>
    </w:p>
    <w:p>
      <w:pPr>
        <w:jc w:val="both"/>
        <w:ind w:left="880" w:right="79" w:hanging="317"/>
        <w:spacing w:after="0" w:line="250"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sufficient personnel with technical accounting and financial reporting experience to augment our current staff, to achieve appropriate segregation of duties and to improve the effectiveness of our closing and financial reporting processes;</w:t>
      </w:r>
    </w:p>
    <w:p>
      <w:pPr>
        <w:spacing w:after="0" w:line="1"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the lack of segregation of duties for change management and logical access over IT systems; and</w:t>
      </w:r>
    </w:p>
    <w:p>
      <w:pPr>
        <w:spacing w:after="0" w:line="9" w:lineRule="exact"/>
        <w:rPr>
          <w:rFonts w:ascii="Times New Roman" w:cs="Times New Roman" w:eastAsia="Times New Roman" w:hAnsi="Times New Roman"/>
          <w:sz w:val="18"/>
          <w:szCs w:val="18"/>
          <w:color w:val="auto"/>
        </w:rPr>
      </w:pPr>
    </w:p>
    <w:p>
      <w:pPr>
        <w:jc w:val="both"/>
        <w:ind w:left="880" w:right="79" w:hanging="317"/>
        <w:spacing w:after="0" w:line="255"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improved accounting and financial reporting procedures and systems to improve the completeness, timeliness and accuracy of our financial reporting and disclosures, including the assessment of more judgmental areas of accounting.</w:t>
      </w:r>
    </w:p>
    <w:p>
      <w:pPr>
        <w:spacing w:after="0" w:line="186"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The elements of our remediation plan can only be accomplished over time, and we can offer no assurance that these initiatives will ultimately have the intended effects. As management continues to evaluate and work to improve our internal control over financial reporting, management may determine it is necessary to take additional measures to address the material weakness. This material weakness will not be considered remediated unless and until such time as management designs and implements effective controls that operate for a sufficient length of time and concludes, through testing, that the controls are effective. Until the controls have been operating for a sufficient length of time and management has concluded, through testing, that the controls are operating effectively, the material weakness described above will continue to exist.</w:t>
      </w:r>
    </w:p>
    <w:p>
      <w:pPr>
        <w:spacing w:after="0" w:line="192"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Management is monitoring the progress of the remediation plan and reporting regularly to the audit committee of the board of directors on the progress and results of the remediation plan, including the identification, status and resolution of internal control deficiencies. We can provide no assurance that the measures we have taken and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these controls and procedures may not be adequate to prevent or identify irregularities or errors or to facilitate the fair presentation of our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Our management concluded that the previously identified material weakness in our internal control over financial reporting related to complex financial instruments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complex financial instruments. This material weakness was remediated as of March 31, 2024 and management has concluded, through testing, that the controls are effective.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Other than the remediation efforts described above, there have been no other changes in our internal control over financial reporting, as such term is defined in Rules 13a-15(f) and 15d-15(f) promulgated under the Exchange Act,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 We accrue for loss contingencies when it is both probable that we will incur the loss and when we can reasonably estimate the amount of the loss or range of loss.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firstLine="567"/>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in our Annual Report on Form 10-K for the year ended December 31, 2023 for a discussion of material factors that make an investment in our ordinary shares speculative or risky.</w:t>
      </w:r>
    </w:p>
    <w:p>
      <w:pPr>
        <w:spacing w:after="0" w:line="3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20" w:type="dxa"/>
            <w:vAlign w:val="bottom"/>
            <w:gridSpan w:val="20"/>
            <w:vMerge w:val="restart"/>
          </w:tcPr>
          <w:p>
            <w:pPr>
              <w:ind w:left="140"/>
              <w:spacing w:after="0"/>
              <w:rPr>
                <w:sz w:val="20"/>
                <w:szCs w:val="20"/>
                <w:color w:val="auto"/>
              </w:rPr>
            </w:pPr>
            <w:r>
              <w:rPr>
                <w:rFonts w:ascii="Times New Roman" w:cs="Times New Roman" w:eastAsia="Times New Roman" w:hAnsi="Times New Roman"/>
                <w:sz w:val="14"/>
                <w:szCs w:val="14"/>
                <w:color w:val="auto"/>
              </w:rPr>
              <w:t>Description</w:t>
            </w:r>
          </w:p>
        </w:tc>
        <w:tc>
          <w:tcPr>
            <w:tcW w:w="140" w:type="dxa"/>
            <w:vAlign w:val="bottom"/>
            <w:vMerge w:val="restart"/>
          </w:tcPr>
          <w:p>
            <w:pPr>
              <w:spacing w:after="0"/>
              <w:rPr>
                <w:sz w:val="13"/>
                <w:szCs w:val="13"/>
                <w:color w:val="auto"/>
              </w:rPr>
            </w:pP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Form</w:t>
            </w:r>
          </w:p>
        </w:tc>
        <w:tc>
          <w:tcPr>
            <w:tcW w:w="160" w:type="dxa"/>
            <w:vAlign w:val="bottom"/>
            <w:vMerge w:val="restart"/>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File No.</w:t>
            </w:r>
          </w:p>
        </w:tc>
        <w:tc>
          <w:tcPr>
            <w:tcW w:w="140" w:type="dxa"/>
            <w:vAlign w:val="bottom"/>
            <w:vMerge w:val="restart"/>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40" w:type="dxa"/>
            <w:vAlign w:val="bottom"/>
            <w:vMerge w:val="restart"/>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Filing Date</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Number</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0"/>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24"/>
                <w:szCs w:val="24"/>
                <w:color w:val="auto"/>
              </w:rPr>
            </w:pPr>
          </w:p>
        </w:tc>
        <w:tc>
          <w:tcPr>
            <w:tcW w:w="31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Agreement and Plan of Merger, dated as of</w:t>
              </w:r>
            </w:hyperlink>
          </w:p>
        </w:tc>
        <w:tc>
          <w:tcPr>
            <w:tcW w:w="32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26"/>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October 6, 2021, by and among Supernova</w:t>
              </w:r>
            </w:hyperlink>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Partners Acquisition Company II, Ltd.,</w:t>
              </w:r>
            </w:hyperlink>
          </w:p>
        </w:tc>
        <w:tc>
          <w:tcPr>
            <w:tcW w:w="3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26"/>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Supernova Merger Sub, Inc., Supernova</w:t>
              </w:r>
            </w:hyperlink>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62">
              <w:r>
                <w:rPr>
                  <w:rFonts w:ascii="Times New Roman" w:cs="Times New Roman" w:eastAsia="Times New Roman" w:hAnsi="Times New Roman"/>
                  <w:sz w:val="18"/>
                  <w:szCs w:val="18"/>
                  <w:color w:val="0000EE"/>
                  <w:w w:val="96"/>
                </w:rPr>
                <w:t>Romeo</w:t>
              </w:r>
            </w:hyperlink>
          </w:p>
        </w:tc>
        <w:tc>
          <w:tcPr>
            <w:tcW w:w="2360" w:type="dxa"/>
            <w:vAlign w:val="bottom"/>
            <w:tcBorders>
              <w:top w:val="single" w:sz="8" w:color="0000EE"/>
            </w:tcBorders>
            <w:gridSpan w:val="12"/>
          </w:tcPr>
          <w:p>
            <w:pPr>
              <w:spacing w:after="0"/>
              <w:rPr>
                <w:sz w:val="17"/>
                <w:szCs w:val="17"/>
                <w:color w:val="auto"/>
              </w:rPr>
            </w:pPr>
          </w:p>
        </w:tc>
        <w:tc>
          <w:tcPr>
            <w:tcW w:w="540" w:type="dxa"/>
            <w:vAlign w:val="bottom"/>
            <w:gridSpan w:val="11"/>
          </w:tcPr>
          <w:p>
            <w:pPr>
              <w:spacing w:after="0"/>
              <w:rPr>
                <w:sz w:val="17"/>
                <w:szCs w:val="17"/>
                <w:color w:val="auto"/>
              </w:rPr>
            </w:pPr>
          </w:p>
        </w:tc>
        <w:tc>
          <w:tcPr>
            <w:tcW w:w="96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001-40140</w:t>
            </w:r>
          </w:p>
        </w:tc>
        <w:tc>
          <w:tcPr>
            <w:tcW w:w="14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October 6, 2021</w:t>
            </w:r>
          </w:p>
        </w:tc>
        <w:tc>
          <w:tcPr>
            <w:tcW w:w="0" w:type="dxa"/>
            <w:vAlign w:val="bottom"/>
          </w:tcPr>
          <w:p>
            <w:pPr>
              <w:spacing w:after="0"/>
              <w:rPr>
                <w:sz w:val="1"/>
                <w:szCs w:val="1"/>
                <w:color w:val="auto"/>
              </w:rPr>
            </w:pPr>
          </w:p>
        </w:tc>
      </w:tr>
      <w:tr>
        <w:trPr>
          <w:trHeight w:val="34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4"/>
                <w:szCs w:val="24"/>
                <w:color w:val="auto"/>
              </w:rPr>
            </w:pPr>
          </w:p>
        </w:tc>
        <w:tc>
          <w:tcPr>
            <w:tcW w:w="31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First Amendment to Agreement and Plan of</w:t>
              </w:r>
            </w:hyperlink>
          </w:p>
        </w:tc>
        <w:tc>
          <w:tcPr>
            <w:tcW w:w="26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Merger, dated as of December 23, 2021, by</w:t>
              </w:r>
            </w:hyperlink>
          </w:p>
        </w:tc>
        <w:tc>
          <w:tcPr>
            <w:tcW w:w="30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26"/>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and among Supernova Partners Acquisition</w:t>
              </w:r>
            </w:hyperlink>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Company II, Ltd., Supernova Merger Sub,</w:t>
              </w:r>
            </w:hyperlink>
          </w:p>
        </w:tc>
        <w:tc>
          <w:tcPr>
            <w:tcW w:w="30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Inc., Supernova Romeo Merger Sub, LLC</w:t>
              </w:r>
            </w:hyperlink>
          </w:p>
        </w:tc>
        <w:tc>
          <w:tcPr>
            <w:tcW w:w="38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and Rigetti Holdings, Inc.</w:t>
              </w:r>
            </w:hyperlink>
          </w:p>
        </w:tc>
        <w:tc>
          <w:tcPr>
            <w:tcW w:w="1560" w:type="dxa"/>
            <w:vAlign w:val="bottom"/>
            <w:gridSpan w:val="18"/>
          </w:tcPr>
          <w:p>
            <w:pPr>
              <w:spacing w:after="0"/>
              <w:rPr>
                <w:sz w:val="17"/>
                <w:szCs w:val="17"/>
                <w:color w:val="auto"/>
              </w:rPr>
            </w:pPr>
          </w:p>
        </w:tc>
        <w:tc>
          <w:tcPr>
            <w:tcW w:w="96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001-40140</w:t>
            </w:r>
          </w:p>
        </w:tc>
        <w:tc>
          <w:tcPr>
            <w:tcW w:w="14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December 23, 2021</w:t>
            </w:r>
          </w:p>
        </w:tc>
        <w:tc>
          <w:tcPr>
            <w:tcW w:w="0" w:type="dxa"/>
            <w:vAlign w:val="bottom"/>
          </w:tcPr>
          <w:p>
            <w:pPr>
              <w:spacing w:after="0"/>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31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Second Amendment to Agreement and Plan</w:t>
              </w:r>
            </w:hyperlink>
          </w:p>
        </w:tc>
        <w:tc>
          <w:tcPr>
            <w:tcW w:w="26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26"/>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of Merger, dated as of January 10, 2022, by</w:t>
              </w:r>
            </w:hyperlink>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26"/>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and among Supernova Partners Acquisition</w:t>
              </w:r>
            </w:hyperlink>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Company II, Ltd., Supernova Merger Sub,</w:t>
              </w:r>
            </w:hyperlink>
          </w:p>
        </w:tc>
        <w:tc>
          <w:tcPr>
            <w:tcW w:w="30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Inc., Supernova Romeo Merger Sub, LLC</w:t>
              </w:r>
            </w:hyperlink>
          </w:p>
        </w:tc>
        <w:tc>
          <w:tcPr>
            <w:tcW w:w="38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and Rigetti Holdings, Inc.</w:t>
              </w:r>
            </w:hyperlink>
          </w:p>
        </w:tc>
        <w:tc>
          <w:tcPr>
            <w:tcW w:w="1560" w:type="dxa"/>
            <w:vAlign w:val="bottom"/>
            <w:gridSpan w:val="18"/>
          </w:tcPr>
          <w:p>
            <w:pPr>
              <w:spacing w:after="0"/>
              <w:rPr>
                <w:sz w:val="17"/>
                <w:szCs w:val="17"/>
                <w:color w:val="auto"/>
              </w:rPr>
            </w:pPr>
          </w:p>
        </w:tc>
        <w:tc>
          <w:tcPr>
            <w:tcW w:w="96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001-40140</w:t>
            </w:r>
          </w:p>
        </w:tc>
        <w:tc>
          <w:tcPr>
            <w:tcW w:w="14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January 10, 2022</w:t>
            </w:r>
          </w:p>
        </w:tc>
        <w:tc>
          <w:tcPr>
            <w:tcW w:w="0" w:type="dxa"/>
            <w:vAlign w:val="bottom"/>
          </w:tcPr>
          <w:p>
            <w:pPr>
              <w:spacing w:after="0"/>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420" w:type="dxa"/>
            <w:vAlign w:val="bottom"/>
            <w:gridSpan w:val="26"/>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Certificate of Incorporation of Rigetti</w:t>
              </w:r>
            </w:hyperlink>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Computing, Inc.</w:t>
              </w:r>
            </w:hyperlink>
          </w:p>
        </w:tc>
        <w:tc>
          <w:tcPr>
            <w:tcW w:w="720" w:type="dxa"/>
            <w:vAlign w:val="bottom"/>
            <w:gridSpan w:val="15"/>
          </w:tcPr>
          <w:p>
            <w:pPr>
              <w:spacing w:after="0"/>
              <w:rPr>
                <w:sz w:val="17"/>
                <w:szCs w:val="17"/>
                <w:color w:val="auto"/>
              </w:rPr>
            </w:pPr>
          </w:p>
        </w:tc>
        <w:tc>
          <w:tcPr>
            <w:tcW w:w="96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001-40140</w:t>
            </w:r>
          </w:p>
        </w:tc>
        <w:tc>
          <w:tcPr>
            <w:tcW w:w="14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March 7, 2022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29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Amended and Restated Bylaws of Rigetti</w:t>
              </w:r>
            </w:hyperlink>
          </w:p>
        </w:tc>
        <w:tc>
          <w:tcPr>
            <w:tcW w:w="44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26"/>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Computing, Inc.</w:t>
              </w:r>
            </w:hyperlink>
          </w:p>
        </w:tc>
        <w:tc>
          <w:tcPr>
            <w:tcW w:w="96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001-40140</w:t>
            </w:r>
          </w:p>
        </w:tc>
        <w:tc>
          <w:tcPr>
            <w:tcW w:w="14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November 14, 2022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26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Specimen Common Stock Certificate</w:t>
              </w:r>
            </w:hyperlink>
          </w:p>
        </w:tc>
        <w:tc>
          <w:tcPr>
            <w:tcW w:w="740" w:type="dxa"/>
            <w:vAlign w:val="bottom"/>
            <w:gridSpan w:val="16"/>
          </w:tcPr>
          <w:p>
            <w:pPr>
              <w:spacing w:after="0"/>
              <w:rPr>
                <w:sz w:val="24"/>
                <w:szCs w:val="24"/>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001-40140</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2022</w:t>
            </w:r>
          </w:p>
        </w:tc>
        <w:tc>
          <w:tcPr>
            <w:tcW w:w="0" w:type="dxa"/>
            <w:vAlign w:val="bottom"/>
          </w:tcPr>
          <w:p>
            <w:pPr>
              <w:spacing w:after="0"/>
              <w:rPr>
                <w:sz w:val="1"/>
                <w:szCs w:val="1"/>
                <w:color w:val="auto"/>
              </w:rPr>
            </w:pPr>
          </w:p>
        </w:tc>
      </w:tr>
      <w:tr>
        <w:trPr>
          <w:trHeight w:val="34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3420" w:type="dxa"/>
            <w:vAlign w:val="bottom"/>
            <w:gridSpan w:val="26"/>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Specimen Warrant Certificate</w:t>
              </w:r>
            </w:hyperlink>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001-40140</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420" w:type="dxa"/>
            <w:vAlign w:val="bottom"/>
            <w:gridSpan w:val="26"/>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Sales Agreement, by and among Rigetti</w:t>
              </w:r>
            </w:hyperlink>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Computing, Inc, Needham &amp; Company, LLC</w:t>
              </w:r>
            </w:hyperlink>
          </w:p>
        </w:tc>
        <w:tc>
          <w:tcPr>
            <w:tcW w:w="1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and B. Riley Securities, Inc., dated March</w:t>
              </w:r>
            </w:hyperlink>
          </w:p>
        </w:tc>
        <w:tc>
          <w:tcPr>
            <w:tcW w:w="38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60" w:type="dxa"/>
            <w:vAlign w:val="bottom"/>
            <w:gridSpan w:val="5"/>
          </w:tcPr>
          <w:p>
            <w:pPr>
              <w:ind w:left="140"/>
              <w:spacing w:after="0" w:line="196" w:lineRule="exact"/>
              <w:rPr>
                <w:rFonts w:ascii="Times New Roman" w:cs="Times New Roman" w:eastAsia="Times New Roman" w:hAnsi="Times New Roman"/>
                <w:sz w:val="18"/>
                <w:szCs w:val="18"/>
                <w:color w:val="0000EE"/>
                <w:w w:val="95"/>
              </w:rPr>
            </w:pPr>
            <w:hyperlink r:id="rId69">
              <w:r>
                <w:rPr>
                  <w:rFonts w:ascii="Times New Roman" w:cs="Times New Roman" w:eastAsia="Times New Roman" w:hAnsi="Times New Roman"/>
                  <w:sz w:val="18"/>
                  <w:szCs w:val="18"/>
                  <w:color w:val="0000EE"/>
                  <w:w w:val="95"/>
                </w:rPr>
                <w:t>15, 2024</w:t>
              </w:r>
            </w:hyperlink>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001-40140</w:t>
            </w:r>
          </w:p>
        </w:tc>
        <w:tc>
          <w:tcPr>
            <w:tcW w:w="14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Pr>
          <w:p>
            <w:pPr>
              <w:spacing w:after="0"/>
              <w:rPr>
                <w:sz w:val="17"/>
                <w:szCs w:val="17"/>
                <w:color w:val="auto"/>
              </w:rPr>
            </w:pPr>
          </w:p>
        </w:tc>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15, 2024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24"/>
                <w:szCs w:val="24"/>
                <w:color w:val="auto"/>
              </w:rPr>
            </w:pPr>
          </w:p>
        </w:tc>
        <w:tc>
          <w:tcPr>
            <w:tcW w:w="2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Non-Employee Director Compensation</w:t>
            </w:r>
          </w:p>
        </w:tc>
        <w:tc>
          <w:tcPr>
            <w:tcW w:w="560" w:type="dxa"/>
            <w:vAlign w:val="bottom"/>
            <w:gridSpan w:val="12"/>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Policy</w:t>
            </w:r>
          </w:p>
        </w:tc>
        <w:tc>
          <w:tcPr>
            <w:tcW w:w="2960" w:type="dxa"/>
            <w:vAlign w:val="bottom"/>
            <w:gridSpan w:val="24"/>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40" w:type="dxa"/>
            <w:vAlign w:val="bottom"/>
          </w:tcPr>
          <w:p>
            <w:pPr>
              <w:spacing w:after="0"/>
              <w:rPr>
                <w:sz w:val="24"/>
                <w:szCs w:val="24"/>
                <w:color w:val="auto"/>
              </w:rPr>
            </w:pPr>
          </w:p>
        </w:tc>
        <w:tc>
          <w:tcPr>
            <w:tcW w:w="34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2022</w:t>
            </w:r>
          </w:p>
        </w:tc>
        <w:tc>
          <w:tcPr>
            <w:tcW w:w="1580" w:type="dxa"/>
            <w:vAlign w:val="bottom"/>
            <w:tcBorders>
              <w:top w:val="single" w:sz="8" w:color="0000EE"/>
            </w:tcBorders>
            <w:gridSpan w:val="10"/>
          </w:tcPr>
          <w:p>
            <w:pPr>
              <w:spacing w:after="0"/>
              <w:rPr>
                <w:sz w:val="17"/>
                <w:szCs w:val="17"/>
                <w:color w:val="auto"/>
              </w:rPr>
            </w:pPr>
          </w:p>
        </w:tc>
        <w:tc>
          <w:tcPr>
            <w:tcW w:w="50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40" w:type="dxa"/>
            <w:vAlign w:val="bottom"/>
          </w:tcPr>
          <w:p>
            <w:pPr>
              <w:spacing w:after="0"/>
              <w:rPr>
                <w:sz w:val="24"/>
                <w:szCs w:val="24"/>
                <w:color w:val="auto"/>
              </w:rPr>
            </w:pPr>
          </w:p>
        </w:tc>
        <w:tc>
          <w:tcPr>
            <w:tcW w:w="28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600" w:type="dxa"/>
            <w:vAlign w:val="bottom"/>
            <w:gridSpan w:val="13"/>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50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40" w:type="dxa"/>
            <w:vAlign w:val="bottom"/>
          </w:tcPr>
          <w:p>
            <w:pPr>
              <w:spacing w:after="0"/>
              <w:rPr>
                <w:sz w:val="24"/>
                <w:szCs w:val="24"/>
                <w:color w:val="auto"/>
              </w:rPr>
            </w:pPr>
          </w:p>
        </w:tc>
        <w:tc>
          <w:tcPr>
            <w:tcW w:w="31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and</w:t>
            </w:r>
          </w:p>
        </w:tc>
        <w:tc>
          <w:tcPr>
            <w:tcW w:w="24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Chief Financial Officer Pursuant to 18</w:t>
            </w:r>
          </w:p>
        </w:tc>
        <w:tc>
          <w:tcPr>
            <w:tcW w:w="62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 Oxley Act of</w:t>
            </w:r>
          </w:p>
        </w:tc>
        <w:tc>
          <w:tcPr>
            <w:tcW w:w="30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tabs>
          <w:tab w:leader="none" w:pos="94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Inline XBRL Instance Document—the</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instance document does not appear in the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interactive data file because its XBRL tags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are embedded within the Inline XBRL</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document.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  Inline XBRL Taxonomy Extension Schema</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Document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101.CAL*  Inline XBRL Taxonomy Extension</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Calculation Linkbase Document</w:t>
      </w:r>
    </w:p>
    <w:p>
      <w:pPr>
        <w:spacing w:after="0" w:line="139"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Inline XBRL Taxonomy Extension</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Definition Linkbase Document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101.LAB*  Inline XBRL Taxonomy Extension Label</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139"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Presentation Linkbase Document</w:t>
      </w:r>
    </w:p>
    <w:p>
      <w:pPr>
        <w:spacing w:after="0" w:line="139"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as Inline XBRL and contained in Exhibit</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7"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RIGETTI COMPUTING, INC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 Subodh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19685</wp:posOffset>
            </wp:positionV>
            <wp:extent cx="2820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Subodh Kulkarni, President and Chief Executive Officer</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 and Duly Authorized Officer)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 Jeffrey A.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19685</wp:posOffset>
            </wp:positionV>
            <wp:extent cx="2820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Jeffrey A. Bertelsen, Chief Financial Officer</w:t>
      </w:r>
    </w:p>
    <w:p>
      <w:pPr>
        <w:spacing w:after="0" w:line="23" w:lineRule="exact"/>
        <w:rPr>
          <w:sz w:val="20"/>
          <w:szCs w:val="20"/>
          <w:color w:val="auto"/>
        </w:rPr>
      </w:pPr>
    </w:p>
    <w:p>
      <w:pPr>
        <w:jc w:val="right"/>
        <w:ind w:right="159"/>
        <w:spacing w:after="0"/>
        <w:rPr>
          <w:sz w:val="20"/>
          <w:szCs w:val="20"/>
          <w:color w:val="auto"/>
        </w:rPr>
      </w:pPr>
      <w:r>
        <w:rPr>
          <w:rFonts w:ascii="Times New Roman" w:cs="Times New Roman" w:eastAsia="Times New Roman" w:hAnsi="Times New Roman"/>
          <w:sz w:val="18"/>
          <w:szCs w:val="18"/>
          <w:color w:val="auto"/>
        </w:rPr>
        <w:t>(Principal Accounting Officer and Duly Authorized Officer)</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Dated: 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OCTOBER 30,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who is not also serving as an employee of or consultant to Rigetti Computing,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any of its subsidiaries (each such member, an “</w:t>
      </w:r>
      <w:r>
        <w:rPr>
          <w:rFonts w:ascii="Times New Roman" w:cs="Times New Roman" w:eastAsia="Times New Roman" w:hAnsi="Times New Roman"/>
          <w:sz w:val="18"/>
          <w:szCs w:val="18"/>
          <w:b w:val="1"/>
          <w:bCs w:val="1"/>
          <w:i w:val="1"/>
          <w:iCs w:val="1"/>
          <w:color w:val="auto"/>
        </w:rPr>
        <w:t>Eligible Director</w:t>
      </w:r>
      <w:r>
        <w:rPr>
          <w:rFonts w:ascii="Times New Roman" w:cs="Times New Roman" w:eastAsia="Times New Roman" w:hAnsi="Times New Roman"/>
          <w:sz w:val="18"/>
          <w:szCs w:val="18"/>
          <w:color w:val="auto"/>
        </w:rPr>
        <w:t>”) will receive the compensation described in this Non-Employee Director Compensation Policy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for his or her Board service following the date first set forth above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 Eligible Director may decline all or any portion of his or her compensation by giving notice to the Company prior to the date cash may be paid or equity awards are to be granted, as the case may be, in accordance with this Policy. This Policy is effective as of the Effective Date and may be amended at any time in the sole discretion of the Board or Compensation Committee of the Board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Capitalized terms not otherwise defined herein shall have the meanings set forth in the Company’s 2022 Equity Incentive Plan, or any successor thereto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Cash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the Eligible Director will be paid regular full quarterly payments thereafter. All annual cash fees are vested upon payment. If an Eligible Director terminates service on the Board or a committee during the course of a fiscal quarter, the annual retainer amount for the fiscal quarter in which such termination occurs will be prorated based on days served in such fiscal quarter.</w:t>
      </w:r>
    </w:p>
    <w:p>
      <w:pPr>
        <w:spacing w:after="0" w:line="19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Board Service Retainer</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Directors: $36,000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Chair (in addition to annual service retainer): $22,500</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Chair Service Retainer</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$18,000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 $10,800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$8,100</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Member Service Retainer (not applicable to Committee Chairs)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$9,000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$5,400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$4,050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reimburse Eligible Directors for ordinary, necessary and reasonable out-of-pocket travel expenses to cover in-person attendance at and participation in Board and committee meetings;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that the Eligible Director timely submit to the Company appropriate documentation substantiating such expenses in accordance with the Company’s travel and expense Policy, as in effect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grants of equity awards to Eligible Directors pursuant to this Policy will be nondiscretionary, automatic (without the need for any additional corporate action by the Board or the Compensation Committee) except as otherwise provided below and made in accordance with the following provisions. The equity compensation set forth below will be granted subject to the terms and conditions of the Plan and an applicable award agreement.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Non-Executive Chair Initial Grant</w:t>
      </w:r>
      <w:r>
        <w:rPr>
          <w:rFonts w:ascii="Times New Roman" w:cs="Times New Roman" w:eastAsia="Times New Roman" w:hAnsi="Times New Roman"/>
          <w:sz w:val="18"/>
          <w:szCs w:val="18"/>
          <w:color w:val="auto"/>
        </w:rPr>
        <w:t>: With respect to the Non-Executive Chair of the Board who is first elected or appointed to the Board following the Effective Date, as soon as practicable following the date of such election or appointment, the Board or Compensation Committee will grant such Eligible Director stock options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to purchase shares of Common Stock with an aggregate Fair Market Value (as defined in the Plan) as of the grant date equal to $1,000,000 (the “</w:t>
      </w:r>
      <w:r>
        <w:rPr>
          <w:rFonts w:ascii="Times New Roman" w:cs="Times New Roman" w:eastAsia="Times New Roman" w:hAnsi="Times New Roman"/>
          <w:sz w:val="18"/>
          <w:szCs w:val="18"/>
          <w:b w:val="1"/>
          <w:bCs w:val="1"/>
          <w:i w:val="1"/>
          <w:iCs w:val="1"/>
          <w:color w:val="auto"/>
        </w:rPr>
        <w:t>Initial Option Grant</w:t>
      </w:r>
      <w:r>
        <w:rPr>
          <w:rFonts w:ascii="Times New Roman" w:cs="Times New Roman" w:eastAsia="Times New Roman" w:hAnsi="Times New Roman"/>
          <w:sz w:val="18"/>
          <w:szCs w:val="18"/>
          <w:color w:val="auto"/>
        </w:rPr>
        <w:t>”); provided that the Initial Option Grant will be subject to a maximum of 720,000 shares of Common Stock. The Initial Option Grant will be nonstatutory stock options, will have an exercise price per share equal to 100% of the Fair Market Value (as defined in the Plan) of a share of Common Stock on the date of grant, and will vest over a three-year period, with one-third (1/3) of the Initial Option Grant vesting on the first anniversary of the grant date, one-third (1/3) of the Initial Option Grant vesting on the second anniversary of the grant date and the remaining one-third (1/3) of the Initial Option Grant vesting on the third anniversary of the grant date, such that the Initial Option Grant is fully vested on the third anniversary of the date of grant, subject to the Eligible Director’s Continuous Service (as defined in the Plan) through each such vesting date.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Non-Executive Chair Annual Grant</w:t>
      </w:r>
      <w:r>
        <w:rPr>
          <w:rFonts w:ascii="Times New Roman" w:cs="Times New Roman" w:eastAsia="Times New Roman" w:hAnsi="Times New Roman"/>
          <w:sz w:val="18"/>
          <w:szCs w:val="18"/>
          <w:color w:val="auto"/>
        </w:rPr>
        <w:t>: On the date of each annual stockholder meeting of the Company (each, an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held after the Effective Date, with respect to the Non-Executive Chair of the Board who continues to serve in such capacity following such Annual Meeting, the Eligible Director will be automatically, and without further action by the Board or the Compensation Committee, granted Options with an aggregate Fair Market Value as of the grant date equal to $420,000 (the “</w:t>
      </w:r>
      <w:r>
        <w:rPr>
          <w:rFonts w:ascii="Times New Roman" w:cs="Times New Roman" w:eastAsia="Times New Roman" w:hAnsi="Times New Roman"/>
          <w:sz w:val="18"/>
          <w:szCs w:val="18"/>
          <w:b w:val="1"/>
          <w:bCs w:val="1"/>
          <w:i w:val="1"/>
          <w:iCs w:val="1"/>
          <w:color w:val="auto"/>
        </w:rPr>
        <w:t>Annual Option Grant</w:t>
      </w:r>
      <w:r>
        <w:rPr>
          <w:rFonts w:ascii="Times New Roman" w:cs="Times New Roman" w:eastAsia="Times New Roman" w:hAnsi="Times New Roman"/>
          <w:sz w:val="18"/>
          <w:szCs w:val="18"/>
          <w:color w:val="auto"/>
        </w:rPr>
        <w:t>”); provided that such Eligible Director remains in Continuous Service through the grant date; provided, further that the Annual Option Grant will be subject to a maximum of 140,000 shares of Common Stock. The Annual Option Grant will be nonstatutory stock options, will have an exercise price per share equal to 100% of the Fair Market Value of a share of Common Stock on the date of grant, and will vest in full on the earlier of (i) the date of the following year’s Annual Meeting (or the date immediately prior to the next Annual Meeting if the Eligible Director’s service as a director ends at such Annual Meeting due to the director’s failure to be re-elected or the director not standing for re-election); or (ii) the one-year anniversary measured from the date of grant, in each case subject to the Eligible Director’s Continuous Service through such vesting date.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Initial Grant (other than for Non-Executive Chair)</w:t>
      </w:r>
      <w:r>
        <w:rPr>
          <w:rFonts w:ascii="Times New Roman" w:cs="Times New Roman" w:eastAsia="Times New Roman" w:hAnsi="Times New Roman"/>
          <w:sz w:val="18"/>
          <w:szCs w:val="18"/>
          <w:color w:val="auto"/>
        </w:rPr>
        <w:t>: For each Eligible Director, other than the Non-Executive Chair of the Board, who is first elected or appointed to the Board following the Effective Date, as soon as practicable following the date of such election or appointment, the Board or Compensation Committee will grant such Eligible Director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with respect to shares of Common Stock with an aggregate Fair Market Value (as defined in the Plan) as of the grant date equal to $210,000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RSU Grant</w:t>
      </w:r>
      <w:r>
        <w:rPr>
          <w:rFonts w:ascii="Times New Roman" w:cs="Times New Roman" w:eastAsia="Times New Roman" w:hAnsi="Times New Roman"/>
          <w:sz w:val="18"/>
          <w:szCs w:val="18"/>
          <w:color w:val="auto"/>
        </w:rPr>
        <w:t>”). The Initial RSU Grant will vest over a three-year period, with one-third (1/3) of the Initial RSU Grant vesting on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anniversary of the grant date, one-third (1/3) of the Initial RSU Grant vesting on the second anniversary of the grant date and the remaining one-third (1/3) of the Initial RSU Grant vesting on the third anniversary of the grant date, such that the Initial RSU Grant is fully vested on the third anniversary of the date of grant, subject to the Eligible Director’s Continuous Service (as defined in the Plan) through each such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2" w:name="page53"/>
    <w:bookmarkEnd w:id="52"/>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Annual Grant (other than for Non-Executive Chair)</w:t>
      </w:r>
      <w:r>
        <w:rPr>
          <w:rFonts w:ascii="Times New Roman" w:cs="Times New Roman" w:eastAsia="Times New Roman" w:hAnsi="Times New Roman"/>
          <w:sz w:val="18"/>
          <w:szCs w:val="18"/>
          <w:color w:val="auto"/>
        </w:rPr>
        <w:t>: On the date of each Annual Meeting held after the Effective Date, each Eligible Director, other than the Non-Executive Chair of the Board, who continues to serve as a non-employee member of the Board following such Annual Meeting (excluding any Eligible Director who is first appointed or elected by the Board at the Annual Meeting) will be automatically, and without further action by the Board or the Compensation Committee, granted RSUs with an aggregate Fair Market Value as of the grant date equal to $140,000 (the “</w:t>
      </w:r>
      <w:r>
        <w:rPr>
          <w:rFonts w:ascii="Times New Roman" w:cs="Times New Roman" w:eastAsia="Times New Roman" w:hAnsi="Times New Roman"/>
          <w:sz w:val="18"/>
          <w:szCs w:val="18"/>
          <w:b w:val="1"/>
          <w:bCs w:val="1"/>
          <w:i w:val="1"/>
          <w:iCs w:val="1"/>
          <w:color w:val="auto"/>
        </w:rPr>
        <w:t>Annual RSU Grant</w:t>
      </w:r>
      <w:r>
        <w:rPr>
          <w:rFonts w:ascii="Times New Roman" w:cs="Times New Roman" w:eastAsia="Times New Roman" w:hAnsi="Times New Roman"/>
          <w:sz w:val="18"/>
          <w:szCs w:val="18"/>
          <w:color w:val="auto"/>
        </w:rPr>
        <w:t>”); provided that such Eligible Director remains in Continuous Service through the grant date. The Annual RSU Grant will vest in full on the earlier of (i) the date of the following year’s Annual Meeting (or the date immediately prior to the next Annual Meeting if the Eligible Director’s service as a director ends at such Annual Meeting due to the director’s failure to be re-elected or the director not standing for re-election); or (ii) the one-year anniversary measured from the date of grant, in each case subject to the Eligible Director’s Continuous Service through such vesting date. With respect to an Eligible Director who, following the Effective Date, was first elected or appointed to the Board on a date other than the date of the Annual Meeting, upon the first Annual Meeting following such Eligible Director’s first joining the Board, such Eligible Director’s first Annual Grant will be pro-rated to reflect the time between such Eligible Director’s election or appointment date and the date of such first Annual Meeting.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Settlement of RSUs</w:t>
      </w:r>
      <w:r>
        <w:rPr>
          <w:rFonts w:ascii="Times New Roman" w:cs="Times New Roman" w:eastAsia="Times New Roman" w:hAnsi="Times New Roman"/>
          <w:sz w:val="18"/>
          <w:szCs w:val="18"/>
          <w:color w:val="auto"/>
        </w:rPr>
        <w:t>: The Common Stock to be issued upon settlement of vested RSUs under Initial RSU Grants and Annual RSU Grants will be delivered on the applicable vesting date, or as soon as practicable thereafter, subject to the terms and conditions of the applicable form of RSU grant notice and agreement approved by the Board, provided, that such Common Stock shall be delivered no later than the date that is the 15th day of the third calendar month of the year following the year in which such shares are no longer subject to a “substantial risk of forfeiture” within the meaning of Treasury Regulations Section 1.409A-1(d).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Acceleration of Equity Grants</w:t>
      </w:r>
      <w:r>
        <w:rPr>
          <w:rFonts w:ascii="Times New Roman" w:cs="Times New Roman" w:eastAsia="Times New Roman" w:hAnsi="Times New Roman"/>
          <w:sz w:val="18"/>
          <w:szCs w:val="18"/>
          <w:color w:val="auto"/>
        </w:rPr>
        <w:t>: Notwithstanding the foregoing vesting schedules, the Initial Option Grants, the Annual Option Grants, the Initial RSU Grants and Annual RSU Grants shall vest in full immediately prior to, but conditioned upon, the closing of a Change in Control (as defined in the Plan), subject to such Eligible Director remaining in Continuous Service with the Company until immediately prior to the closing of such Change in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Provisions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provisions of the Plan not inconsistent with this Policy will apply to awards granted to Eligible Directors. Eligible Directors will be required to execute an award agreement in a form satisfactory to the Company prior to receipt of an equity grant. An Eligible Director may decline all or any portion of his or her compensation by giving notice to the Company no later than thirty business days prior to the date cash is to be paid or equity awards are to be granted, provided, that if an Eligible Director is not providing services to the Board on the date that is thirty business days prior to the date cash is to be paid or equity awards are to be granted, then such Eligible Director may notify the Company as soon as possible prior to the date cash is to be paid or equity awards are to be granted, as the case may be.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Limit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aggregate value of all compensation granted or paid, as applicable, to any individual for service as an Eligible Director shall in no event exceed the limits set forth in Section 3(d) of the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Subodh Kulkarni,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Rigetti Computing,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 w:firstLine="8"/>
        <w:spacing w:after="0" w:line="276" w:lineRule="auto"/>
        <w:tabs>
          <w:tab w:leader="none" w:pos="1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340" w:right="180" w:firstLine="640"/>
        <w:spacing w:after="0" w:line="266" w:lineRule="auto"/>
        <w:tabs>
          <w:tab w:leader="none" w:pos="12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25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firstLine="640"/>
        <w:spacing w:after="0" w:line="266" w:lineRule="auto"/>
        <w:tabs>
          <w:tab w:leader="none" w:pos="12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40" w:right="200" w:firstLine="640"/>
        <w:spacing w:after="0" w:line="266" w:lineRule="auto"/>
        <w:tabs>
          <w:tab w:leader="none" w:pos="124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right="12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40" w:right="260" w:firstLine="640"/>
        <w:spacing w:after="0" w:line="266" w:lineRule="auto"/>
        <w:tabs>
          <w:tab w:leader="none" w:pos="12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right="340" w:firstLine="640"/>
        <w:spacing w:after="0" w:line="282" w:lineRule="auto"/>
        <w:tabs>
          <w:tab w:leader="none" w:pos="124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May 9, 2024</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 Subodh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19685</wp:posOffset>
            </wp:positionV>
            <wp:extent cx="31457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Subodh Kulkarni</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A. Bertelsen,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Rigetti Computing,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 w:firstLine="8"/>
        <w:spacing w:after="0" w:line="276" w:lineRule="auto"/>
        <w:tabs>
          <w:tab w:leader="none" w:pos="1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340" w:right="180" w:firstLine="640"/>
        <w:spacing w:after="0" w:line="266" w:lineRule="auto"/>
        <w:tabs>
          <w:tab w:leader="none" w:pos="123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25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firstLine="640"/>
        <w:spacing w:after="0" w:line="266" w:lineRule="auto"/>
        <w:tabs>
          <w:tab w:leader="none" w:pos="123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40" w:right="200" w:firstLine="640"/>
        <w:spacing w:after="0" w:line="266" w:lineRule="auto"/>
        <w:tabs>
          <w:tab w:leader="none" w:pos="12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right="12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40" w:right="260" w:firstLine="640"/>
        <w:spacing w:after="0" w:line="266" w:lineRule="auto"/>
        <w:tabs>
          <w:tab w:leader="none" w:pos="123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right="340" w:firstLine="640"/>
        <w:spacing w:after="0" w:line="282" w:lineRule="auto"/>
        <w:tabs>
          <w:tab w:leader="none" w:pos="12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May 9, 2024</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 Jeffrey A.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19685</wp:posOffset>
            </wp:positionV>
            <wp:extent cx="31457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Jeffrey A. Bertelsen</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and Jeffrey A. Bertelsen, Chief Financial Officer of the Company, each hereby certifies that, to the best of his knowledge:</w:t>
      </w:r>
    </w:p>
    <w:p>
      <w:pPr>
        <w:spacing w:after="0" w:line="180" w:lineRule="exact"/>
        <w:rPr>
          <w:sz w:val="20"/>
          <w:szCs w:val="20"/>
          <w:color w:val="auto"/>
        </w:rPr>
      </w:pPr>
    </w:p>
    <w:p>
      <w:pPr>
        <w:ind w:left="340" w:right="120" w:firstLine="316"/>
        <w:spacing w:after="0" w:line="312" w:lineRule="auto"/>
        <w:tabs>
          <w:tab w:leader="none" w:pos="84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Quarterly Report on Form 10-Q for the period ended March 31, 2024, to which this Certification is attached as Exhibit 32.1 (the “Periodic Report”), fully complies with the requirements of Section 13(a) or 15(d) of the Exchange Act; and</w:t>
      </w:r>
    </w:p>
    <w:p>
      <w:pPr>
        <w:spacing w:after="0" w:line="139" w:lineRule="exact"/>
        <w:rPr>
          <w:rFonts w:ascii="Times New Roman" w:cs="Times New Roman" w:eastAsia="Times New Roman" w:hAnsi="Times New Roman"/>
          <w:sz w:val="17"/>
          <w:szCs w:val="17"/>
          <w:color w:val="auto"/>
        </w:rPr>
      </w:pPr>
    </w:p>
    <w:p>
      <w:pPr>
        <w:ind w:left="340" w:right="40" w:firstLine="316"/>
        <w:spacing w:after="0" w:line="282" w:lineRule="auto"/>
        <w:tabs>
          <w:tab w:leader="none" w:pos="8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9th day of May, 2024.</w:t>
      </w: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 Subodh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19685</wp:posOffset>
            </wp:positionV>
            <wp:extent cx="3145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Subodh Kulkarni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May 9, 2024</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 Jeffrey A.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19685</wp:posOffset>
            </wp:positionV>
            <wp:extent cx="31457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Jeffrey A. Bertelsen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1)"/>
      <w:numFmt w:val="lowerRoman"/>
      <w:start w:val="1"/>
    </w:lvl>
  </w:abstractNum>
  <w:abstractNum w:abstractNumId="10">
    <w:nsid w:val="519B500D"/>
    <w:multiLevelType w:val="hybridMultilevel"/>
    <w:lvl w:ilvl="0">
      <w:lvlJc w:val="left"/>
      <w:lvlText w:val="(%1)"/>
      <w:numFmt w:val="lowerRoman"/>
      <w:start w:val="1"/>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62" Type="http://schemas.openxmlformats.org/officeDocument/2006/relationships/hyperlink" Target="https://www.sec.gov/Archives/edgar/data/1838359/000119312521292696/d228756dex21.htm" TargetMode="External"/><Relationship Id="rId63" Type="http://schemas.openxmlformats.org/officeDocument/2006/relationships/hyperlink" Target="https://www.sec.gov/Archives/edgar/data/1838359/000119312521366325/d260312dex21.htm" TargetMode="External"/><Relationship Id="rId64" Type="http://schemas.openxmlformats.org/officeDocument/2006/relationships/hyperlink" Target="https://www.sec.gov/Archives/edgar/data/1838359/000119312522005796/d254318dex21.htm" TargetMode="External"/><Relationship Id="rId65" Type="http://schemas.openxmlformats.org/officeDocument/2006/relationships/hyperlink" Target="https://www.sec.gov/Archives/edgar/data/1838359/000119312522067932/d506107dex31.htm" TargetMode="External"/><Relationship Id="rId66" Type="http://schemas.openxmlformats.org/officeDocument/2006/relationships/hyperlink" Target="https://www.sec.gov/Archives/edgar/data/1838359/000119312522067932/d506107dex32.htm" TargetMode="External"/><Relationship Id="rId67" Type="http://schemas.openxmlformats.org/officeDocument/2006/relationships/hyperlink" Target="https://www.sec.gov/Archives/edgar/data/1838359/000119312522067932/d506107dex41.htm" TargetMode="External"/><Relationship Id="rId68" Type="http://schemas.openxmlformats.org/officeDocument/2006/relationships/hyperlink" Target="https://www.sec.gov/Archives/edgar/data/1838359/000119312522067932/d506107dex42.htm" TargetMode="External"/><Relationship Id="rId69" Type="http://schemas.openxmlformats.org/officeDocument/2006/relationships/hyperlink" Target="https://www.sec.gov/Archives/edgar/data/1838359/000119312524068618/d775321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2024-05-09T15:39:46Z</dcterms:created>
  <dcterms:modified xsi:type="dcterms:W3CDTF">2024-05-09T15:39:46Z</dcterms:modified>
</cp:coreProperties>
</file>