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001-40140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RIGETTI COMPUTING,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5800" w:type="dxa"/>
            <w:vAlign w:val="bottom"/>
          </w:tcPr>
          <w:p>
            <w:pPr>
              <w:jc w:val="center"/>
              <w:ind w:right="3319"/>
              <w:spacing w:after="0"/>
              <w:rPr>
                <w:sz w:val="20"/>
                <w:szCs w:val="20"/>
                <w:color w:val="auto"/>
              </w:rPr>
            </w:pPr>
            <w:r>
              <w:rPr>
                <w:rFonts w:ascii="Arial" w:cs="Arial" w:eastAsia="Arial" w:hAnsi="Arial"/>
                <w:sz w:val="18"/>
                <w:szCs w:val="18"/>
                <w:b w:val="1"/>
                <w:bCs w:val="1"/>
                <w:color w:val="auto"/>
                <w:w w:val="91"/>
              </w:rPr>
              <w:t>Delaware</w:t>
            </w:r>
          </w:p>
        </w:tc>
        <w:tc>
          <w:tcPr>
            <w:tcW w:w="1680" w:type="dxa"/>
            <w:vAlign w:val="bottom"/>
          </w:tcPr>
          <w:p>
            <w:pPr>
              <w:jc w:val="right"/>
              <w:ind w:right="201"/>
              <w:spacing w:after="0"/>
              <w:rPr>
                <w:sz w:val="20"/>
                <w:szCs w:val="20"/>
                <w:color w:val="auto"/>
              </w:rPr>
            </w:pPr>
            <w:r>
              <w:rPr>
                <w:rFonts w:ascii="Arial" w:cs="Arial" w:eastAsia="Arial" w:hAnsi="Arial"/>
                <w:sz w:val="18"/>
                <w:szCs w:val="18"/>
                <w:b w:val="1"/>
                <w:bCs w:val="1"/>
                <w:color w:val="auto"/>
              </w:rPr>
              <w:t>88-0950636</w:t>
            </w:r>
          </w:p>
        </w:tc>
      </w:tr>
      <w:tr>
        <w:trPr>
          <w:trHeight w:val="149"/>
        </w:trPr>
        <w:tc>
          <w:tcPr>
            <w:tcW w:w="5800" w:type="dxa"/>
            <w:vAlign w:val="bottom"/>
          </w:tcPr>
          <w:p>
            <w:pPr>
              <w:jc w:val="center"/>
              <w:ind w:right="33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680" w:type="dxa"/>
            <w:vAlign w:val="bottom"/>
          </w:tcPr>
          <w:p>
            <w:pPr>
              <w:jc w:val="center"/>
              <w:ind w:left="1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00" w:type="dxa"/>
            <w:vAlign w:val="bottom"/>
          </w:tcPr>
          <w:p>
            <w:pPr>
              <w:jc w:val="center"/>
              <w:ind w:right="3319"/>
              <w:spacing w:after="0"/>
              <w:rPr>
                <w:sz w:val="20"/>
                <w:szCs w:val="20"/>
                <w:color w:val="auto"/>
              </w:rPr>
            </w:pPr>
            <w:r>
              <w:rPr>
                <w:rFonts w:ascii="Arial" w:cs="Arial" w:eastAsia="Arial" w:hAnsi="Arial"/>
                <w:sz w:val="14"/>
                <w:szCs w:val="14"/>
                <w:b w:val="1"/>
                <w:bCs w:val="1"/>
                <w:color w:val="auto"/>
                <w:w w:val="94"/>
              </w:rPr>
              <w:t>incorporation or organization)</w:t>
            </w:r>
          </w:p>
        </w:tc>
        <w:tc>
          <w:tcPr>
            <w:tcW w:w="1680" w:type="dxa"/>
            <w:vAlign w:val="bottom"/>
          </w:tcPr>
          <w:p>
            <w:pPr>
              <w:jc w:val="center"/>
              <w:ind w:left="161"/>
              <w:spacing w:after="0"/>
              <w:rPr>
                <w:sz w:val="20"/>
                <w:szCs w:val="20"/>
                <w:color w:val="auto"/>
              </w:rPr>
            </w:pPr>
            <w:r>
              <w:rPr>
                <w:rFonts w:ascii="Arial" w:cs="Arial" w:eastAsia="Arial" w:hAnsi="Arial"/>
                <w:sz w:val="14"/>
                <w:szCs w:val="14"/>
                <w:b w:val="1"/>
                <w:bCs w:val="1"/>
                <w:color w:val="auto"/>
                <w:w w:val="96"/>
              </w:rPr>
              <w:t>Identification Number)</w:t>
            </w:r>
          </w:p>
        </w:tc>
      </w:tr>
      <w:tr>
        <w:trPr>
          <w:trHeight w:val="412"/>
        </w:trPr>
        <w:tc>
          <w:tcPr>
            <w:tcW w:w="5800" w:type="dxa"/>
            <w:vAlign w:val="bottom"/>
          </w:tcPr>
          <w:p>
            <w:pPr>
              <w:jc w:val="center"/>
              <w:ind w:right="3339"/>
              <w:spacing w:after="0"/>
              <w:rPr>
                <w:sz w:val="20"/>
                <w:szCs w:val="20"/>
                <w:color w:val="auto"/>
              </w:rPr>
            </w:pPr>
            <w:r>
              <w:rPr>
                <w:rFonts w:ascii="Arial" w:cs="Arial" w:eastAsia="Arial" w:hAnsi="Arial"/>
                <w:sz w:val="18"/>
                <w:szCs w:val="18"/>
                <w:b w:val="1"/>
                <w:bCs w:val="1"/>
                <w:color w:val="auto"/>
                <w:w w:val="90"/>
              </w:rPr>
              <w:t>775 Heinz Avenue</w:t>
            </w:r>
          </w:p>
        </w:tc>
        <w:tc>
          <w:tcPr>
            <w:tcW w:w="1680" w:type="dxa"/>
            <w:vAlign w:val="bottom"/>
          </w:tcPr>
          <w:p>
            <w:pPr>
              <w:spacing w:after="0"/>
              <w:rPr>
                <w:sz w:val="24"/>
                <w:szCs w:val="24"/>
                <w:color w:val="auto"/>
              </w:rPr>
            </w:pPr>
          </w:p>
        </w:tc>
      </w:tr>
      <w:tr>
        <w:trPr>
          <w:trHeight w:val="225"/>
        </w:trPr>
        <w:tc>
          <w:tcPr>
            <w:tcW w:w="5800" w:type="dxa"/>
            <w:vAlign w:val="bottom"/>
          </w:tcPr>
          <w:p>
            <w:pPr>
              <w:jc w:val="center"/>
              <w:ind w:right="3339"/>
              <w:spacing w:after="0"/>
              <w:rPr>
                <w:sz w:val="20"/>
                <w:szCs w:val="20"/>
                <w:color w:val="auto"/>
              </w:rPr>
            </w:pPr>
            <w:r>
              <w:rPr>
                <w:rFonts w:ascii="Arial" w:cs="Arial" w:eastAsia="Arial" w:hAnsi="Arial"/>
                <w:sz w:val="18"/>
                <w:szCs w:val="18"/>
                <w:b w:val="1"/>
                <w:bCs w:val="1"/>
                <w:color w:val="auto"/>
                <w:w w:val="91"/>
              </w:rPr>
              <w:t>Berkeley, CA</w:t>
            </w:r>
          </w:p>
        </w:tc>
        <w:tc>
          <w:tcPr>
            <w:tcW w:w="1680" w:type="dxa"/>
            <w:vAlign w:val="bottom"/>
          </w:tcPr>
          <w:p>
            <w:pPr>
              <w:jc w:val="right"/>
              <w:ind w:right="421"/>
              <w:spacing w:after="0"/>
              <w:rPr>
                <w:sz w:val="20"/>
                <w:szCs w:val="20"/>
                <w:color w:val="auto"/>
              </w:rPr>
            </w:pPr>
            <w:r>
              <w:rPr>
                <w:rFonts w:ascii="Arial" w:cs="Arial" w:eastAsia="Arial" w:hAnsi="Arial"/>
                <w:sz w:val="18"/>
                <w:szCs w:val="18"/>
                <w:b w:val="1"/>
                <w:bCs w:val="1"/>
                <w:color w:val="auto"/>
              </w:rPr>
              <w:t>94710</w:t>
            </w:r>
          </w:p>
        </w:tc>
      </w:tr>
      <w:tr>
        <w:trPr>
          <w:trHeight w:val="186"/>
        </w:trPr>
        <w:tc>
          <w:tcPr>
            <w:tcW w:w="5800" w:type="dxa"/>
            <w:vAlign w:val="bottom"/>
          </w:tcPr>
          <w:p>
            <w:pPr>
              <w:jc w:val="center"/>
              <w:ind w:right="33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80" w:type="dxa"/>
            <w:vAlign w:val="bottom"/>
          </w:tcPr>
          <w:p>
            <w:pPr>
              <w:jc w:val="center"/>
              <w:ind w:left="16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5800" w:type="dxa"/>
            <w:vAlign w:val="bottom"/>
          </w:tcPr>
          <w:p>
            <w:pPr>
              <w:jc w:val="right"/>
              <w:ind w:right="1239"/>
              <w:spacing w:after="0"/>
              <w:rPr>
                <w:sz w:val="20"/>
                <w:szCs w:val="20"/>
                <w:color w:val="auto"/>
              </w:rPr>
            </w:pPr>
            <w:r>
              <w:rPr>
                <w:rFonts w:ascii="Arial" w:cs="Arial" w:eastAsia="Arial" w:hAnsi="Arial"/>
                <w:sz w:val="18"/>
                <w:szCs w:val="18"/>
                <w:b w:val="1"/>
                <w:bCs w:val="1"/>
                <w:color w:val="auto"/>
              </w:rPr>
              <w:t>(510) 210-5550</w:t>
            </w:r>
          </w:p>
        </w:tc>
        <w:tc>
          <w:tcPr>
            <w:tcW w:w="1680" w:type="dxa"/>
            <w:vAlign w:val="bottom"/>
          </w:tcPr>
          <w:p>
            <w:pPr>
              <w:spacing w:after="0"/>
              <w:rPr>
                <w:sz w:val="24"/>
                <w:szCs w:val="24"/>
                <w:color w:val="auto"/>
              </w:rPr>
            </w:pPr>
          </w:p>
        </w:tc>
      </w:tr>
      <w:tr>
        <w:trPr>
          <w:trHeight w:val="186"/>
        </w:trPr>
        <w:tc>
          <w:tcPr>
            <w:tcW w:w="5800" w:type="dxa"/>
            <w:vAlign w:val="bottom"/>
          </w:tcPr>
          <w:p>
            <w:pPr>
              <w:jc w:val="center"/>
              <w:ind w:left="19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221615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RGTI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RGTIW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Common Stock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230" w:right="439" w:bottom="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240" w:val="left"/>
        </w:tabs>
        <w:rPr>
          <w:sz w:val="20"/>
          <w:szCs w:val="20"/>
          <w:color w:val="auto"/>
        </w:rPr>
      </w:pPr>
      <w:r>
        <w:rPr>
          <w:rFonts w:ascii="Arial" w:cs="Arial" w:eastAsia="Arial" w:hAnsi="Arial"/>
          <w:sz w:val="18"/>
          <w:szCs w:val="18"/>
          <w:color w:val="auto"/>
        </w:rPr>
        <w:t>Indicate by check mark whether the registrant is a shell company (as defined in Rule 12-2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As of November 18, 2022, 123,030,054 shares of the registrant’s Common Stock, par value $0.0001 per share,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210820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5" w:right="7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RIGETTI COMPUTING, INC. AND SUBSIDIARIES FORM 10-Q</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780" w:type="dxa"/>
            <w:vAlign w:val="bottom"/>
            <w:gridSpan w:val="20"/>
            <w:vMerge w:val="restart"/>
          </w:tcPr>
          <w:p>
            <w:pPr>
              <w:spacing w:after="0"/>
              <w:rPr>
                <w:sz w:val="20"/>
                <w:szCs w:val="20"/>
                <w:color w:val="auto"/>
              </w:rPr>
            </w:pPr>
            <w:r>
              <w:rPr>
                <w:rFonts w:ascii="Arial" w:cs="Arial" w:eastAsia="Arial" w:hAnsi="Arial"/>
                <w:sz w:val="18"/>
                <w:szCs w:val="18"/>
                <w:color w:val="0000EE"/>
                <w:w w:val="96"/>
              </w:rPr>
              <w:t>CAUTIONARY NOTE REGARDING FORWARD-LOOKING STATEMENTS</w:t>
            </w:r>
          </w:p>
        </w:tc>
        <w:tc>
          <w:tcPr>
            <w:tcW w:w="4900" w:type="dxa"/>
            <w:vAlign w:val="bottom"/>
            <w:gridSpan w:val="4"/>
            <w:vMerge w:val="restart"/>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61"/>
        </w:trPr>
        <w:tc>
          <w:tcPr>
            <w:tcW w:w="5780" w:type="dxa"/>
            <w:vAlign w:val="bottom"/>
            <w:tcBorders>
              <w:bottom w:val="single" w:sz="8" w:color="0000EE"/>
            </w:tcBorders>
            <w:gridSpan w:val="20"/>
            <w:vMerge w:val="continue"/>
          </w:tcPr>
          <w:p>
            <w:pPr>
              <w:spacing w:after="0"/>
              <w:rPr>
                <w:sz w:val="13"/>
                <w:szCs w:val="13"/>
                <w:color w:val="auto"/>
              </w:rPr>
            </w:pPr>
          </w:p>
        </w:tc>
        <w:tc>
          <w:tcPr>
            <w:tcW w:w="4900" w:type="dxa"/>
            <w:vAlign w:val="bottom"/>
            <w:gridSpan w:val="4"/>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80" w:type="dxa"/>
            <w:vAlign w:val="bottom"/>
            <w:gridSpan w:val="24"/>
          </w:tcPr>
          <w:p>
            <w:pPr>
              <w:spacing w:after="0"/>
              <w:rPr>
                <w:sz w:val="20"/>
                <w:szCs w:val="20"/>
                <w:color w:val="auto"/>
              </w:rPr>
            </w:pPr>
            <w:r>
              <w:rPr>
                <w:rFonts w:ascii="Arial" w:cs="Arial" w:eastAsia="Arial" w:hAnsi="Arial"/>
                <w:sz w:val="18"/>
                <w:szCs w:val="18"/>
                <w:color w:val="0000EE"/>
              </w:rPr>
              <w:t>SUMMARY RISK FACTORS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7"/>
              </w:rPr>
              <w:t>PART I — FINANCIAL INFORMATION</w:t>
            </w:r>
          </w:p>
        </w:tc>
        <w:tc>
          <w:tcPr>
            <w:tcW w:w="76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20" w:type="dxa"/>
            <w:vAlign w:val="bottom"/>
            <w:gridSpan w:val="23"/>
          </w:tcPr>
          <w:p>
            <w:pPr>
              <w:spacing w:after="0" w:line="196" w:lineRule="exact"/>
              <w:rPr>
                <w:sz w:val="20"/>
                <w:szCs w:val="20"/>
                <w:color w:val="auto"/>
              </w:rPr>
            </w:pPr>
            <w:r>
              <w:rPr>
                <w:rFonts w:ascii="Arial" w:cs="Arial" w:eastAsia="Arial" w:hAnsi="Arial"/>
                <w:sz w:val="18"/>
                <w:szCs w:val="18"/>
                <w:color w:val="0000EE"/>
              </w:rPr>
              <w:t>Item 1. Financial Statements (Unaudited)</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22"/>
          </w:tcPr>
          <w:p>
            <w:pPr>
              <w:spacing w:after="0" w:line="196" w:lineRule="exact"/>
              <w:rPr>
                <w:sz w:val="20"/>
                <w:szCs w:val="20"/>
                <w:color w:val="auto"/>
              </w:rPr>
            </w:pPr>
            <w:r>
              <w:rPr>
                <w:rFonts w:ascii="Arial" w:cs="Arial" w:eastAsia="Arial" w:hAnsi="Arial"/>
                <w:sz w:val="18"/>
                <w:szCs w:val="18"/>
                <w:color w:val="0000EE"/>
              </w:rPr>
              <w:t>Condensed Consolidated Balance Sheets (Unaudited)</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22"/>
          </w:tcPr>
          <w:p>
            <w:pPr>
              <w:spacing w:after="0" w:line="196" w:lineRule="exact"/>
              <w:rPr>
                <w:sz w:val="20"/>
                <w:szCs w:val="20"/>
                <w:color w:val="auto"/>
              </w:rPr>
            </w:pPr>
            <w:r>
              <w:rPr>
                <w:rFonts w:ascii="Arial" w:cs="Arial" w:eastAsia="Arial" w:hAnsi="Arial"/>
                <w:sz w:val="18"/>
                <w:szCs w:val="18"/>
                <w:color w:val="0000EE"/>
              </w:rPr>
              <w:t>Condensed Consolidated Statements of Operations (Unaudited)</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30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Condensed Consolidated Statements of Comprehensive Loss (Unaudited)</w:t>
            </w:r>
          </w:p>
        </w:tc>
        <w:tc>
          <w:tcPr>
            <w:tcW w:w="46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22"/>
          </w:tcPr>
          <w:p>
            <w:pPr>
              <w:spacing w:after="0" w:line="196" w:lineRule="exact"/>
              <w:rPr>
                <w:sz w:val="20"/>
                <w:szCs w:val="20"/>
                <w:color w:val="auto"/>
              </w:rPr>
            </w:pPr>
            <w:r>
              <w:rPr>
                <w:rFonts w:ascii="Arial" w:cs="Arial" w:eastAsia="Arial" w:hAnsi="Arial"/>
                <w:sz w:val="18"/>
                <w:szCs w:val="18"/>
                <w:color w:val="0000EE"/>
                <w:w w:val="97"/>
              </w:rPr>
              <w:t>Condensed Consolidated Statements of Redeemable Convertible Preferred Stock and Stockholders’ (Deficit) Equity (Unaudited)</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9"/>
              </w:rPr>
              <w:t>Condensed Consolidated Statements of Cash Flows (Unaudited)</w:t>
            </w:r>
          </w:p>
        </w:tc>
        <w:tc>
          <w:tcPr>
            <w:tcW w:w="4620" w:type="dxa"/>
            <w:vAlign w:val="bottom"/>
            <w:tcBorders>
              <w:top w:val="single" w:sz="8" w:color="0000EE"/>
            </w:tcBorders>
            <w:gridSpan w:val="5"/>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22"/>
          </w:tcPr>
          <w:p>
            <w:pPr>
              <w:spacing w:after="0" w:line="196" w:lineRule="exact"/>
              <w:rPr>
                <w:sz w:val="20"/>
                <w:szCs w:val="20"/>
                <w:color w:val="auto"/>
              </w:rPr>
            </w:pPr>
            <w:r>
              <w:rPr>
                <w:rFonts w:ascii="Arial" w:cs="Arial" w:eastAsia="Arial" w:hAnsi="Arial"/>
                <w:sz w:val="18"/>
                <w:szCs w:val="18"/>
                <w:color w:val="0000EE"/>
              </w:rPr>
              <w:t>Notes to Condensed Consolidated Financial Statements (Unaudited)</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20" w:type="dxa"/>
            <w:vAlign w:val="bottom"/>
            <w:gridSpan w:val="23"/>
          </w:tcPr>
          <w:p>
            <w:pPr>
              <w:spacing w:after="0" w:line="19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1"/>
              </w:rPr>
              <w:t>Item 3. Quantitative and Qualitative Disclosures About Market Risks</w:t>
            </w:r>
          </w:p>
        </w:tc>
        <w:tc>
          <w:tcPr>
            <w:tcW w:w="2020" w:type="dxa"/>
            <w:vAlign w:val="bottom"/>
            <w:tcBorders>
              <w:top w:val="single" w:sz="8" w:color="0000EE"/>
            </w:tcBorders>
            <w:gridSpan w:val="5"/>
          </w:tcPr>
          <w:p>
            <w:pPr>
              <w:spacing w:after="0"/>
              <w:rPr>
                <w:sz w:val="17"/>
                <w:szCs w:val="17"/>
                <w:color w:val="auto"/>
              </w:rPr>
            </w:pPr>
          </w:p>
        </w:tc>
        <w:tc>
          <w:tcPr>
            <w:tcW w:w="33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Item 4. Controls and Procedures</w:t>
            </w:r>
          </w:p>
        </w:tc>
        <w:tc>
          <w:tcPr>
            <w:tcW w:w="798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sz w:val="20"/>
                <w:szCs w:val="20"/>
                <w:color w:val="auto"/>
              </w:rPr>
            </w:pPr>
            <w:r>
              <w:rPr>
                <w:rFonts w:ascii="Arial" w:cs="Arial" w:eastAsia="Arial" w:hAnsi="Arial"/>
                <w:sz w:val="18"/>
                <w:szCs w:val="18"/>
                <w:color w:val="0000EE"/>
              </w:rPr>
              <w:t>PART II — OTHER INFORMATION</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Item 1. Legal Proceedings</w:t>
            </w:r>
          </w:p>
        </w:tc>
        <w:tc>
          <w:tcPr>
            <w:tcW w:w="794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Item 1A. Risk Factors</w:t>
            </w:r>
          </w:p>
        </w:tc>
        <w:tc>
          <w:tcPr>
            <w:tcW w:w="844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9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Item 2. Unregistered Sales of Equity Securities and Use of Proceeds</w:t>
            </w:r>
          </w:p>
        </w:tc>
        <w:tc>
          <w:tcPr>
            <w:tcW w:w="540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Item 3. Defaults Upon Senior Securities</w:t>
            </w:r>
          </w:p>
        </w:tc>
        <w:tc>
          <w:tcPr>
            <w:tcW w:w="744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Item 4. Mine Safety Disclosures</w:t>
            </w:r>
          </w:p>
        </w:tc>
        <w:tc>
          <w:tcPr>
            <w:tcW w:w="800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20" w:type="dxa"/>
            <w:vAlign w:val="bottom"/>
            <w:gridSpan w:val="23"/>
          </w:tcPr>
          <w:p>
            <w:pPr>
              <w:spacing w:after="0" w:line="196" w:lineRule="exact"/>
              <w:rPr>
                <w:sz w:val="20"/>
                <w:szCs w:val="20"/>
                <w:color w:val="auto"/>
              </w:rPr>
            </w:pPr>
            <w:r>
              <w:rPr>
                <w:rFonts w:ascii="Arial" w:cs="Arial" w:eastAsia="Arial" w:hAnsi="Arial"/>
                <w:sz w:val="18"/>
                <w:szCs w:val="18"/>
                <w:color w:val="0000EE"/>
              </w:rPr>
              <w:t>Item 5. Other Information</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Item 6. Exhibits</w:t>
            </w:r>
          </w:p>
        </w:tc>
        <w:tc>
          <w:tcPr>
            <w:tcW w:w="700" w:type="dxa"/>
            <w:vAlign w:val="bottom"/>
            <w:tcBorders>
              <w:top w:val="single" w:sz="8" w:color="0000EE"/>
            </w:tcBorders>
            <w:gridSpan w:val="3"/>
          </w:tcPr>
          <w:p>
            <w:pPr>
              <w:spacing w:after="0"/>
              <w:rPr>
                <w:sz w:val="17"/>
                <w:szCs w:val="17"/>
                <w:color w:val="auto"/>
              </w:rPr>
            </w:pPr>
          </w:p>
        </w:tc>
        <w:tc>
          <w:tcPr>
            <w:tcW w:w="846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SIGNATURES</w:t>
            </w:r>
          </w:p>
        </w:tc>
        <w:tc>
          <w:tcPr>
            <w:tcW w:w="958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86"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 on Form 10-Q. We caution you that these forward-looking statements are subject to numerous risks and uncertainties, most of which are difficult to predict and many of which are beyond our control.</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 this Quarterly Report on Form 10-Q may include, for example, statements about:</w:t>
      </w:r>
    </w:p>
    <w:p>
      <w:pPr>
        <w:spacing w:after="0" w:line="131" w:lineRule="exact"/>
        <w:rPr>
          <w:sz w:val="20"/>
          <w:szCs w:val="20"/>
          <w:color w:val="auto"/>
        </w:rPr>
      </w:pPr>
    </w:p>
    <w:p>
      <w:pPr>
        <w:ind w:left="1080" w:right="6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milestones, technological advancements, including with respect to executing on our technology roadmap and developing practical applications;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resources and our ability to raise additional capital;</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quantum computing and estimated market size and market growth, including with respect to our long-term business strategy for quantum computing as a service (“Quantum Computing as a Service,” or “QCaaS”);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partnerships and collaborations;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accelerate our development of multiple generations of quantum processors;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customer concentration and the risk that a significant portion of our revenue currently depends on contracts with the public sector;</w:t>
      </w:r>
    </w:p>
    <w:p>
      <w:pPr>
        <w:spacing w:after="0" w:line="142"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us or others with respect to the Business Combination (as defined herein) or other matters;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on our business strategy, including monetization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growth rate and market opportunity, including our expectations with respect to future revenue;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and Public Warrants on the Nasdaq Capital Market (“Nasdaq”), and the potential liquidity and trading of such securities;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Business Combination, which may be affected by, among other things, competition, our ability to grow and manage growth profitably, maintain relationships with customers and suppliers and retain our management and key employees;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operating as a public company;</w:t>
      </w:r>
    </w:p>
    <w:p>
      <w:pPr>
        <w:spacing w:after="0" w:line="130" w:lineRule="exact"/>
        <w:rPr>
          <w:rFonts w:ascii="Arial" w:cs="Arial" w:eastAsia="Arial" w:hAnsi="Arial"/>
          <w:sz w:val="18"/>
          <w:szCs w:val="18"/>
          <w:color w:val="auto"/>
        </w:rPr>
      </w:pPr>
    </w:p>
    <w:p>
      <w:pPr>
        <w:jc w:val="both"/>
        <w:ind w:left="1080" w:right="54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restatement of our financial statements for the quarters ended March 31, 2022 and June 30, 2022 and our ability to establish and maintain effective internal controls over financial reporting, including our ability to remediate the existing material weakness in our internal controls;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86"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or competitive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expenses and profitability, future revenue, capital requirements and need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evolution of the markets in which we compete;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strategic initiatives, expansion plans and continue to innovate our existing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use of proceeds of the Business Combination;</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conditions in our industry, the global economy or global supply chain (including any supply chain impacts from the ongoing military conflict involving Russia and Ukraine and sanctions related thereto), including rising inflation and interest rates and financial and credit market fluctuations;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including our ability to attract and retain a new president and chief executive officer in connection with the departure of our prior president and chief executive officer, Chad Rigetti;</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or maintain our existing customer base;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COVID-19 on the foregoing.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Given these risks and uncertainties, you should not place undue reliance on these forward-looking statements.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Should one or more of the risks or uncertainties described in this Quarterly Report on Form 10-Q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spacing w:after="0" w:line="17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86"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following is a summary of select risks and uncertainties that could materially adversely affect us and our business, financial condition and results of operations. Before you invest in our securities, you should carefully consider all the information in this Quarterly Report on Form 10-Q, including matters set forth under the heading “Risk Factors.” These risks include the following, among others:</w:t>
      </w:r>
    </w:p>
    <w:p>
      <w:pPr>
        <w:spacing w:after="0" w:line="89" w:lineRule="exact"/>
        <w:rPr>
          <w:sz w:val="20"/>
          <w:szCs w:val="20"/>
          <w:color w:val="auto"/>
        </w:rPr>
      </w:pPr>
    </w:p>
    <w:p>
      <w:pPr>
        <w:ind w:left="1080" w:right="6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 our early stages and have a limited operating history, which makes it difficult to forecast our future results of operations, including our anticipated technical development milestones and potential future revenue.</w:t>
      </w:r>
    </w:p>
    <w:p>
      <w:pPr>
        <w:spacing w:after="0" w:line="75"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operating losses and expect to incur significant expenses and continuing losses for the foreseeable future.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results may be adversely affected by unfavorable economic and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the market in which we compete achieves anticipated growth levels, our business could fail to grow at similar rates, if at all.</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use net operating loss carryforwards and other tax attributes may be limited in connection with the Business Combination or other ownership changes.</w:t>
      </w:r>
    </w:p>
    <w:p>
      <w:pPr>
        <w:spacing w:after="0" w:line="75" w:lineRule="exact"/>
        <w:rPr>
          <w:rFonts w:ascii="Arial" w:cs="Arial" w:eastAsia="Arial" w:hAnsi="Arial"/>
          <w:sz w:val="18"/>
          <w:szCs w:val="18"/>
          <w:color w:val="auto"/>
        </w:rPr>
      </w:pPr>
    </w:p>
    <w:p>
      <w:pPr>
        <w:jc w:val="both"/>
        <w:ind w:left="1080" w:right="34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not produced quantum computers with high qubit counts or at volume and face significant barriers in our attempts to produce quantum computers, including the need to invent and develop new technology. If we cannot successfully overcome those barriers, our business will be negatively impacted and could fail.</w:t>
      </w:r>
    </w:p>
    <w:p>
      <w:pPr>
        <w:spacing w:after="0" w:line="89" w:lineRule="exact"/>
        <w:rPr>
          <w:rFonts w:ascii="Arial" w:cs="Arial" w:eastAsia="Arial" w:hAnsi="Arial"/>
          <w:sz w:val="18"/>
          <w:szCs w:val="18"/>
          <w:color w:val="auto"/>
        </w:rPr>
      </w:pPr>
    </w:p>
    <w:p>
      <w:pPr>
        <w:ind w:left="1080" w:right="60" w:hanging="424"/>
        <w:spacing w:after="0" w:line="30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future generations of hardware and software developed to demonstrate narrow quantum advantage and broad quantum advantage and the anticipated release of an 84 qubit system, 336 qubit system, 1,000+ qubit system and 4,000+ qubit system, each of which is an important anticipated milestone for our technical roadmap and commercialization, in addition to other anticipated milestones and other aspects of our technical roadmap and development and commercialization plans may not occur on our anticipated timeline or at all.</w:t>
      </w:r>
    </w:p>
    <w:p>
      <w:pPr>
        <w:spacing w:after="0" w:line="62" w:lineRule="exact"/>
        <w:rPr>
          <w:rFonts w:ascii="Arial" w:cs="Arial" w:eastAsia="Arial" w:hAnsi="Arial"/>
          <w:sz w:val="16"/>
          <w:szCs w:val="16"/>
          <w:color w:val="auto"/>
        </w:rPr>
      </w:pPr>
    </w:p>
    <w:p>
      <w:pPr>
        <w:ind w:left="1080" w:right="80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quantum computing industry is competitive on a global scale and we may not be successful in competing in this industry or establishing and maintaining confidence in our long-term business prospects among current and future partners and customers.</w:t>
      </w:r>
    </w:p>
    <w:p>
      <w:pPr>
        <w:spacing w:after="0" w:line="29" w:lineRule="exact"/>
        <w:rPr>
          <w:rFonts w:ascii="Arial" w:cs="Arial" w:eastAsia="Arial" w:hAnsi="Arial"/>
          <w:sz w:val="16"/>
          <w:szCs w:val="16"/>
          <w:color w:val="auto"/>
        </w:rPr>
      </w:pPr>
    </w:p>
    <w:p>
      <w:pPr>
        <w:ind w:left="1080" w:right="5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currently dependent upon our relationship with our cloud providers. There are no assurances that we will be able to commercialize quantum computers from our relationships with cloud providers.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a limited number of customers for a significant percentage of our revenue and the loss or temporary loss of a major customer for any reason could harm our financial condition.</w:t>
      </w:r>
    </w:p>
    <w:p>
      <w:pPr>
        <w:spacing w:after="0" w:line="75" w:lineRule="exact"/>
        <w:rPr>
          <w:rFonts w:ascii="Arial" w:cs="Arial" w:eastAsia="Arial" w:hAnsi="Arial"/>
          <w:sz w:val="18"/>
          <w:szCs w:val="18"/>
          <w:color w:val="auto"/>
        </w:rPr>
      </w:pPr>
    </w:p>
    <w:p>
      <w:pPr>
        <w:ind w:left="1080" w:right="50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p>
      <w:pPr>
        <w:spacing w:after="0" w:line="29" w:lineRule="exact"/>
        <w:rPr>
          <w:rFonts w:ascii="Arial" w:cs="Arial" w:eastAsia="Arial" w:hAnsi="Arial"/>
          <w:sz w:val="16"/>
          <w:szCs w:val="16"/>
          <w:color w:val="auto"/>
        </w:rPr>
      </w:pPr>
    </w:p>
    <w:p>
      <w:pPr>
        <w:ind w:left="1080" w:right="12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access to high performance third party classical computing through public clouds, high performance computing centers and on-premises computing infrastructure to deliver performant quantum solutions to customers. We may not be able to maintain high quality relationships and connectivity with these resources which could make it harder for us to reach customers or deliver solutions in a cost-effective manner.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86"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depend on certain suppliers to source products. Failure to maintain our relationship with any of these suppliers, or a failure to replace any supplier, could have a material adverse effect on our business, financial position, results of operations and cash flows.</w:t>
      </w:r>
    </w:p>
    <w:p>
      <w:pPr>
        <w:spacing w:after="0" w:line="51" w:lineRule="exact"/>
        <w:rPr>
          <w:rFonts w:ascii="Arial" w:cs="Arial" w:eastAsia="Arial" w:hAnsi="Arial"/>
          <w:sz w:val="17"/>
          <w:szCs w:val="17"/>
          <w:color w:val="auto"/>
        </w:rPr>
      </w:pPr>
    </w:p>
    <w:p>
      <w:pPr>
        <w:ind w:left="1080" w:right="80" w:hanging="424"/>
        <w:spacing w:after="0" w:line="31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system depends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p>
      <w:pPr>
        <w:spacing w:after="0" w:line="54" w:lineRule="exact"/>
        <w:rPr>
          <w:rFonts w:ascii="Arial" w:cs="Arial" w:eastAsia="Arial" w:hAnsi="Arial"/>
          <w:sz w:val="16"/>
          <w:szCs w:val="16"/>
          <w:color w:val="auto"/>
        </w:rPr>
      </w:pPr>
    </w:p>
    <w:p>
      <w:pPr>
        <w:ind w:left="1080" w:right="16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we are successful in developing quantum computing systems and executing our strategy, competitors in the industry may achieve technological breakthroughs which render our quantum computing systems obsolete or inferior to other products.</w:t>
      </w:r>
    </w:p>
    <w:p>
      <w:pPr>
        <w:spacing w:after="0" w:line="51" w:lineRule="exact"/>
        <w:rPr>
          <w:rFonts w:ascii="Arial" w:cs="Arial" w:eastAsia="Arial" w:hAnsi="Arial"/>
          <w:sz w:val="17"/>
          <w:szCs w:val="17"/>
          <w:color w:val="auto"/>
        </w:rPr>
      </w:pPr>
    </w:p>
    <w:p>
      <w:pPr>
        <w:ind w:left="1080" w:right="9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reduce the cost of developing quantum computers, which may prevent us from pricing quantum systems competitively.</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quantum computing industry is in its early stages and volatile, and if it does not develop, if it develops slower than we expect, if it develops in a manner that does not require use of our quantum computing solutions, if we encounter negative publicity or if our solution does not drive commercial engagement, the growth of our business will be harmed.</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computers fail to achieve quantum advantage, or if any of our competitors achieve quantum advantages ahead of us, our business, financial condition and future prospects may be harmed.</w:t>
      </w:r>
    </w:p>
    <w:p>
      <w:pPr>
        <w:spacing w:after="0" w:line="7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could suffer disruptions, outages, defects and other performance and quality problems with our quantum computing systems, our production technology partners or with the public cloud, data centers and internet infrastructure on which we rely.</w:t>
      </w:r>
    </w:p>
    <w:p>
      <w:pPr>
        <w:spacing w:after="0" w:line="51" w:lineRule="exact"/>
        <w:rPr>
          <w:rFonts w:ascii="Arial" w:cs="Arial" w:eastAsia="Arial" w:hAnsi="Arial"/>
          <w:sz w:val="17"/>
          <w:szCs w:val="17"/>
          <w:color w:val="auto"/>
        </w:rPr>
      </w:pPr>
    </w:p>
    <w:p>
      <w:pPr>
        <w:ind w:left="1080" w:right="120" w:hanging="424"/>
        <w:spacing w:after="0" w:line="275"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identified a material weakness in our internal control over financial reporting, which has resulted in the need for us to restate our financial statements for the first and second quarters of 2022, and may identify additional material weaknesses in the future. If we fail to remediate this material weakness or otherwise fail to establish and maintain effective control over financial reporting, it may adversely affect our ability to accurately and timely report our financial results, and may adversely affect investor confidence, our reputation, our ability to raise additional capital, and our business operations and financial condition.</w:t>
      </w:r>
    </w:p>
    <w:p>
      <w:pPr>
        <w:spacing w:after="0" w:line="81"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 security and data protection breaches, as well as cyber-attacks, including state-sponsored attacks, could disrupt our operations, which may damage our reputation and adversely affect our business.</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obtain, maintain and protect our intellectual property rights could impair our ability to protect and commercialize our proprietary products and technology and cause us to lose our competitive advantage.</w:t>
      </w:r>
    </w:p>
    <w:p>
      <w:pPr>
        <w:spacing w:after="0" w:line="75"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warrants, including our Public Warrants, Private Warrants and other warrants we have issued, are accounted for as liabilities and the changes in value of our warrants could have a material effect on our financial results.</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our securities, or perceptions of sales, by us or holders of our securities in the public markets or otherwise, including in connection with our committed equity financing with B. Riley Principal Capital II LLC, or B. Riley, could cause the market price for our Common Stock to decline and future issuances of securities may adversely affect us, our Common Stock and may be dilutive to existing stockholders.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can be no assurance that we will be able to comply with the continued listing standards of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warrants may be out of the money at the time they become exercisable and they may expire worthless.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the approval by the holders of at least 50% of the then-outstanding Public Warrants, we may amend the terms of the warrants in a manner that may be adverse to holders.</w:t>
      </w:r>
    </w:p>
    <w:p>
      <w:pPr>
        <w:spacing w:after="0" w:line="75" w:lineRule="exact"/>
        <w:rPr>
          <w:rFonts w:ascii="Arial" w:cs="Arial" w:eastAsia="Arial" w:hAnsi="Arial"/>
          <w:sz w:val="18"/>
          <w:szCs w:val="18"/>
          <w:color w:val="auto"/>
        </w:rPr>
      </w:pPr>
    </w:p>
    <w:p>
      <w:pPr>
        <w:ind w:left="1080" w:right="480" w:hanging="424"/>
        <w:spacing w:after="0" w:line="286"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highly dependent on our ability to attract and retain senior executive leadership and other key employees, such as quantum physicists, software engineers and other key technical employees, which is critical to our success. If we fail to retain or attract senior management, engineers and other key employees, such failure could negatively impact our business.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amounts)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73,837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11,729</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87,186</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3,633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1,351</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 contract -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3,449</w:t>
            </w:r>
          </w:p>
        </w:tc>
      </w:tr>
      <w:tr>
        <w:trPr>
          <w:trHeight w:val="27"/>
        </w:trPr>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169,623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18,072</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37,440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22,497</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5,377</w:t>
            </w: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212,686</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46,428</w:t>
            </w:r>
          </w:p>
        </w:tc>
        <w:tc>
          <w:tcPr>
            <w:tcW w:w="12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1,971</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6,934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3,806</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Debt - current portion</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6,834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 contract -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16,305</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7,567</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Debt - net of current portion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22,999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24,216</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4,046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4,355</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Earn-out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2,995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r>
      <w:tr>
        <w:trPr>
          <w:trHeight w:val="27"/>
        </w:trPr>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46,781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36,433</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Redeemable convertible preferred stock*, par value $0.0001 per share; 0 shares and 80,974,757 shares authorized at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September 30, 2022 and December 31, 2021, respectively; 0 shares and 77,696,679 shares issued and outstanding</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September 30, 2022 and December 31, 2021, respectively</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81,523</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Preferred Stock, par value $0.0001 per share; 10,000,000 shares and 0 shares authorized at September 30, 2022 and</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December 31, 2021, respectively; 0 shares and 0 shares issued and outstanding at September 30, 2022 and</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2021, respectively</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780" w:type="dxa"/>
            <w:vAlign w:val="bottom"/>
          </w:tcPr>
          <w:p>
            <w:pPr>
              <w:spacing w:after="0" w:line="201" w:lineRule="exact"/>
              <w:rPr>
                <w:sz w:val="20"/>
                <w:szCs w:val="20"/>
                <w:color w:val="auto"/>
              </w:rPr>
            </w:pPr>
            <w:r>
              <w:rPr>
                <w:rFonts w:ascii="Arial" w:cs="Arial" w:eastAsia="Arial" w:hAnsi="Arial"/>
                <w:sz w:val="18"/>
                <w:szCs w:val="18"/>
                <w:color w:val="auto"/>
              </w:rPr>
              <w:t>Common stock*, par value $0.0001 per share; 1,000,000,000 shares and 134,050,472 shares authorized at</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780" w:type="dxa"/>
            <w:vAlign w:val="bottom"/>
          </w:tcPr>
          <w:p>
            <w:pPr>
              <w:ind w:left="180"/>
              <w:spacing w:after="0"/>
              <w:rPr>
                <w:sz w:val="20"/>
                <w:szCs w:val="20"/>
                <w:color w:val="auto"/>
              </w:rPr>
            </w:pPr>
            <w:r>
              <w:rPr>
                <w:rFonts w:ascii="Arial" w:cs="Arial" w:eastAsia="Arial" w:hAnsi="Arial"/>
                <w:sz w:val="18"/>
                <w:szCs w:val="18"/>
                <w:color w:val="auto"/>
                <w:w w:val="93"/>
              </w:rPr>
              <w:t>September 30, 2022 and December 31, 2021, respectively; 122,739,804 shares and 18,221,069 shares issued and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outstanding at September 30, 2022 and December 31, 2021, respectively</w:t>
            </w: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422,200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135,549</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other comprehensive gain (loss)</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(255,780)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(207,131)</w:t>
            </w: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165,905</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(71,528)</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redeemable convertible preferred stock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212,686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46,428</w:t>
            </w:r>
          </w:p>
        </w:tc>
      </w:tr>
      <w:tr>
        <w:trPr>
          <w:trHeight w:val="20"/>
        </w:trPr>
        <w:tc>
          <w:tcPr>
            <w:tcW w:w="8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260" w:hanging="224"/>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Shares of legacy Redeemable Convertible Series C Preferred Stock, Redeemable Convertible Series C-1 Preferred Stock, legacy Class A Common Stock, and legacy Class B Common Stock have been retroactively restated to give effect to the Business Combination.</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40"/>
          </w:cols>
          <w:pgMar w:left="320" w:top="486" w:right="4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for share and per share amounts)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70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2,063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1,083</w:t>
            </w:r>
          </w:p>
        </w:tc>
      </w:tr>
      <w:tr>
        <w:trPr>
          <w:trHeight w:val="27"/>
        </w:trPr>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gross profit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4,979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5,735</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44,040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21,915</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4,922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1,738</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38,371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8,608</w:t>
            </w:r>
          </w:p>
        </w:tc>
      </w:tr>
      <w:tr>
        <w:trPr>
          <w:trHeight w:val="230"/>
        </w:trPr>
        <w:tc>
          <w:tcPr>
            <w:tcW w:w="60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87,333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32,261</w:t>
            </w:r>
          </w:p>
        </w:tc>
        <w:tc>
          <w:tcPr>
            <w:tcW w:w="120" w:type="dxa"/>
            <w:vAlign w:val="bottom"/>
          </w:tcPr>
          <w:p>
            <w:pPr>
              <w:spacing w:after="0"/>
              <w:rPr>
                <w:sz w:val="20"/>
                <w:szCs w:val="20"/>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(82,354)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(26,526)</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(3,811)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19,853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Change in fair value of earn-out liability</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17,418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33,705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loss before provision for income taxes</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(9,756)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(48,649)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(27,617)</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(48,649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attribute to common stockholders—basic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2"/>
        </w:trPr>
        <w:tc>
          <w:tcPr>
            <w:tcW w:w="6020" w:type="dxa"/>
            <w:vAlign w:val="bottom"/>
          </w:tcPr>
          <w:p>
            <w:pPr>
              <w:spacing w:after="0" w:line="201" w:lineRule="exact"/>
              <w:rPr>
                <w:sz w:val="20"/>
                <w:szCs w:val="20"/>
                <w:color w:val="auto"/>
              </w:rPr>
            </w:pPr>
            <w:r>
              <w:rPr>
                <w:rFonts w:ascii="Arial" w:cs="Arial" w:eastAsia="Arial" w:hAnsi="Arial"/>
                <w:sz w:val="18"/>
                <w:szCs w:val="18"/>
                <w:color w:val="auto"/>
                <w:w w:val="97"/>
              </w:rPr>
              <w:t>Weighted average shares used in computing net loss per share attributable 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common stockholders – basic and diluted*</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118,571,295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22,554,422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w w:val="86"/>
              </w:rPr>
              <w:t>95,690,821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22,129,715</w:t>
            </w: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Weighted-average shares have been retroactively restated to give effect to the Business Combination.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16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$(18,755)</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$(9,756)</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$(48,649)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$(27,617)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gain (loss)</w:t>
            </w:r>
          </w:p>
        </w:tc>
        <w:tc>
          <w:tcPr>
            <w:tcW w:w="2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Change in unrealized loss on available-for-sale securities</w:t>
            </w:r>
          </w:p>
        </w:tc>
        <w:tc>
          <w:tcPr>
            <w:tcW w:w="16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(19,381)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(9,762)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(49,228)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(27,573)</w:t>
            </w:r>
          </w:p>
        </w:tc>
      </w:tr>
      <w:tr>
        <w:trPr>
          <w:trHeight w:val="20"/>
        </w:trPr>
        <w:tc>
          <w:tcPr>
            <w:tcW w:w="6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(DEFICIT)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72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3"/>
              </w:rPr>
              <w:t>Redeemable Convertible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3840" w:type="dxa"/>
            <w:vAlign w:val="bottom"/>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7"/>
                <w:szCs w:val="7"/>
                <w:color w:val="auto"/>
              </w:rPr>
            </w:pPr>
          </w:p>
        </w:tc>
        <w:tc>
          <w:tcPr>
            <w:tcW w:w="98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56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vMerge w:val="restart"/>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840" w:type="dxa"/>
            <w:vAlign w:val="bottom"/>
          </w:tcPr>
          <w:p>
            <w:pPr>
              <w:spacing w:after="0"/>
              <w:rPr>
                <w:sz w:val="9"/>
                <w:szCs w:val="9"/>
                <w:color w:val="auto"/>
              </w:rPr>
            </w:pPr>
          </w:p>
        </w:tc>
        <w:tc>
          <w:tcPr>
            <w:tcW w:w="1560" w:type="dxa"/>
            <w:vAlign w:val="bottom"/>
            <w:tcBorders>
              <w:bottom w:val="single" w:sz="8" w:color="auto"/>
            </w:tcBorders>
            <w:gridSpan w:val="4"/>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20" w:type="dxa"/>
            <w:vAlign w:val="bottom"/>
            <w:tcBorders>
              <w:bottom w:val="single" w:sz="8" w:color="auto"/>
            </w:tcBorders>
            <w:gridSpan w:val="4"/>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0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60" w:type="dxa"/>
            <w:vAlign w:val="bottom"/>
          </w:tcPr>
          <w:p>
            <w:pPr>
              <w:spacing w:after="0"/>
              <w:rPr>
                <w:sz w:val="9"/>
                <w:szCs w:val="9"/>
                <w:color w:val="auto"/>
              </w:rPr>
            </w:pPr>
          </w:p>
        </w:tc>
        <w:tc>
          <w:tcPr>
            <w:tcW w:w="9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60" w:type="dxa"/>
            <w:vAlign w:val="bottom"/>
            <w:vMerge w:val="restart"/>
          </w:tcPr>
          <w:p>
            <w:pPr>
              <w:spacing w:after="0"/>
              <w:rPr>
                <w:sz w:val="2"/>
                <w:szCs w:val="2"/>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vMerge w:val="restart"/>
          </w:tcPr>
          <w:p>
            <w:pPr>
              <w:spacing w:after="0"/>
              <w:rPr>
                <w:sz w:val="2"/>
                <w:szCs w:val="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4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Gain (Loss)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gridSpan w:val="13"/>
          </w:tcPr>
          <w:p>
            <w:pPr>
              <w:jc w:val="right"/>
              <w:ind w:right="18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2021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98,726,505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81,523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23,153,127</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135,551</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(207,131)</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(71,528)</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20"/>
                <w:szCs w:val="20"/>
                <w:color w:val="auto"/>
              </w:rPr>
            </w:pPr>
            <w:r>
              <w:rPr>
                <w:rFonts w:ascii="Arial" w:cs="Arial" w:eastAsia="Arial" w:hAnsi="Arial"/>
                <w:sz w:val="14"/>
                <w:szCs w:val="14"/>
                <w:color w:val="auto"/>
              </w:rPr>
              <w:t>Retroactive application of Business Combination (Note 3)</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(21,029,826)</w:t>
            </w:r>
          </w:p>
        </w:tc>
        <w:tc>
          <w:tcPr>
            <w:tcW w:w="1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(4,932,058)</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Adjusted balance, beginning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77,696,679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81,523</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18,221,069</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135,549</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(207,131)</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(71,528)</w:t>
            </w:r>
          </w:p>
        </w:tc>
        <w:tc>
          <w:tcPr>
            <w:tcW w:w="0" w:type="dxa"/>
            <w:vAlign w:val="bottom"/>
          </w:tcPr>
          <w:p>
            <w:pPr>
              <w:spacing w:after="0"/>
              <w:rPr>
                <w:sz w:val="1"/>
                <w:szCs w:val="1"/>
                <w:color w:val="auto"/>
              </w:rPr>
            </w:pPr>
          </w:p>
        </w:tc>
      </w:tr>
      <w:tr>
        <w:trPr>
          <w:trHeight w:val="130"/>
        </w:trPr>
        <w:tc>
          <w:tcPr>
            <w:tcW w:w="3840" w:type="dxa"/>
            <w:vAlign w:val="bottom"/>
          </w:tcPr>
          <w:p>
            <w:pPr>
              <w:spacing w:after="0" w:line="130" w:lineRule="exact"/>
              <w:rPr>
                <w:sz w:val="20"/>
                <w:szCs w:val="20"/>
                <w:color w:val="auto"/>
              </w:rPr>
            </w:pPr>
            <w:r>
              <w:rPr>
                <w:rFonts w:ascii="Arial" w:cs="Arial" w:eastAsia="Arial" w:hAnsi="Arial"/>
                <w:sz w:val="14"/>
                <w:szCs w:val="14"/>
                <w:color w:val="auto"/>
                <w:w w:val="97"/>
              </w:rPr>
              <w:t>Issuance of common stock upon conversion of legacy Series C</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140"/>
              <w:spacing w:after="0" w:line="149" w:lineRule="exact"/>
              <w:rPr>
                <w:sz w:val="20"/>
                <w:szCs w:val="20"/>
                <w:color w:val="auto"/>
              </w:rPr>
            </w:pPr>
            <w:r>
              <w:rPr>
                <w:rFonts w:ascii="Arial" w:cs="Arial" w:eastAsia="Arial" w:hAnsi="Arial"/>
                <w:sz w:val="14"/>
                <w:szCs w:val="14"/>
                <w:color w:val="auto"/>
              </w:rPr>
              <w:t>and Series C-1 preferred stock in connection with the</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(77,696,679)</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5"/>
              </w:rPr>
              <w:t>(81,523)</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57,380,563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81,517</w:t>
            </w:r>
          </w:p>
        </w:tc>
        <w:tc>
          <w:tcPr>
            <w:tcW w:w="8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81,523</w:t>
            </w:r>
          </w:p>
        </w:tc>
        <w:tc>
          <w:tcPr>
            <w:tcW w:w="0" w:type="dxa"/>
            <w:vAlign w:val="bottom"/>
          </w:tcPr>
          <w:p>
            <w:pPr>
              <w:spacing w:after="0"/>
              <w:rPr>
                <w:sz w:val="1"/>
                <w:szCs w:val="1"/>
                <w:color w:val="auto"/>
              </w:rPr>
            </w:pPr>
          </w:p>
        </w:tc>
      </w:tr>
      <w:tr>
        <w:trPr>
          <w:trHeight w:val="167"/>
        </w:trPr>
        <w:tc>
          <w:tcPr>
            <w:tcW w:w="3840" w:type="dxa"/>
            <w:vAlign w:val="bottom"/>
          </w:tcPr>
          <w:p>
            <w:pPr>
              <w:ind w:left="140"/>
              <w:spacing w:after="0"/>
              <w:rPr>
                <w:sz w:val="20"/>
                <w:szCs w:val="20"/>
                <w:color w:val="auto"/>
              </w:rPr>
            </w:pPr>
            <w:r>
              <w:rPr>
                <w:rFonts w:ascii="Arial" w:cs="Arial" w:eastAsia="Arial" w:hAnsi="Arial"/>
                <w:sz w:val="14"/>
                <w:szCs w:val="14"/>
                <w:color w:val="auto"/>
              </w:rPr>
              <w:t>Business Combination (Note 3)</w:t>
            </w: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w w:val="96"/>
              </w:rPr>
              <w:t>Issuance of common stock upon exercise of legacy Rigetti stock</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1,123,539</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574</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70"/>
        </w:trPr>
        <w:tc>
          <w:tcPr>
            <w:tcW w:w="3840" w:type="dxa"/>
            <w:vAlign w:val="bottom"/>
          </w:tcPr>
          <w:p>
            <w:pPr>
              <w:spacing w:after="0"/>
              <w:rPr>
                <w:sz w:val="20"/>
                <w:szCs w:val="20"/>
                <w:color w:val="auto"/>
              </w:rPr>
            </w:pPr>
            <w:r>
              <w:rPr>
                <w:rFonts w:ascii="Arial" w:cs="Arial" w:eastAsia="Arial" w:hAnsi="Arial"/>
                <w:sz w:val="14"/>
                <w:szCs w:val="14"/>
                <w:color w:val="auto"/>
              </w:rPr>
              <w:t>Issuance of common stock upon exercise of legacy Rigetti</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tcPr>
          <w:p>
            <w:pPr>
              <w:ind w:left="140"/>
              <w:spacing w:after="0"/>
              <w:rPr>
                <w:sz w:val="20"/>
                <w:szCs w:val="20"/>
                <w:color w:val="auto"/>
              </w:rPr>
            </w:pPr>
            <w:r>
              <w:rPr>
                <w:rFonts w:ascii="Arial" w:cs="Arial" w:eastAsia="Arial" w:hAnsi="Arial"/>
                <w:sz w:val="14"/>
                <w:szCs w:val="14"/>
                <w:color w:val="auto"/>
              </w:rPr>
              <w:t>common stock warrants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2,234,408</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0"/>
        </w:trPr>
        <w:tc>
          <w:tcPr>
            <w:tcW w:w="3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through Business Combination and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PIPE financing, net of transaction costs and derivative</w:t>
            </w: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34,850,706</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159,535</w:t>
            </w: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159,538</w:t>
            </w:r>
          </w:p>
        </w:tc>
        <w:tc>
          <w:tcPr>
            <w:tcW w:w="0" w:type="dxa"/>
            <w:vAlign w:val="bottom"/>
          </w:tcPr>
          <w:p>
            <w:pPr>
              <w:spacing w:after="0"/>
              <w:rPr>
                <w:sz w:val="1"/>
                <w:szCs w:val="1"/>
                <w:color w:val="auto"/>
              </w:rPr>
            </w:pPr>
          </w:p>
        </w:tc>
      </w:tr>
      <w:tr>
        <w:trPr>
          <w:trHeight w:val="167"/>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liabilities, as restated (Note 3) (1)</w:t>
            </w: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11,481</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11,481</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gain</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Arial" w:cs="Arial" w:eastAsia="Arial" w:hAnsi="Arial"/>
                <w:sz w:val="14"/>
                <w:szCs w:val="14"/>
                <w:color w:val="auto"/>
              </w:rPr>
              <w:t>Net loss, as restated (1)</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(17,642)</w:t>
            </w: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(17,642)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March 31, 2022, as restated (1)</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5"/>
              </w:rPr>
              <w:t>113,810,285</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388,684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(224,773)</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163,983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40" w:type="dxa"/>
            <w:vAlign w:val="bottom"/>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229,606</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0"/>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exercise of common stock</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1,702,210</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5,011</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5,011</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Arial" w:cs="Arial" w:eastAsia="Arial" w:hAnsi="Arial"/>
                <w:sz w:val="14"/>
                <w:szCs w:val="14"/>
                <w:color w:val="auto"/>
              </w:rPr>
              <w:t>Issuance of common stock upon release of RSUs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1,360,634</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Reclassification of loan and security agreement warrants to</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6,370</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6,370</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Arial" w:cs="Arial" w:eastAsia="Arial" w:hAnsi="Arial"/>
                <w:sz w:val="14"/>
                <w:szCs w:val="14"/>
                <w:color w:val="auto"/>
              </w:rPr>
              <w:t>Settlement of the first tranche of forward contract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(3,305)</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11,041</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11,041</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Arial" w:cs="Arial" w:eastAsia="Arial" w:hAnsi="Arial"/>
                <w:sz w:val="14"/>
                <w:szCs w:val="14"/>
                <w:color w:val="auto"/>
                <w:w w:val="99"/>
              </w:rPr>
              <w:t>Capitalization of deferred costs to equity upon share issuance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(848)</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gain</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Arial" w:cs="Arial" w:eastAsia="Arial" w:hAnsi="Arial"/>
                <w:sz w:val="14"/>
                <w:szCs w:val="14"/>
                <w:color w:val="auto"/>
              </w:rPr>
              <w:t>Net loss, as restated (1)</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(12,252)</w:t>
            </w: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(12,252)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June 30, 2022, as restated (1)</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5"/>
              </w:rPr>
              <w:t>117,102,735</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407,015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(237,025)</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170,100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40" w:type="dxa"/>
            <w:vAlign w:val="bottom"/>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1,126,152</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305</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70"/>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exercise of common stock</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859,767</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Arial" w:cs="Arial" w:eastAsia="Arial" w:hAnsi="Arial"/>
                <w:sz w:val="14"/>
                <w:szCs w:val="14"/>
                <w:color w:val="auto"/>
              </w:rPr>
              <w:t>Issuance of common stock upon release of RSUs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3,480,142</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pursuant to the Common Stock</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Agreement—B. Riley</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171,008</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15,121</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15,121</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w w:val="99"/>
              </w:rPr>
              <w:t>Capitalization of deferred costs to equity upon share issuance</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(626)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(18,755)</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(18,755)</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Balance, September 30, 2022</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40" w:type="dxa"/>
            <w:vAlign w:val="bottom"/>
            <w:vMerge w:val="continue"/>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122,739,804</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422,200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(527)</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(255,780)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165,905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discussion on the restatement adjustments, see Note 1 — Restatement of Condensed Consolidated Financial Statements and Immaterial</w:t>
      </w:r>
    </w:p>
    <w:p>
      <w:pPr>
        <w:spacing w:after="0" w:line="248" w:lineRule="exact"/>
        <w:rPr>
          <w:sz w:val="20"/>
          <w:szCs w:val="20"/>
          <w:color w:val="auto"/>
        </w:rPr>
      </w:pPr>
    </w:p>
    <w:p>
      <w:pPr>
        <w:ind w:left="540" w:right="40" w:hanging="424"/>
        <w:spacing w:after="0" w:line="308"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Shares of legacy Redeemable Convertible Series C Preferred Stock, Redeemable Convertible Series C-1 Preferred Stock, legacy Class A Common Stock, and legacy Class B Common Stock have been retroactively restated to give effect to the Business Combination.</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(DEFICIT) EQUITY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0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Redeemable Convertible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3880" w:type="dxa"/>
            <w:vAlign w:val="bottom"/>
          </w:tcPr>
          <w:p>
            <w:pPr>
              <w:spacing w:after="0"/>
              <w:rPr>
                <w:sz w:val="7"/>
                <w:szCs w:val="7"/>
                <w:color w:val="auto"/>
              </w:rPr>
            </w:pPr>
          </w:p>
        </w:tc>
        <w:tc>
          <w:tcPr>
            <w:tcW w:w="1700" w:type="dxa"/>
            <w:vAlign w:val="bottom"/>
            <w:gridSpan w:val="6"/>
            <w:vMerge w:val="continue"/>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7"/>
                <w:szCs w:val="7"/>
                <w:color w:val="auto"/>
              </w:rPr>
            </w:pPr>
          </w:p>
        </w:tc>
        <w:tc>
          <w:tcPr>
            <w:tcW w:w="1060" w:type="dxa"/>
            <w:vAlign w:val="bottom"/>
            <w:gridSpan w:val="2"/>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3880" w:type="dxa"/>
            <w:vAlign w:val="bottom"/>
          </w:tcPr>
          <w:p>
            <w:pPr>
              <w:spacing w:after="0"/>
              <w:rPr>
                <w:sz w:val="5"/>
                <w:szCs w:val="5"/>
                <w:color w:val="auto"/>
              </w:rPr>
            </w:pPr>
          </w:p>
        </w:tc>
        <w:tc>
          <w:tcPr>
            <w:tcW w:w="15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40" w:type="dxa"/>
            <w:vAlign w:val="bottom"/>
            <w:vMerge w:val="restart"/>
          </w:tcPr>
          <w:p>
            <w:pPr>
              <w:spacing w:after="0"/>
              <w:rPr>
                <w:sz w:val="5"/>
                <w:szCs w:val="5"/>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880" w:type="dxa"/>
            <w:vAlign w:val="bottom"/>
          </w:tcPr>
          <w:p>
            <w:pPr>
              <w:spacing w:after="0"/>
              <w:rPr>
                <w:sz w:val="9"/>
                <w:szCs w:val="9"/>
                <w:color w:val="auto"/>
              </w:rPr>
            </w:pPr>
          </w:p>
        </w:tc>
        <w:tc>
          <w:tcPr>
            <w:tcW w:w="1560" w:type="dxa"/>
            <w:vAlign w:val="bottom"/>
            <w:tcBorders>
              <w:bottom w:val="single" w:sz="8" w:color="auto"/>
            </w:tcBorders>
            <w:gridSpan w:val="5"/>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6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5"/>
        </w:trPr>
        <w:tc>
          <w:tcPr>
            <w:tcW w:w="3880" w:type="dxa"/>
            <w:vAlign w:val="bottom"/>
          </w:tcPr>
          <w:p>
            <w:pPr>
              <w:spacing w:after="0"/>
              <w:rPr>
                <w:sz w:val="2"/>
                <w:szCs w:val="2"/>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vMerge w:val="restart"/>
          </w:tcPr>
          <w:p>
            <w:pPr>
              <w:spacing w:after="0"/>
              <w:rPr>
                <w:sz w:val="2"/>
                <w:szCs w:val="2"/>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60" w:type="dxa"/>
            <w:vAlign w:val="bottom"/>
            <w:vMerge w:val="restart"/>
          </w:tcPr>
          <w:p>
            <w:pPr>
              <w:spacing w:after="0"/>
              <w:rPr>
                <w:sz w:val="2"/>
                <w:szCs w:val="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Gain (Loss)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gridSpan w:val="11"/>
          </w:tcPr>
          <w:p>
            <w:pPr>
              <w:jc w:val="right"/>
              <w:ind w:right="20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98,726,505</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81,523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20,975,317</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133,144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(165,405)</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(32,256)</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Arial" w:cs="Arial" w:eastAsia="Arial" w:hAnsi="Arial"/>
                <w:sz w:val="14"/>
                <w:szCs w:val="14"/>
                <w:color w:val="auto"/>
              </w:rPr>
              <w:t>Retroactive application of Business Combination (Note 3)</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(21,029,826)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(4,467,972)</w:t>
            </w:r>
          </w:p>
        </w:tc>
        <w:tc>
          <w:tcPr>
            <w:tcW w:w="300" w:type="dxa"/>
            <w:vAlign w:val="bottom"/>
          </w:tcPr>
          <w:p>
            <w:pPr>
              <w:spacing w:after="0"/>
              <w:rPr>
                <w:sz w:val="15"/>
                <w:szCs w:val="15"/>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Adjusted balance, beginning of period*</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77,696,679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81,523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16,507,345</w:t>
            </w:r>
          </w:p>
        </w:tc>
        <w:tc>
          <w:tcPr>
            <w:tcW w:w="3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133,142</w:t>
            </w: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(165,405)</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(32,256)</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118,566</w:t>
            </w:r>
          </w:p>
        </w:tc>
        <w:tc>
          <w:tcPr>
            <w:tcW w:w="30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597</w:t>
            </w: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20"/>
                <w:szCs w:val="20"/>
                <w:color w:val="auto"/>
              </w:rPr>
            </w:pPr>
            <w:r>
              <w:rPr>
                <w:rFonts w:ascii="Arial" w:cs="Arial" w:eastAsia="Arial" w:hAnsi="Arial"/>
                <w:sz w:val="14"/>
                <w:szCs w:val="14"/>
                <w:color w:val="auto"/>
              </w:rPr>
              <w:t>Foreign currency translation gain</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(7,787)</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(7,787)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Balance, March 31, 2021</w:t>
            </w: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77,696,679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ind w:left="60"/>
              <w:spacing w:after="0"/>
              <w:rPr>
                <w:sz w:val="20"/>
                <w:szCs w:val="20"/>
                <w:color w:val="auto"/>
              </w:rPr>
            </w:pPr>
            <w:r>
              <w:rPr>
                <w:rFonts w:ascii="Arial" w:cs="Arial" w:eastAsia="Arial" w:hAnsi="Arial"/>
                <w:sz w:val="14"/>
                <w:szCs w:val="14"/>
                <w:color w:val="auto"/>
              </w:rPr>
              <w:t>81,523</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16,625,911</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133,765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(173,192)</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(39,368)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338,979</w:t>
            </w:r>
          </w:p>
        </w:tc>
        <w:tc>
          <w:tcPr>
            <w:tcW w:w="3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2"/>
        </w:trPr>
        <w:tc>
          <w:tcPr>
            <w:tcW w:w="3880" w:type="dxa"/>
            <w:vAlign w:val="bottom"/>
          </w:tcPr>
          <w:p>
            <w:pPr>
              <w:spacing w:after="0"/>
              <w:rPr>
                <w:sz w:val="20"/>
                <w:szCs w:val="20"/>
                <w:color w:val="auto"/>
              </w:rPr>
            </w:pPr>
            <w:r>
              <w:rPr>
                <w:rFonts w:ascii="Arial" w:cs="Arial" w:eastAsia="Arial" w:hAnsi="Arial"/>
                <w:sz w:val="14"/>
                <w:szCs w:val="14"/>
                <w:color w:val="auto"/>
              </w:rPr>
              <w:t>Issuance of common stock upon exercise of common stock</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140"/>
              <w:spacing w:after="0"/>
              <w:rPr>
                <w:sz w:val="20"/>
                <w:szCs w:val="20"/>
                <w:color w:val="auto"/>
              </w:rPr>
            </w:pPr>
            <w:r>
              <w:rPr>
                <w:rFonts w:ascii="Arial" w:cs="Arial" w:eastAsia="Arial" w:hAnsi="Arial"/>
                <w:sz w:val="14"/>
                <w:szCs w:val="14"/>
                <w:color w:val="auto"/>
              </w:rPr>
              <w:t>warrants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111,229</w:t>
            </w:r>
          </w:p>
        </w:tc>
        <w:tc>
          <w:tcPr>
            <w:tcW w:w="30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5"/>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521</w:t>
            </w: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Arial" w:cs="Arial" w:eastAsia="Arial" w:hAnsi="Arial"/>
                <w:sz w:val="14"/>
                <w:szCs w:val="14"/>
                <w:color w:val="auto"/>
              </w:rPr>
              <w:t>Foreign currency translation loss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(10,074)</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(10,074)</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Balance, June 30, 2021</w:t>
            </w: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80" w:type="dxa"/>
            <w:vAlign w:val="bottom"/>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77,696,679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ind w:left="60"/>
              <w:spacing w:after="0"/>
              <w:rPr>
                <w:sz w:val="20"/>
                <w:szCs w:val="20"/>
                <w:color w:val="auto"/>
              </w:rPr>
            </w:pPr>
            <w:r>
              <w:rPr>
                <w:rFonts w:ascii="Arial" w:cs="Arial" w:eastAsia="Arial" w:hAnsi="Arial"/>
                <w:sz w:val="14"/>
                <w:szCs w:val="14"/>
                <w:color w:val="auto"/>
              </w:rPr>
              <w:t>81,523</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17,076,119</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134,377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(183,266)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(48,832)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exercise of stock options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491,628</w:t>
            </w:r>
          </w:p>
        </w:tc>
        <w:tc>
          <w:tcPr>
            <w:tcW w:w="3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139</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2"/>
        </w:trPr>
        <w:tc>
          <w:tcPr>
            <w:tcW w:w="3880" w:type="dxa"/>
            <w:vAlign w:val="bottom"/>
          </w:tcPr>
          <w:p>
            <w:pPr>
              <w:spacing w:after="0"/>
              <w:rPr>
                <w:sz w:val="20"/>
                <w:szCs w:val="20"/>
                <w:color w:val="auto"/>
              </w:rPr>
            </w:pPr>
            <w:r>
              <w:rPr>
                <w:rFonts w:ascii="Arial" w:cs="Arial" w:eastAsia="Arial" w:hAnsi="Arial"/>
                <w:sz w:val="14"/>
                <w:szCs w:val="14"/>
                <w:color w:val="auto"/>
              </w:rPr>
              <w:t>Issuance of common stock upon exercise of common stock</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140"/>
              <w:spacing w:after="0"/>
              <w:rPr>
                <w:sz w:val="20"/>
                <w:szCs w:val="20"/>
                <w:color w:val="auto"/>
              </w:rPr>
            </w:pPr>
            <w:r>
              <w:rPr>
                <w:rFonts w:ascii="Arial" w:cs="Arial" w:eastAsia="Arial" w:hAnsi="Arial"/>
                <w:sz w:val="14"/>
                <w:szCs w:val="14"/>
                <w:color w:val="auto"/>
              </w:rPr>
              <w:t>warrants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16,684</w:t>
            </w:r>
          </w:p>
        </w:tc>
        <w:tc>
          <w:tcPr>
            <w:tcW w:w="30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518</w:t>
            </w: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20"/>
                <w:szCs w:val="20"/>
                <w:color w:val="auto"/>
              </w:rPr>
            </w:pPr>
            <w:r>
              <w:rPr>
                <w:rFonts w:ascii="Arial" w:cs="Arial" w:eastAsia="Arial" w:hAnsi="Arial"/>
                <w:sz w:val="14"/>
                <w:szCs w:val="14"/>
                <w:color w:val="auto"/>
              </w:rPr>
              <w:t>Foreign currency translation loss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(9,756)</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(9,756)</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Balance, September 30, 2021</w:t>
            </w: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77,696,679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ind w:left="60"/>
              <w:spacing w:after="0"/>
              <w:rPr>
                <w:sz w:val="20"/>
                <w:szCs w:val="20"/>
                <w:color w:val="auto"/>
              </w:rPr>
            </w:pPr>
            <w:r>
              <w:rPr>
                <w:rFonts w:ascii="Arial" w:cs="Arial" w:eastAsia="Arial" w:hAnsi="Arial"/>
                <w:sz w:val="14"/>
                <w:szCs w:val="14"/>
                <w:color w:val="auto"/>
              </w:rPr>
              <w:t>81,523</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17,584,431</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135,034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(193,022)</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(57,937)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0" w:hanging="424"/>
        <w:spacing w:after="0" w:line="308"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of legacy Redeemable Convertible Series C Preferred Stock, Redeemable Convertible Series C-1 Preferred Stock, legacy Class A Common Stock, and legacy Class B Common Stock have been retroactively restated to give effect to the Business Combination.</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(48,649)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(27,617)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00" w:type="dxa"/>
            <w:vAlign w:val="bottom"/>
            <w:gridSpan w:val="3"/>
          </w:tcPr>
          <w:p>
            <w:pPr>
              <w:jc w:val="right"/>
              <w:ind w:right="1"/>
              <w:spacing w:after="0"/>
              <w:rPr>
                <w:sz w:val="20"/>
                <w:szCs w:val="20"/>
                <w:color w:val="auto"/>
              </w:rPr>
            </w:pPr>
            <w:r>
              <w:rPr>
                <w:rFonts w:ascii="Arial" w:cs="Arial" w:eastAsia="Arial" w:hAnsi="Arial"/>
                <w:sz w:val="18"/>
                <w:szCs w:val="18"/>
                <w:color w:val="auto"/>
              </w:rPr>
              <w:t>4,801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37,643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Change in fair value of earn-out liability</w:t>
            </w:r>
          </w:p>
        </w:tc>
        <w:tc>
          <w:tcPr>
            <w:tcW w:w="8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(17,418)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(19,853)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Change in fair value of forward contract</w:t>
            </w:r>
          </w:p>
        </w:tc>
        <w:tc>
          <w:tcPr>
            <w:tcW w:w="8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(5,465)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1,072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Accretion of available-for-sale securities</w:t>
            </w:r>
          </w:p>
        </w:tc>
        <w:tc>
          <w:tcPr>
            <w:tcW w:w="8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700" w:type="dxa"/>
            <w:vAlign w:val="bottom"/>
            <w:gridSpan w:val="3"/>
          </w:tcPr>
          <w:p>
            <w:pPr>
              <w:jc w:val="right"/>
              <w:ind w:right="1"/>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3"/>
        </w:trPr>
        <w:tc>
          <w:tcPr>
            <w:tcW w:w="918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700" w:type="dxa"/>
            <w:vAlign w:val="bottom"/>
            <w:gridSpan w:val="3"/>
          </w:tcPr>
          <w:p>
            <w:pPr>
              <w:jc w:val="right"/>
              <w:ind w:right="1"/>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w w:val="95"/>
              </w:rPr>
              <w:t>(48,482)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(22,538)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(19,294)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80" w:type="dxa"/>
            <w:vAlign w:val="bottom"/>
          </w:tcPr>
          <w:p>
            <w:pPr>
              <w:spacing w:after="0"/>
              <w:rPr>
                <w:sz w:val="19"/>
                <w:szCs w:val="19"/>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(87,186)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(106,480</w:t>
            </w:r>
          </w:p>
        </w:tc>
        <w:tc>
          <w:tcPr>
            <w:tcW w:w="1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(5,789)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Business Combination, net of transaction costs paid</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w w:val="98"/>
              </w:rPr>
              <w:t>225,604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Transaction costs paid directly by Rigetti</w:t>
            </w:r>
          </w:p>
        </w:tc>
        <w:tc>
          <w:tcPr>
            <w:tcW w:w="8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(18,420)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notes payable</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20,000</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Payments on debt issuance costs</w:t>
            </w:r>
          </w:p>
        </w:tc>
        <w:tc>
          <w:tcPr>
            <w:tcW w:w="8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Payment on loan and security agreement exit fees</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Proceeds from issuance of common stock upon exercise of stock options and warrants</w:t>
            </w:r>
          </w:p>
        </w:tc>
        <w:tc>
          <w:tcPr>
            <w:tcW w:w="80" w:type="dxa"/>
            <w:vAlign w:val="bottom"/>
          </w:tcPr>
          <w:p>
            <w:pPr>
              <w:spacing w:after="0"/>
              <w:rPr>
                <w:sz w:val="19"/>
                <w:szCs w:val="19"/>
                <w:color w:val="auto"/>
              </w:rPr>
            </w:pPr>
          </w:p>
        </w:tc>
        <w:tc>
          <w:tcPr>
            <w:tcW w:w="700" w:type="dxa"/>
            <w:vAlign w:val="bottom"/>
            <w:gridSpan w:val="3"/>
          </w:tcPr>
          <w:p>
            <w:pPr>
              <w:jc w:val="right"/>
              <w:ind w:right="1"/>
              <w:spacing w:after="0"/>
              <w:rPr>
                <w:sz w:val="20"/>
                <w:szCs w:val="20"/>
                <w:color w:val="auto"/>
              </w:rPr>
            </w:pPr>
            <w:r>
              <w:rPr>
                <w:rFonts w:ascii="Arial" w:cs="Arial" w:eastAsia="Arial" w:hAnsi="Arial"/>
                <w:sz w:val="18"/>
                <w:szCs w:val="18"/>
                <w:color w:val="auto"/>
              </w:rPr>
              <w:t>5,990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w w:val="98"/>
              </w:rPr>
              <w:t>217,089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Arial" w:cs="Arial" w:eastAsia="Arial" w:hAnsi="Arial"/>
                <w:sz w:val="18"/>
                <w:szCs w:val="18"/>
                <w:b w:val="1"/>
                <w:bCs w:val="1"/>
                <w:color w:val="auto"/>
              </w:rPr>
              <w:t>Effect of changes in exchange rate on cash and restricted cash</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61,908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(8,036)</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0" w:type="dxa"/>
            <w:vAlign w:val="bottom"/>
          </w:tcPr>
          <w:p>
            <w:pPr>
              <w:spacing w:after="0"/>
              <w:rPr>
                <w:sz w:val="19"/>
                <w:szCs w:val="19"/>
                <w:color w:val="auto"/>
              </w:rPr>
            </w:pPr>
          </w:p>
        </w:tc>
        <w:tc>
          <w:tcPr>
            <w:tcW w:w="700" w:type="dxa"/>
            <w:vAlign w:val="bottom"/>
            <w:gridSpan w:val="3"/>
          </w:tcPr>
          <w:p>
            <w:pPr>
              <w:jc w:val="right"/>
              <w:ind w:right="1"/>
              <w:spacing w:after="0"/>
              <w:rPr>
                <w:sz w:val="20"/>
                <w:szCs w:val="20"/>
                <w:color w:val="auto"/>
              </w:rPr>
            </w:pPr>
            <w:r>
              <w:rPr>
                <w:rFonts w:ascii="Arial" w:cs="Arial" w:eastAsia="Arial" w:hAnsi="Arial"/>
                <w:sz w:val="18"/>
                <w:szCs w:val="18"/>
                <w:color w:val="auto"/>
              </w:rPr>
              <w:t>12,046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24,394</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73,954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2,739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b w:val="1"/>
                <w:bCs w:val="1"/>
                <w:color w:val="auto"/>
              </w:rPr>
              <w:t>Supplemental disclosure of non- cash financing and investing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earn-out liability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20,413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Fair value of private placement and public warrants liability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
              <w:spacing w:after="0"/>
              <w:rPr>
                <w:sz w:val="20"/>
                <w:szCs w:val="20"/>
                <w:color w:val="auto"/>
              </w:rPr>
            </w:pPr>
            <w:r>
              <w:rPr>
                <w:rFonts w:ascii="Arial" w:cs="Arial" w:eastAsia="Arial" w:hAnsi="Arial"/>
                <w:sz w:val="18"/>
                <w:szCs w:val="18"/>
                <w:color w:val="auto"/>
              </w:rPr>
              <w:t>22,932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loan and security agreement warrants to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6,370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Settlement of the first tranche of forward contract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
              <w:spacing w:after="0"/>
              <w:rPr>
                <w:sz w:val="20"/>
                <w:szCs w:val="20"/>
                <w:color w:val="auto"/>
              </w:rPr>
            </w:pPr>
            <w:r>
              <w:rPr>
                <w:rFonts w:ascii="Arial" w:cs="Arial" w:eastAsia="Arial" w:hAnsi="Arial"/>
                <w:sz w:val="18"/>
                <w:szCs w:val="18"/>
                <w:color w:val="auto"/>
              </w:rPr>
              <w:t>3,305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deferred costs to equity upon share issuance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Purchases of property and equipment recorded in 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short term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54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discussion on the restatement adjustments, see Note 1 — Restatement of Condensed Consolidated Financial Statements and Immaterial Correction of Prior-Period Errors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40"/>
          </w:cols>
          <w:pgMar w:left="320" w:top="486" w:right="4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Rigetti Computing, Inc. and its subsidiaries (collectively, the “Company” or “Rigetti”), builds quantum computers and the superconducting quantum processors that power them. Through the Company’s Quantum Computing as a Service (“QCaaS”) platform, the Company’s machines can be integrated into any public, private or hybrid cloud. The Company offers product types of Platform, Research and Software Tools usage in application areas of benchmarking, chemical simulation, education/entertainment, machine learning, and optimization.</w:t>
      </w:r>
    </w:p>
    <w:p>
      <w:pPr>
        <w:spacing w:after="0" w:line="17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is located and headquartered in Berkeley, California. The Company also operates in Fremont, California; London, United Kingdom; Adelaide, Australia; British Columbia, Canada and Munich, Germany. The Company’s revenue is derived primarily from operations in the United States and the United Kingdom.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On March 2, 2022 (the “Closing Date”), a merger transaction between Rigetti Holdings, Inc. (“Legacy Rigetti”) and Supernova Partners Acquisition Company II, Ltd. (“SNII”) was completed (the “Business Combination”, see Note 3).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The SNII Public Warrants and the Private Warrants held by SNII became warrants for Common Stock. The Company’s Common Stock and Public Warrants trade on the Nasdaq Capital Market under the ticker symbols “RGTI” and “RGTIW,” respectively. For more information on this transaction, see Note 3.</w:t>
      </w:r>
    </w:p>
    <w:p>
      <w:pPr>
        <w:spacing w:after="0" w:line="16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 determined that Legacy Rigetti was the accounting acquirer in the Business Combination based on an analysis of the criteria outlined in Accounting Standards Codification (ASC) 805, Business Combination.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determination was primarily based on the following facts:</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Former Legacy Rigetti stockholders have a controlling voting interest in the Company;</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board of directors as of immediately after the closing is comprised of eight board members, six seats occupied by previous Rigetti board members and one seat being occupied by a previous Supernova representative. The final eighth seat was filled by an individual who did not have ties to either Rigetti or Supernova pre-merger; and</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Legacy Rigetti management continues to hold executive management roles for the post-combination company and be responsible for the day-to-day operations.</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Accordingly, for accounting purposes, the Business Combination was treated as the equivalent of Legacy Rigetti issuing stock for the net assets of SNII, accompanied by a recapitalization. The primary asset acquired from SNII was related to the cash amounts that was assumed at historical costs. Separately, the Company also assumed warrants that were deemed to be derivatives and meet liability classification subject to fair value adjustment measurements upon closing of the Business Combination (the “Closing”). No goodwill or other intangible assets were recorded as a result of the Business Combination.</w:t>
      </w:r>
    </w:p>
    <w:p>
      <w:pPr>
        <w:spacing w:after="0" w:line="18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 As a result, the financial statements included in this report reflect (i) the historical operating results of Legacy Rigetti prior to the Business Combination;</w:t>
      </w:r>
    </w:p>
    <w:p>
      <w:pPr>
        <w:spacing w:after="0" w:line="2" w:lineRule="exact"/>
        <w:rPr>
          <w:sz w:val="20"/>
          <w:szCs w:val="20"/>
          <w:color w:val="auto"/>
        </w:rPr>
      </w:pPr>
    </w:p>
    <w:p>
      <w:pPr>
        <w:ind w:left="120" w:right="140" w:hanging="4"/>
        <w:spacing w:after="0" w:line="260" w:lineRule="auto"/>
        <w:tabs>
          <w:tab w:leader="none" w:pos="3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combined results of SNII and Legacy Rigetti following the closing of the Business Combination; (iii) the assets and liabilities of Legacy Rigetti at their historical cost; and (iv) the Company’s equity structure for all periods presented.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86"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equity structure has been retroactively restated in all comparative periods up to the Closing Date, to reflect the number of shares of the Company’s Common Stock, $0.0001 par value per share, issued to Legacy Rigetti shareholders and Legacy Rigetti convertible preferred shareholders in connection with the Business Combination. As such, the shares and corresponding capital amounts and earnings per share related to Legacy Rigetti redeemable convertible preferred stock and Legacy Rigetti Common Stock prior to the Business Combination have been retroactively restated as shares reflecting the exchange ratio established in the Business Combination.</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the Company and its subsidiaries have been prepared in accordance with accounting principles generally accepted in the United States (“U.S. GAAP”) and applicable rules and regulations of the U.S. Securities and Exchange Commission (“SEC”) regarding interim financial reporting. All intercompany transactions and balances have been eliminated in consolidation. All dollar amounts, except share and per share amounts, in the notes are presented in thousands, unless otherwise specified. The condensed consolidated balance sheet as of December 31, 2021, included herein, was derived from the audited consolidated financial statements as of that date, but does not include all disclosures including certain notes required by U.S. GAAP on an annual reporting basis. Certain information and note disclosures normally included in the consolidated financial statements prepared in accordance with U.S. GAAP have been condensed or omitted pursuant to such rules and regulations. The interim results are not necessarily indicative of the results for any future interim period or for the entire year. Therefore, these unaudited condensed consolidated financial statements should be read in conjunction with the Company’s audited consolidated financial statements and notes included as Exhibit 99.1 to the Company’s Current Report on Form 8-K, dated March 7, 2022. The unaudited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September 30, 2022 and results of operations for the three and nine months ended September 30, 2022 and 2021.</w:t>
      </w:r>
    </w:p>
    <w:p>
      <w:pPr>
        <w:spacing w:after="0" w:line="170" w:lineRule="exact"/>
        <w:rPr>
          <w:sz w:val="20"/>
          <w:szCs w:val="20"/>
          <w:color w:val="auto"/>
        </w:rPr>
      </w:pPr>
    </w:p>
    <w:p>
      <w:pPr>
        <w:ind w:left="120" w:right="80"/>
        <w:spacing w:after="0" w:line="261" w:lineRule="auto"/>
        <w:rPr>
          <w:sz w:val="20"/>
          <w:szCs w:val="20"/>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The Company is subject to a number of risks similar to those of other companies of similar size in its industry,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spacing w:after="0" w:line="180"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b w:val="1"/>
          <w:bCs w:val="1"/>
          <w:color w:val="auto"/>
        </w:rPr>
        <w:t xml:space="preserve">COVID-19 and Macroeconomic Conditions </w:t>
      </w:r>
      <w:r>
        <w:rPr>
          <w:rFonts w:ascii="Arial" w:cs="Arial" w:eastAsia="Arial" w:hAnsi="Arial"/>
          <w:sz w:val="16"/>
          <w:szCs w:val="16"/>
          <w:color w:val="auto"/>
        </w:rPr>
        <w:t>— As of September 30, 2022 and December 31, 2021, the Company’s financial position was not</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significantly impacted due to the effects of COVID-19. However, the duration and intensity of the COVID-19 pandemic and any resulting disruption to the Company’s operations remains somewhat uncertain, and the Company will continue to assess the impact of the COVID-19 pandemic on its financial position. Global economic conditions have been worsening, with disruptions to, and volatility in, the credit and financial markets and rising inflation and interest rates in the U.S. and worldwide resulting from the effects of COVID-19 and otherwise. If these conditions persist and deepen, the Company could experience an inability to access additional capital or our liquidity could otherwise be impacted. If the Company is unable to raise capital when needed or on attractive terms, it would be forced to delay, reduce or eliminate its research and development programs and other efforts.</w:t>
      </w:r>
    </w:p>
    <w:p>
      <w:pPr>
        <w:spacing w:after="0" w:line="161" w:lineRule="exact"/>
        <w:rPr>
          <w:sz w:val="20"/>
          <w:szCs w:val="20"/>
          <w:color w:val="auto"/>
        </w:rPr>
      </w:pPr>
    </w:p>
    <w:p>
      <w:pPr>
        <w:ind w:left="120" w:right="40"/>
        <w:spacing w:after="0" w:line="258" w:lineRule="auto"/>
        <w:rPr>
          <w:sz w:val="20"/>
          <w:szCs w:val="20"/>
          <w:color w:val="auto"/>
        </w:rPr>
      </w:pPr>
      <w:r>
        <w:rPr>
          <w:rFonts w:ascii="Arial" w:cs="Arial" w:eastAsia="Arial" w:hAnsi="Arial"/>
          <w:sz w:val="18"/>
          <w:szCs w:val="18"/>
          <w:b w:val="1"/>
          <w:bCs w:val="1"/>
          <w:color w:val="auto"/>
        </w:rPr>
        <w:t xml:space="preserve">Change in Fiscal Year </w:t>
      </w:r>
      <w:r>
        <w:rPr>
          <w:rFonts w:ascii="Arial" w:cs="Arial" w:eastAsia="Arial" w:hAnsi="Arial"/>
          <w:sz w:val="18"/>
          <w:szCs w:val="18"/>
          <w:color w:val="auto"/>
        </w:rPr>
        <w:t>— In October 2021, the board of directors of Rigetti approved a change to Rigetti’s fiscal year-end from January 31 to</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effective December 31, 2021. The Company believes the year-end change is important and useful to its financial statement users to allow for increased comparability with its industry peers. As a result of this change, the Company’s fiscal year now begins on January 1 and ends on December 31 of each year, starting on January 1, 2022. Year-over-year quarterly financial data has been and will continue to be recast to be comparative with the new fiscal quarter ends in the new fiscal year.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Restatement of Condensed Consolidated Financial Statements and Immaterial Correction of Prior-Period Errors</w:t>
      </w:r>
    </w:p>
    <w:p>
      <w:pPr>
        <w:spacing w:after="0" w:line="12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On November 14, 2022, the audit committee of the Company’s board of directors (the “Audit Committee”), based on the recommendation of, and after consultation with, the Company’s management, concluded that the Company’s previously issued unaudited interim condensed consolidated financial statements for the quarters ended March 31, 2022 and June 30, 2022 (the “Affected Financials”), each as previously filed with the SEC, should no longer be relied upon and should be restated due to the matters described below. The Company intends to restate such prior period financial statements by filing amendments to the respective Form 10-Qs for such periods.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Earn-out Valuation</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At the closing of the Company’s business combination with Supernova Partners Acquisition Company II Ltd. on March 2, 2022 (the “Closing”), (i) 2,479,000 shares of the Company’s “Common Stock, held by Supernova Partners II LLC (the “SPAC Sponsor”) (such shares, the “Promote Sponsor Vesting Shares”) became subject to vesting and are considered unvested and will only vest if, during the five year period following the Closing, the volume weighted average price of the Common Stock equals or exceeds $12.50 for any twenty trading days within a period of thirty consecutive trading days, and (ii) 580,273 shares of Common Stock held by the SPAC Sponsor (“Sponsor Redemption-Based Vesting Shares”) became subject to vesting and considered unvested and will only vest if, during the five year period following the Closing, the volume weighted average price of the Common Stock equals or exceeds $15.00 for any twenty trading days within a period of thirty consecutive trading days (collectively, the Promote Sponsor Vesting Shares and Sponsor Redemption-Based Vesting Shares, “Sponsor Vesting Shares”). Any Sponsor Vesting Shares that remain unvested after the fifth anniversary of the Closing will be forfeited.</w:t>
      </w:r>
    </w:p>
    <w:p>
      <w:pPr>
        <w:spacing w:after="0" w:line="181"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The Sponsor Vesting Shares are accounted for as liability classified instruments because the earn-out triggering events that determine the number of Sponsor Vesting Shares to be earned back by the SPAC Sponsor include outcomes that are not solely indexed to the Common Stock. As part of the Company’s accounting for the earn-out liability related to the Sponsor Vesting Shares in connection with the preparation of the financial statements for the three months ended September 30, 2022, the Company evaluated the valuation assumptions utilized in estimating the fair value of the Sponsor Vesting Shares using a Monte Carlo simulation model. During this evaluation, it was determined that the volatility assumption used in the valuation of the earn-out liability related to the Sponsor Vesting Shares, which is based on a weighted average of the volatilities of the trading price of the common stock for a group of comparable public companies, the trading price of the Company’s common stock and the trading price of the Company’s Public Warrants (as defined below), should be revised to include a greater weight for the volatility of the trading price of the Company’s Public Warrants and should have included such greater weighting in calculating the values of the earn-out liability used in preparation of the Affected Financials.</w:t>
      </w:r>
    </w:p>
    <w:p>
      <w:pPr>
        <w:spacing w:after="0" w:line="166"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Company assessed the materiality of the error, both quantitatively and qualitatively, in accordance with the SEC’s Staff Accounting Bulletin No. 99, and concluded that the error is material to the Affected Financials based upon quantitative aspects of the error. The revised weighting used for the volatility assumption in the estimation of the fair value of the Sponsor Vesting Shares had the following impact:</w:t>
      </w:r>
    </w:p>
    <w:p>
      <w:pPr>
        <w:spacing w:after="0" w:line="71" w:lineRule="exact"/>
        <w:rPr>
          <w:sz w:val="20"/>
          <w:szCs w:val="20"/>
          <w:color w:val="auto"/>
        </w:rPr>
      </w:pPr>
    </w:p>
    <w:p>
      <w:pPr>
        <w:ind w:left="1080" w:right="7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the Earn-out Liabilities recorded on the unaudited condensed consolidated balance sheets as of March 31, 2022 and June 30,2022 included in the Affected Financials;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the gain from Change in the Fair Value of Earn-out Liability recorded in the unaudited condensed consolidated statements of operations for the periods ended March 31, 2022 and June 30, 2022 included in the Affected Financials;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Net Loss and Net Loss per Share recorded in the unaudited condensed consolidated statements of operations for the periods ended March 31, 2022 and June 30, 2022 included in the Affected Financials; and</w:t>
      </w:r>
    </w:p>
    <w:p>
      <w:pPr>
        <w:spacing w:after="0" w:line="75"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decrease in the Change in the Fair value of Earn-out Liability recorded in the unaudited condensed consolidated statements of cash flows as supplemental disclosure of non-cash financing activities for the periods ended March 31, 2022 and June 30, 2022 included in the Affected Financials (the Earn-out Liabilities related adjustments are marked with an “(a)” in the table below).</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Warrant Valuation</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Prior to the Business Combination, SNII issued 4,450,000 private placement warrants (“Private Warrants”). Each whole warrant entitles the holder to purchase one share of the Company’s Common Stock at a price of $11.50 per share, subject to adjustments and will expire five years after the Business Combination or earlier upon redemption or liquidation. The Company reassessed the calculations of fair value for its Private Warrants that are treated as derivative warrant liabilities for the periods ended March 31, 2022 and June 30, 2022.</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As part of the Company’s accounting for the derivative warrant liability related to the Private Warrants in connection with the preparation of the financial statements for the three months ended September 30, 2022, the Company evaluated the valuation assumptions used in estimating the fair value of the Private Warrants. During this evaluation, it was determined that the calculated volatility used in the valuation of the derivative warrant liability related to the Private Warrants was based on the assumption that such warrants were not subject to redemption at $10 per share but were subject to redemption at $18 per share. The Private Warrants, however, are not redeemable at either of these prices as long as the warrants are held by either the Sponsor or its permitted transferees. During the first two quarters of the 2022 fiscal year, the Private Warrants were held by the Sponsor; therefore, the Private Warrants were not redeemable at either price during such periods. The Company revised this assumption in the calculation of the volatility of the Private Warrants, which impacted the valuation of the liability related to the Private Warrants included in the Affected Financials.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Company assessed the materiality of the error, both quantitatively and qualitatively, in accordance with the SEC’s Staff Accounting Bulletin No. 99, and concluded that the error is material to the Affected Financials based upon quantitative aspects of the error. The revised assumption used for the calculation of the volatility in the estimation of the fair value of the Private Warrants had the following impact:</w:t>
      </w:r>
    </w:p>
    <w:p>
      <w:pPr>
        <w:spacing w:after="0" w:line="71" w:lineRule="exact"/>
        <w:rPr>
          <w:sz w:val="20"/>
          <w:szCs w:val="20"/>
          <w:color w:val="auto"/>
        </w:rPr>
      </w:pPr>
    </w:p>
    <w:p>
      <w:pPr>
        <w:ind w:left="1080" w:right="2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Derivative Warrant Liabilities recorded on the unaudited condensed consolidated balance sheets as of March 31, 2022 and as of June 30,2022 included in the Affected Financials;</w:t>
      </w:r>
    </w:p>
    <w:p>
      <w:pPr>
        <w:spacing w:after="0" w:line="75" w:lineRule="exact"/>
        <w:rPr>
          <w:rFonts w:ascii="Arial" w:cs="Arial" w:eastAsia="Arial" w:hAnsi="Arial"/>
          <w:sz w:val="18"/>
          <w:szCs w:val="18"/>
          <w:color w:val="auto"/>
        </w:rPr>
      </w:pPr>
    </w:p>
    <w:p>
      <w:pPr>
        <w:ind w:left="1080" w:right="260" w:hanging="424"/>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decrease in the gain from the Change in the Fair Value of Derivative Warrant Liabilities recorded in the unaudited condensed consolidated statement of operations for the period ended March 31, 2022 , an increase in the gain from the Change in the Fair Value of Derivative Warrant Liabilities for the three months ended June 30, 2022 and a decrease in the gain from the Change in the Fair Value of Derivative Warrant Liabilities for the six months ended June 30, 2022 included in the Affected Financials;</w:t>
      </w:r>
    </w:p>
    <w:p>
      <w:pPr>
        <w:spacing w:after="0" w:line="76" w:lineRule="exact"/>
        <w:rPr>
          <w:rFonts w:ascii="Arial" w:cs="Arial" w:eastAsia="Arial" w:hAnsi="Arial"/>
          <w:sz w:val="17"/>
          <w:szCs w:val="17"/>
          <w:color w:val="auto"/>
        </w:rPr>
      </w:pPr>
    </w:p>
    <w:p>
      <w:pPr>
        <w:ind w:left="1080" w:right="180" w:hanging="424"/>
        <w:spacing w:after="0" w:line="286"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increase in Net Loss and Net Loss per Share recorded in the unaudited condensed consolidated statements of operations for the period ended March 31, 2022 , a decrease in Net Loss and Net Loss per Share for the three months ended June 30, 2022 and an increase in Net Loss and Net Loss per Share for the six months ended June 30,2022 included in the Affected Financials; and</w:t>
      </w:r>
    </w:p>
    <w:p>
      <w:pPr>
        <w:spacing w:after="0" w:line="70" w:lineRule="exact"/>
        <w:rPr>
          <w:rFonts w:ascii="Arial" w:cs="Arial" w:eastAsia="Arial" w:hAnsi="Arial"/>
          <w:sz w:val="17"/>
          <w:szCs w:val="17"/>
          <w:color w:val="auto"/>
        </w:rPr>
      </w:pPr>
    </w:p>
    <w:p>
      <w:pPr>
        <w:ind w:left="1080" w:right="10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the Change in Fair value of Derivatives Liability recorded in the unaudited condensed consolidated statements of cash flows as supplemental disclosure of non-cash financing activities for the periods ended March 31, 2022 and June 30, 2022 included in the Affected Financials (the Private Warrant adjustments are marked with an “(d)” in the table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Operating Expenses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addition, the Company has completed analysis with respect to the treatment of additional operating expenses relating to electrical utility fees for a portion of the electrical usage at its Berkeley location since 2019 that were not paid and recognized in prior periods. The Company has cumulatively recorded an accrual of $1.5 million for the three months ended March 31, 2022, which includes an out-of-period adjustment of $1.3 million in relation to expense incurred in 2019 through 2021, and an additional $0.1 million to accrue for the three months ended June 30, 2022, and recorded operating expenses of $0.1 million in its financial statements for the quarter ended September 30, 2022. The expenses have been recorded as research and development expenses in the financial statements for these respective periods. The impact of the additional operating expenses recorded increased accrued expenses and other current liabilities in the unaudited condensed consolidated balance sheet and research and development expenses, operating expenses, operating loss and net loss recorded in the unaudited condensed consolidated statements of operations in the Affected Financials (the additional operating expense adjustments are marked with a “(b)” in the table below).</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Trinity Warrant Valuation</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As part of the restatement of the financial statements for the quarters ended March 31, 2022 and June 30, 2022, the Company also recorded the correction of an immaterial error related to the valuation of the liability associated with the warrants issued to Trinity Capital Inc. in the restated financial statements for the quarter ended March 31, 2022, and reversed the out-of-period adjustment it had previously recorded for such immaterial error in the financial statements for the quarter ended June 30, 2022 in the restated financial statements for such period. The Company reduced Derivative Warrant Liabilities by $1.3 million in the condensed consolidated balance sheet as of March 31, 2022 and increased the Change in Fair Value of Derivative Warrant Liabilities by $1.3 million in the restated unaudited condensed consolidated statement of operations for the period ended March 31, 2022 for the revaluation of the liability associated with the warrants issued to Trinity Capital. The increase to the Change in Fair Value of Derivative Warrant Liabilities increased total other income (expense) and decreased net loss recorded in the unaudited condensed consolidated statement of operations for the period ended March 31, 2022. The reversal of the out of period adjustment from the financial statements for the quarter ended June 30, 2022 decreased total other income (expense) and increased net loss recorded in the restated unaudited condensed consolidated statement of operations for the period ended June 30, 2022 (the Trinity Warrant adjustments are marked with a “(c)” in the table below).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Company recorded the following adjustments to correct the prior period errors in the financial statements as of and for the period ended March 31, 2022 such that the consolidated balance sheet and the year-to-date consolidated statement of operations appropriately reflect the accounting impacts of the related transactions (in thousands):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Restated Condensed Consolidated Balance Sheet (unaudited)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As of March 31, 2022</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4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200" w:type="dxa"/>
            <w:vAlign w:val="bottom"/>
          </w:tcPr>
          <w:p>
            <w:pPr>
              <w:spacing w:after="0"/>
              <w:rPr>
                <w:sz w:val="10"/>
                <w:szCs w:val="10"/>
                <w:color w:val="auto"/>
              </w:rPr>
            </w:pPr>
          </w:p>
        </w:tc>
        <w:tc>
          <w:tcPr>
            <w:tcW w:w="13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3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To be adjusted -</w:t>
            </w:r>
          </w:p>
        </w:tc>
        <w:tc>
          <w:tcPr>
            <w:tcW w:w="13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w:t>
            </w:r>
          </w:p>
        </w:tc>
        <w:tc>
          <w:tcPr>
            <w:tcW w:w="260" w:type="dxa"/>
            <w:vAlign w:val="bottom"/>
          </w:tcPr>
          <w:p>
            <w:pPr>
              <w:spacing w:after="0"/>
              <w:rPr>
                <w:sz w:val="14"/>
                <w:szCs w:val="14"/>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4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Accrued expenses and other</w:t>
            </w: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5,230</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1,478</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11,567</w:t>
            </w:r>
          </w:p>
        </w:tc>
        <w:tc>
          <w:tcPr>
            <w:tcW w:w="2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1,478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Derivative warrant liabilities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24,001</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(1,331)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3,827</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Earn-out liabilities</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16,949</w:t>
            </w:r>
          </w:p>
        </w:tc>
        <w:tc>
          <w:tcPr>
            <w:tcW w:w="2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(2,527)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(2,527)</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14,422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80,473</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(2,527)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(1,331)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3,827</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382,959</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6,170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(445)</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5,725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388,684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6"/>
              </w:rPr>
              <w:t>(217,601)</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(3,643)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(1,478)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(3,382)</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(7,172)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(224,773)</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color w:val="auto"/>
              </w:rPr>
              <w:t>Total stockholders’ equity (deficit)</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165,430</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(1,478)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(3,827)</w:t>
            </w:r>
          </w:p>
        </w:tc>
        <w:tc>
          <w:tcPr>
            <w:tcW w:w="20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163,983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Restated Condensed Consolidated Statement of Operations (unaudited)</w:t>
      </w:r>
    </w:p>
    <w:p>
      <w:pPr>
        <w:spacing w:after="0" w:line="244" w:lineRule="exact"/>
        <w:rPr>
          <w:sz w:val="20"/>
          <w:szCs w:val="20"/>
          <w:color w:val="auto"/>
        </w:rPr>
      </w:pPr>
    </w:p>
    <w:p>
      <w:pPr>
        <w:jc w:val="center"/>
        <w:ind w:left="2360"/>
        <w:spacing w:after="0"/>
        <w:rPr>
          <w:sz w:val="20"/>
          <w:szCs w:val="20"/>
          <w:color w:val="auto"/>
        </w:rPr>
      </w:pPr>
      <w:r>
        <w:rPr>
          <w:rFonts w:ascii="Arial" w:cs="Arial" w:eastAsia="Arial" w:hAnsi="Arial"/>
          <w:sz w:val="14"/>
          <w:szCs w:val="14"/>
          <w:b w:val="1"/>
          <w:bCs w:val="1"/>
          <w:color w:val="auto"/>
        </w:rPr>
        <w:t>For the Three Months Ended</w:t>
      </w:r>
    </w:p>
    <w:p>
      <w:pPr>
        <w:jc w:val="center"/>
        <w:ind w:left="2360"/>
        <w:spacing w:after="0" w:line="236" w:lineRule="auto"/>
        <w:rPr>
          <w:sz w:val="20"/>
          <w:szCs w:val="20"/>
          <w:color w:val="auto"/>
        </w:rPr>
      </w:pPr>
      <w:r>
        <w:rPr>
          <w:rFonts w:ascii="Arial" w:cs="Arial" w:eastAsia="Arial" w:hAnsi="Arial"/>
          <w:sz w:val="14"/>
          <w:szCs w:val="14"/>
          <w:b w:val="1"/>
          <w:bCs w:val="1"/>
          <w:color w:val="auto"/>
        </w:rPr>
        <w:t>March 31, 2022</w:t>
      </w:r>
    </w:p>
    <w:tbl>
      <w:tblPr>
        <w:tblLayout w:type="fixed"/>
        <w:tblInd w:w="120" w:type="dxa"/>
        <w:tblCellMar>
          <w:top w:w="0" w:type="dxa"/>
          <w:left w:w="0" w:type="dxa"/>
          <w:bottom w:w="0" w:type="dxa"/>
          <w:right w:w="0" w:type="dxa"/>
        </w:tblCellMar>
      </w:tblPr>
      <w:tr>
        <w:trPr>
          <w:trHeight w:val="119"/>
        </w:trPr>
        <w:tc>
          <w:tcPr>
            <w:tcW w:w="2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To be adjusted -</w:t>
            </w: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w:t>
            </w: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7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8"/>
              </w:rPr>
              <w:t>As Restated</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 (d)</w:t>
            </w:r>
          </w:p>
        </w:tc>
        <w:tc>
          <w:tcPr>
            <w:tcW w:w="22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12,449</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25,484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1,478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26,962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(23,794)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(1,478)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(1,478)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(25,272)</w:t>
            </w:r>
          </w:p>
        </w:tc>
        <w:tc>
          <w:tcPr>
            <w:tcW w:w="0" w:type="dxa"/>
            <w:vAlign w:val="bottom"/>
          </w:tcPr>
          <w:p>
            <w:pPr>
              <w:spacing w:after="0"/>
              <w:rPr>
                <w:sz w:val="1"/>
                <w:szCs w:val="1"/>
                <w:color w:val="auto"/>
              </w:rPr>
            </w:pPr>
          </w:p>
        </w:tc>
      </w:tr>
      <w:tr>
        <w:trPr>
          <w:trHeight w:val="193"/>
        </w:trPr>
        <w:tc>
          <w:tcPr>
            <w:tcW w:w="2320" w:type="dxa"/>
            <w:vAlign w:val="bottom"/>
          </w:tcPr>
          <w:p>
            <w:pPr>
              <w:spacing w:after="0"/>
              <w:rPr>
                <w:sz w:val="20"/>
                <w:szCs w:val="20"/>
                <w:color w:val="auto"/>
              </w:rPr>
            </w:pPr>
            <w:r>
              <w:rPr>
                <w:rFonts w:ascii="Arial" w:cs="Arial" w:eastAsia="Arial" w:hAnsi="Arial"/>
                <w:sz w:val="16"/>
                <w:szCs w:val="16"/>
                <w:color w:val="auto"/>
              </w:rPr>
              <w:t>Change in fair value of derivate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160"/>
              <w:spacing w:after="0"/>
              <w:rPr>
                <w:sz w:val="20"/>
                <w:szCs w:val="20"/>
                <w:color w:val="auto"/>
              </w:rPr>
            </w:pPr>
            <w:r>
              <w:rPr>
                <w:rFonts w:ascii="Arial" w:cs="Arial" w:eastAsia="Arial" w:hAnsi="Arial"/>
                <w:sz w:val="16"/>
                <w:szCs w:val="16"/>
                <w:color w:val="auto"/>
              </w:rPr>
              <w:t>warrant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1,331</w:t>
            </w:r>
          </w:p>
        </w:tc>
        <w:tc>
          <w:tcPr>
            <w:tcW w:w="20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6"/>
                <w:szCs w:val="16"/>
                <w:color w:val="auto"/>
              </w:rPr>
              <w:t>(3,382)</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(2,051)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earn-out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(3,643)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(3,643)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w w:val="96"/>
              </w:rPr>
              <w:t>Total other income (expense), net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ind w:left="320"/>
              <w:spacing w:after="0"/>
              <w:rPr>
                <w:sz w:val="20"/>
                <w:szCs w:val="20"/>
                <w:color w:val="auto"/>
              </w:rPr>
            </w:pPr>
            <w:r>
              <w:rPr>
                <w:rFonts w:ascii="Arial" w:cs="Arial" w:eastAsia="Arial" w:hAnsi="Arial"/>
                <w:sz w:val="16"/>
                <w:szCs w:val="16"/>
                <w:color w:val="auto"/>
              </w:rPr>
              <w:t>(3,643)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1,331</w:t>
            </w:r>
          </w:p>
        </w:tc>
        <w:tc>
          <w:tcPr>
            <w:tcW w:w="20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Arial" w:cs="Arial" w:eastAsia="Arial" w:hAnsi="Arial"/>
                <w:sz w:val="16"/>
                <w:szCs w:val="16"/>
                <w:color w:val="auto"/>
              </w:rPr>
              <w:t>(3,382)</w:t>
            </w:r>
          </w:p>
        </w:tc>
        <w:tc>
          <w:tcPr>
            <w:tcW w:w="2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(5,694)</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(10,470)</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(3,643)</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(1,478)</w:t>
            </w:r>
          </w:p>
        </w:tc>
        <w:tc>
          <w:tcPr>
            <w:tcW w:w="4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1,331</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(3,382)</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(7,172)</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(17,642)</w:t>
            </w:r>
          </w:p>
        </w:tc>
        <w:tc>
          <w:tcPr>
            <w:tcW w:w="0" w:type="dxa"/>
            <w:vAlign w:val="bottom"/>
          </w:tcPr>
          <w:p>
            <w:pPr>
              <w:spacing w:after="0"/>
              <w:rPr>
                <w:sz w:val="1"/>
                <w:szCs w:val="1"/>
                <w:color w:val="auto"/>
              </w:rPr>
            </w:pPr>
          </w:p>
        </w:tc>
      </w:tr>
      <w:tr>
        <w:trPr>
          <w:trHeight w:val="193"/>
        </w:trPr>
        <w:tc>
          <w:tcPr>
            <w:tcW w:w="2320" w:type="dxa"/>
            <w:vAlign w:val="bottom"/>
          </w:tcPr>
          <w:p>
            <w:pPr>
              <w:spacing w:after="0"/>
              <w:rPr>
                <w:sz w:val="20"/>
                <w:szCs w:val="20"/>
                <w:color w:val="auto"/>
              </w:rPr>
            </w:pPr>
            <w:r>
              <w:rPr>
                <w:rFonts w:ascii="Arial" w:cs="Arial" w:eastAsia="Arial" w:hAnsi="Arial"/>
                <w:sz w:val="16"/>
                <w:szCs w:val="16"/>
                <w:color w:val="auto"/>
              </w:rPr>
              <w:t>Net loss per share attributed to</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160"/>
              <w:spacing w:after="0"/>
              <w:rPr>
                <w:sz w:val="20"/>
                <w:szCs w:val="20"/>
                <w:color w:val="auto"/>
              </w:rPr>
            </w:pPr>
            <w:r>
              <w:rPr>
                <w:rFonts w:ascii="Arial" w:cs="Arial" w:eastAsia="Arial" w:hAnsi="Arial"/>
                <w:sz w:val="16"/>
                <w:szCs w:val="16"/>
                <w:color w:val="auto"/>
              </w:rPr>
              <w:t>common stockholders - basic</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160"/>
              <w:spacing w:after="0"/>
              <w:rPr>
                <w:sz w:val="20"/>
                <w:szCs w:val="20"/>
                <w:color w:val="auto"/>
              </w:rPr>
            </w:pPr>
            <w:r>
              <w:rPr>
                <w:rFonts w:ascii="Arial" w:cs="Arial" w:eastAsia="Arial" w:hAnsi="Arial"/>
                <w:sz w:val="16"/>
                <w:szCs w:val="16"/>
                <w:color w:val="auto"/>
              </w:rPr>
              <w:t>and diluted</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(0.13)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Restated Condensed Consolidated Statement of Redeemable Convertible Preferred Stock and Stockholder’s (Deficit) Equity as of March 31, 2022 (unaudited)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As of March 31, 2022</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As reported</w:t>
            </w:r>
          </w:p>
        </w:tc>
        <w:tc>
          <w:tcPr>
            <w:tcW w:w="12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To be adjusted -</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80" w:type="dxa"/>
            <w:vAlign w:val="bottom"/>
          </w:tcPr>
          <w:p>
            <w:pPr>
              <w:spacing w:after="0"/>
              <w:rPr>
                <w:sz w:val="10"/>
                <w:szCs w:val="10"/>
                <w:color w:val="auto"/>
              </w:rPr>
            </w:pPr>
          </w:p>
        </w:tc>
        <w:tc>
          <w:tcPr>
            <w:tcW w:w="124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w w:val="98"/>
              </w:rPr>
              <w:t>To be adjusted -</w:t>
            </w:r>
          </w:p>
        </w:tc>
        <w:tc>
          <w:tcPr>
            <w:tcW w:w="13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To be adjusted -</w:t>
            </w: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4"/>
                <w:szCs w:val="1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382,959</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6,170</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5,725</w:t>
            </w: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  388,684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tcPr>
          <w:p>
            <w:pPr>
              <w:spacing w:after="0"/>
              <w:rPr>
                <w:sz w:val="20"/>
                <w:szCs w:val="20"/>
                <w:color w:val="auto"/>
              </w:rPr>
            </w:pPr>
            <w:r>
              <w:rPr>
                <w:rFonts w:ascii="Arial" w:cs="Arial" w:eastAsia="Arial" w:hAnsi="Arial"/>
                <w:sz w:val="16"/>
                <w:szCs w:val="16"/>
                <w:color w:val="auto"/>
              </w:rPr>
              <w:t>Accumulated deficit</w:t>
            </w:r>
          </w:p>
        </w:tc>
        <w:tc>
          <w:tcPr>
            <w:tcW w:w="1280" w:type="dxa"/>
            <w:vAlign w:val="bottom"/>
            <w:gridSpan w:val="3"/>
          </w:tcPr>
          <w:p>
            <w:pPr>
              <w:jc w:val="right"/>
              <w:ind w:right="220"/>
              <w:spacing w:after="0"/>
              <w:rPr>
                <w:sz w:val="20"/>
                <w:szCs w:val="20"/>
                <w:color w:val="auto"/>
              </w:rPr>
            </w:pPr>
            <w:r>
              <w:rPr>
                <w:rFonts w:ascii="Arial" w:cs="Arial" w:eastAsia="Arial" w:hAnsi="Arial"/>
                <w:sz w:val="16"/>
                <w:szCs w:val="16"/>
                <w:color w:val="auto"/>
              </w:rPr>
              <w:t>(217,601)</w:t>
            </w:r>
          </w:p>
        </w:tc>
        <w:tc>
          <w:tcPr>
            <w:tcW w:w="2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(3,643)</w:t>
            </w:r>
          </w:p>
        </w:tc>
        <w:tc>
          <w:tcPr>
            <w:tcW w:w="2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(1,478)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(3,382)</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(7,172)</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(224,773)</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Stockholders’(Deficit)Equity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165,430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(1,478)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(3,827)</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(1,447)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Restated Condensed Consolidated Statement of Cash Flows (unaudited)</w:t>
      </w:r>
    </w:p>
    <w:p>
      <w:pPr>
        <w:spacing w:after="0" w:line="244" w:lineRule="exact"/>
        <w:rPr>
          <w:sz w:val="20"/>
          <w:szCs w:val="20"/>
          <w:color w:val="auto"/>
        </w:rPr>
      </w:pPr>
    </w:p>
    <w:p>
      <w:pPr>
        <w:jc w:val="center"/>
        <w:ind w:left="2220"/>
        <w:spacing w:after="0"/>
        <w:rPr>
          <w:sz w:val="20"/>
          <w:szCs w:val="20"/>
          <w:color w:val="auto"/>
        </w:rPr>
      </w:pPr>
      <w:r>
        <w:rPr>
          <w:rFonts w:ascii="Arial" w:cs="Arial" w:eastAsia="Arial" w:hAnsi="Arial"/>
          <w:sz w:val="14"/>
          <w:szCs w:val="14"/>
          <w:b w:val="1"/>
          <w:bCs w:val="1"/>
          <w:color w:val="auto"/>
        </w:rPr>
        <w:t>For the Three Months Ended</w:t>
      </w:r>
    </w:p>
    <w:p>
      <w:pPr>
        <w:jc w:val="center"/>
        <w:ind w:left="2220"/>
        <w:spacing w:after="0" w:line="236" w:lineRule="auto"/>
        <w:rPr>
          <w:sz w:val="20"/>
          <w:szCs w:val="20"/>
          <w:color w:val="auto"/>
        </w:rPr>
      </w:pPr>
      <w:r>
        <w:rPr>
          <w:rFonts w:ascii="Arial" w:cs="Arial" w:eastAsia="Arial" w:hAnsi="Arial"/>
          <w:sz w:val="14"/>
          <w:szCs w:val="14"/>
          <w:b w:val="1"/>
          <w:bCs w:val="1"/>
          <w:color w:val="auto"/>
        </w:rPr>
        <w:t>March 31, 2022</w:t>
      </w:r>
    </w:p>
    <w:tbl>
      <w:tblPr>
        <w:tblLayout w:type="fixed"/>
        <w:tblInd w:w="120" w:type="dxa"/>
        <w:tblCellMar>
          <w:top w:w="0" w:type="dxa"/>
          <w:left w:w="0" w:type="dxa"/>
          <w:bottom w:w="0" w:type="dxa"/>
          <w:right w:w="0" w:type="dxa"/>
        </w:tblCellMar>
      </w:tblPr>
      <w:tr>
        <w:trPr>
          <w:trHeight w:val="119"/>
        </w:trPr>
        <w:tc>
          <w:tcPr>
            <w:tcW w:w="2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As reported</w:t>
            </w: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8"/>
              </w:rPr>
              <w:t>As Restated</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14"/>
                <w:szCs w:val="14"/>
                <w:color w:val="auto"/>
              </w:rPr>
            </w:pPr>
          </w:p>
        </w:tc>
        <w:tc>
          <w:tcPr>
            <w:tcW w:w="11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w:t>
            </w:r>
          </w:p>
        </w:tc>
        <w:tc>
          <w:tcPr>
            <w:tcW w:w="24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7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  (10,470)</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(3,643)</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(7,172)</w:t>
            </w: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(17,642)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60" w:type="dxa"/>
            <w:vAlign w:val="bottom"/>
          </w:tcPr>
          <w:p>
            <w:pPr>
              <w:spacing w:after="0"/>
              <w:rPr>
                <w:sz w:val="20"/>
                <w:szCs w:val="20"/>
                <w:color w:val="auto"/>
              </w:rPr>
            </w:pPr>
            <w:r>
              <w:rPr>
                <w:rFonts w:ascii="Arial" w:cs="Arial" w:eastAsia="Arial" w:hAnsi="Arial"/>
                <w:sz w:val="16"/>
                <w:szCs w:val="16"/>
                <w:color w:val="auto"/>
              </w:rPr>
              <w:t>Accrued expenses and other</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60" w:type="dxa"/>
            <w:vAlign w:val="bottom"/>
          </w:tcPr>
          <w:p>
            <w:pPr>
              <w:ind w:left="160"/>
              <w:spacing w:after="0"/>
              <w:rPr>
                <w:sz w:val="20"/>
                <w:szCs w:val="20"/>
                <w:color w:val="auto"/>
              </w:rPr>
            </w:pPr>
            <w:r>
              <w:rPr>
                <w:rFonts w:ascii="Arial" w:cs="Arial" w:eastAsia="Arial" w:hAnsi="Arial"/>
                <w:sz w:val="16"/>
                <w:szCs w:val="16"/>
                <w:color w:val="auto"/>
              </w:rPr>
              <w:t>current liabilities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2,606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1,478</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derivate warrant liabilities</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(5,822)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(1,331)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20"/>
                <w:szCs w:val="20"/>
                <w:color w:val="auto"/>
              </w:rPr>
            </w:pPr>
            <w:r>
              <w:rPr>
                <w:rFonts w:ascii="Arial" w:cs="Arial" w:eastAsia="Arial" w:hAnsi="Arial"/>
                <w:sz w:val="16"/>
                <w:szCs w:val="16"/>
                <w:color w:val="auto"/>
              </w:rPr>
              <w:t>Change in fair value of earn-</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60" w:type="dxa"/>
            <w:vAlign w:val="bottom"/>
          </w:tcPr>
          <w:p>
            <w:pPr>
              <w:ind w:left="160"/>
              <w:spacing w:after="0"/>
              <w:rPr>
                <w:sz w:val="20"/>
                <w:szCs w:val="20"/>
                <w:color w:val="auto"/>
              </w:rPr>
            </w:pPr>
            <w:r>
              <w:rPr>
                <w:rFonts w:ascii="Arial" w:cs="Arial" w:eastAsia="Arial" w:hAnsi="Arial"/>
                <w:sz w:val="16"/>
                <w:szCs w:val="16"/>
                <w:color w:val="auto"/>
              </w:rPr>
              <w:t>out liability</w:t>
            </w:r>
          </w:p>
        </w:tc>
        <w:tc>
          <w:tcPr>
            <w:tcW w:w="1260" w:type="dxa"/>
            <w:vAlign w:val="bottom"/>
            <w:gridSpan w:val="3"/>
          </w:tcPr>
          <w:p>
            <w:pPr>
              <w:jc w:val="right"/>
              <w:ind w:right="300"/>
              <w:spacing w:after="0"/>
              <w:rPr>
                <w:sz w:val="20"/>
                <w:szCs w:val="20"/>
                <w:color w:val="auto"/>
              </w:rPr>
            </w:pPr>
            <w:r>
              <w:rPr>
                <w:rFonts w:ascii="Arial" w:cs="Arial" w:eastAsia="Arial" w:hAnsi="Arial"/>
                <w:sz w:val="16"/>
                <w:szCs w:val="16"/>
                <w:color w:val="auto"/>
              </w:rPr>
              <w:t>(9,634)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3,643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3,643</w:t>
            </w:r>
          </w:p>
        </w:tc>
        <w:tc>
          <w:tcPr>
            <w:tcW w:w="3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(5,991)</w:t>
            </w:r>
          </w:p>
        </w:tc>
        <w:tc>
          <w:tcPr>
            <w:tcW w:w="0" w:type="dxa"/>
            <w:vAlign w:val="bottom"/>
          </w:tcPr>
          <w:p>
            <w:pPr>
              <w:spacing w:after="0"/>
              <w:rPr>
                <w:sz w:val="1"/>
                <w:szCs w:val="1"/>
                <w:color w:val="auto"/>
              </w:rPr>
            </w:pPr>
          </w:p>
        </w:tc>
      </w:tr>
      <w:tr>
        <w:trPr>
          <w:trHeight w:val="206"/>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w w:val="98"/>
              </w:rPr>
              <w:t>Net cash in operating activities</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(15,721)</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(15,721)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was no impact to net cash used in operating activities for the three months ended March 31, 2022.</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40"/>
          </w:cols>
          <w:pgMar w:left="320" w:top="486" w:right="4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cumulative impact of the error corrections on the Company’s accumulated deficit and net loss was $7.2 million, and the impact on stockholders’ equity (deficit) was $1.4 million as of and for the period ended March 31, 2022.</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Company recorded the following adjustments to correct the prior period errors in the financial statements as of and for the period ended June 30, 2022 such that the consolidated balance sheet and the year-to-date consolidated statement of operations appropriately reflect the accounting impacts of the related transactions (in thousands):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Restated Condensed Consolidated Balance Sheet (unaudited)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As of June 30, 2022</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0"/>
                <w:szCs w:val="10"/>
                <w:color w:val="auto"/>
              </w:rPr>
            </w:pPr>
          </w:p>
        </w:tc>
        <w:tc>
          <w:tcPr>
            <w:tcW w:w="11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To be adjusted -</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40" w:type="dxa"/>
            <w:vAlign w:val="bottom"/>
          </w:tcPr>
          <w:p>
            <w:pPr>
              <w:spacing w:after="0"/>
              <w:rPr>
                <w:sz w:val="10"/>
                <w:szCs w:val="10"/>
                <w:color w:val="auto"/>
              </w:rPr>
            </w:pPr>
          </w:p>
        </w:tc>
        <w:tc>
          <w:tcPr>
            <w:tcW w:w="13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20" w:type="dxa"/>
            <w:vAlign w:val="bottom"/>
          </w:tcPr>
          <w:p>
            <w:pPr>
              <w:spacing w:after="0"/>
              <w:rPr>
                <w:sz w:val="10"/>
                <w:szCs w:val="10"/>
                <w:color w:val="auto"/>
              </w:rPr>
            </w:pPr>
          </w:p>
        </w:tc>
        <w:tc>
          <w:tcPr>
            <w:tcW w:w="11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4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ind w:left="200"/>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200"/>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(c)</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ind w:left="180"/>
              <w:spacing w:after="0"/>
              <w:rPr>
                <w:sz w:val="20"/>
                <w:szCs w:val="20"/>
                <w:color w:val="auto"/>
              </w:rPr>
            </w:pPr>
            <w:r>
              <w:rPr>
                <w:rFonts w:ascii="Arial" w:cs="Arial" w:eastAsia="Arial" w:hAnsi="Arial"/>
                <w:sz w:val="14"/>
                <w:szCs w:val="14"/>
                <w:b w:val="1"/>
                <w:bCs w:val="1"/>
                <w:color w:val="auto"/>
              </w:rPr>
              <w:t>(d)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Accrued expenses and other</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4,428</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ind w:left="153"/>
              <w:spacing w:after="0"/>
              <w:rPr>
                <w:sz w:val="20"/>
                <w:szCs w:val="20"/>
                <w:color w:val="auto"/>
              </w:rPr>
            </w:pPr>
            <w:r>
              <w:rPr>
                <w:rFonts w:ascii="Arial" w:cs="Arial" w:eastAsia="Arial" w:hAnsi="Arial"/>
                <w:sz w:val="18"/>
                <w:szCs w:val="18"/>
                <w:color w:val="auto"/>
                <w:w w:val="88"/>
              </w:rPr>
              <w:t>1,590</w:t>
            </w: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1,590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11,279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center"/>
              <w:ind w:left="153"/>
              <w:spacing w:after="0"/>
              <w:rPr>
                <w:sz w:val="20"/>
                <w:szCs w:val="20"/>
                <w:color w:val="auto"/>
              </w:rPr>
            </w:pPr>
            <w:r>
              <w:rPr>
                <w:rFonts w:ascii="Arial" w:cs="Arial" w:eastAsia="Arial" w:hAnsi="Arial"/>
                <w:sz w:val="18"/>
                <w:szCs w:val="18"/>
                <w:color w:val="auto"/>
                <w:w w:val="88"/>
              </w:rPr>
              <w:t>1,590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12,869</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12,148</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Earn-out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8,925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(1,070)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54,765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153"/>
              <w:spacing w:after="0"/>
              <w:rPr>
                <w:sz w:val="20"/>
                <w:szCs w:val="20"/>
                <w:color w:val="auto"/>
              </w:rPr>
            </w:pPr>
            <w:r>
              <w:rPr>
                <w:rFonts w:ascii="Arial" w:cs="Arial" w:eastAsia="Arial" w:hAnsi="Arial"/>
                <w:sz w:val="18"/>
                <w:szCs w:val="18"/>
                <w:color w:val="auto"/>
                <w:w w:val="88"/>
              </w:rPr>
              <w:t>1,590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58,489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401,290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6,170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407,015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(227,575)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153"/>
              <w:spacing w:after="0"/>
              <w:rPr>
                <w:sz w:val="20"/>
                <w:szCs w:val="20"/>
                <w:color w:val="auto"/>
              </w:rPr>
            </w:pPr>
            <w:r>
              <w:rPr>
                <w:rFonts w:ascii="Arial" w:cs="Arial" w:eastAsia="Arial" w:hAnsi="Arial"/>
                <w:sz w:val="18"/>
                <w:szCs w:val="18"/>
                <w:color w:val="auto"/>
                <w:w w:val="91"/>
              </w:rPr>
              <w:t>(1,590)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(237,025)</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173,825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jc w:val="center"/>
              <w:ind w:left="153"/>
              <w:spacing w:after="0"/>
              <w:rPr>
                <w:sz w:val="20"/>
                <w:szCs w:val="20"/>
                <w:color w:val="auto"/>
              </w:rPr>
            </w:pPr>
            <w:r>
              <w:rPr>
                <w:rFonts w:ascii="Arial" w:cs="Arial" w:eastAsia="Arial" w:hAnsi="Arial"/>
                <w:sz w:val="18"/>
                <w:szCs w:val="18"/>
                <w:color w:val="auto"/>
                <w:w w:val="91"/>
              </w:rPr>
              <w:t>(1,590)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(3,204)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(3,725)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170,100</w:t>
            </w:r>
          </w:p>
        </w:tc>
        <w:tc>
          <w:tcPr>
            <w:tcW w:w="0" w:type="dxa"/>
            <w:vAlign w:val="bottom"/>
          </w:tcPr>
          <w:p>
            <w:pPr>
              <w:spacing w:after="0"/>
              <w:rPr>
                <w:sz w:val="1"/>
                <w:szCs w:val="1"/>
                <w:color w:val="auto"/>
              </w:rPr>
            </w:pPr>
          </w:p>
        </w:tc>
      </w:tr>
      <w:tr>
        <w:trPr>
          <w:trHeight w:val="540"/>
        </w:trPr>
        <w:tc>
          <w:tcPr>
            <w:tcW w:w="6040" w:type="dxa"/>
            <w:vAlign w:val="bottom"/>
            <w:gridSpan w:val="17"/>
          </w:tcPr>
          <w:p>
            <w:pPr>
              <w:spacing w:after="0"/>
              <w:rPr>
                <w:sz w:val="20"/>
                <w:szCs w:val="20"/>
                <w:color w:val="auto"/>
              </w:rPr>
            </w:pPr>
            <w:r>
              <w:rPr>
                <w:rFonts w:ascii="Arial" w:cs="Arial" w:eastAsia="Arial" w:hAnsi="Arial"/>
                <w:sz w:val="18"/>
                <w:szCs w:val="18"/>
                <w:b w:val="1"/>
                <w:bCs w:val="1"/>
                <w:i w:val="1"/>
                <w:iCs w:val="1"/>
                <w:color w:val="auto"/>
                <w:w w:val="96"/>
              </w:rPr>
              <w:t>Restated Condensed Consolidated Statements of Operations (unaudited)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11"/>
          </w:tcPr>
          <w:p>
            <w:pPr>
              <w:jc w:val="center"/>
              <w:ind w:left="373"/>
              <w:spacing w:after="0"/>
              <w:rPr>
                <w:sz w:val="20"/>
                <w:szCs w:val="20"/>
                <w:color w:val="auto"/>
              </w:rPr>
            </w:pPr>
            <w:r>
              <w:rPr>
                <w:rFonts w:ascii="Arial" w:cs="Arial" w:eastAsia="Arial" w:hAnsi="Arial"/>
                <w:sz w:val="14"/>
                <w:szCs w:val="14"/>
                <w:b w:val="1"/>
                <w:bCs w:val="1"/>
                <w:color w:val="auto"/>
                <w:w w:val="94"/>
              </w:rPr>
              <w:t>For the Three Months Ended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92"/>
              </w:rPr>
              <w:t>June 30, 2022</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0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2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00" w:type="dxa"/>
            <w:vAlign w:val="bottom"/>
          </w:tcPr>
          <w:p>
            <w:pPr>
              <w:spacing w:after="0"/>
              <w:rPr>
                <w:sz w:val="10"/>
                <w:szCs w:val="10"/>
                <w:color w:val="auto"/>
              </w:rPr>
            </w:pPr>
          </w:p>
        </w:tc>
        <w:tc>
          <w:tcPr>
            <w:tcW w:w="12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40" w:type="dxa"/>
            <w:vAlign w:val="bottom"/>
          </w:tcPr>
          <w:p>
            <w:pPr>
              <w:spacing w:after="0"/>
              <w:rPr>
                <w:sz w:val="10"/>
                <w:szCs w:val="10"/>
                <w:color w:val="auto"/>
              </w:rPr>
            </w:pPr>
          </w:p>
        </w:tc>
        <w:tc>
          <w:tcPr>
            <w:tcW w:w="1300" w:type="dxa"/>
            <w:vAlign w:val="bottom"/>
            <w:gridSpan w:val="5"/>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To be adjusted -</w:t>
            </w:r>
          </w:p>
        </w:tc>
        <w:tc>
          <w:tcPr>
            <w:tcW w:w="40" w:type="dxa"/>
            <w:vAlign w:val="bottom"/>
          </w:tcPr>
          <w:p>
            <w:pPr>
              <w:spacing w:after="0"/>
              <w:rPr>
                <w:sz w:val="10"/>
                <w:szCs w:val="10"/>
                <w:color w:val="auto"/>
              </w:rPr>
            </w:pPr>
          </w:p>
        </w:tc>
        <w:tc>
          <w:tcPr>
            <w:tcW w:w="13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2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4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ind w:left="120"/>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(c)</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ind w:left="180"/>
              <w:spacing w:after="0"/>
              <w:rPr>
                <w:sz w:val="20"/>
                <w:szCs w:val="20"/>
                <w:color w:val="auto"/>
              </w:rPr>
            </w:pPr>
            <w:r>
              <w:rPr>
                <w:rFonts w:ascii="Arial" w:cs="Arial" w:eastAsia="Arial" w:hAnsi="Arial"/>
                <w:sz w:val="14"/>
                <w:szCs w:val="14"/>
                <w:b w:val="1"/>
                <w:bCs w:val="1"/>
                <w:color w:val="auto"/>
              </w:rPr>
              <w:t>(d)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12,634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6"/>
              </w:rPr>
              <w:t>113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26,906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113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27,019</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(25,645)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0"/>
              </w:rPr>
              <w:t>(113)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(25,758)</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Change in fair value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derivate warrant 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8,687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ind w:left="240"/>
              <w:spacing w:after="0"/>
              <w:rPr>
                <w:sz w:val="20"/>
                <w:szCs w:val="20"/>
                <w:color w:val="auto"/>
              </w:rPr>
            </w:pPr>
            <w:r>
              <w:rPr>
                <w:rFonts w:ascii="Arial" w:cs="Arial" w:eastAsia="Arial" w:hAnsi="Arial"/>
                <w:sz w:val="18"/>
                <w:szCs w:val="18"/>
                <w:color w:val="auto"/>
              </w:rPr>
              <w:t>(1,331)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liability</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8,024</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(1,458)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(1,458)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Total other income (expense),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15,671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w w:val="94"/>
              </w:rPr>
              <w:t>(1,458)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ind w:left="240"/>
              <w:spacing w:after="0"/>
              <w:rPr>
                <w:sz w:val="20"/>
                <w:szCs w:val="20"/>
                <w:color w:val="auto"/>
              </w:rPr>
            </w:pPr>
            <w:r>
              <w:rPr>
                <w:rFonts w:ascii="Arial" w:cs="Arial" w:eastAsia="Arial" w:hAnsi="Arial"/>
                <w:sz w:val="18"/>
                <w:szCs w:val="18"/>
                <w:color w:val="auto"/>
              </w:rPr>
              <w:t>(1,331)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(2,166)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13,505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(1,458)</w:t>
            </w: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0"/>
              </w:rPr>
              <w:t>(113)</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(1,331)</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623</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(2,279)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Net loss per share attributed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to common stockholders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369"/>
        </w:trPr>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92"/>
              </w:rPr>
              <w:t>June 30, 2022</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0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2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00" w:type="dxa"/>
            <w:vAlign w:val="bottom"/>
          </w:tcPr>
          <w:p>
            <w:pPr>
              <w:spacing w:after="0"/>
              <w:rPr>
                <w:sz w:val="10"/>
                <w:szCs w:val="10"/>
                <w:color w:val="auto"/>
              </w:rPr>
            </w:pPr>
          </w:p>
        </w:tc>
        <w:tc>
          <w:tcPr>
            <w:tcW w:w="12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40" w:type="dxa"/>
            <w:vAlign w:val="bottom"/>
          </w:tcPr>
          <w:p>
            <w:pPr>
              <w:spacing w:after="0"/>
              <w:rPr>
                <w:sz w:val="10"/>
                <w:szCs w:val="10"/>
                <w:color w:val="auto"/>
              </w:rPr>
            </w:pPr>
          </w:p>
        </w:tc>
        <w:tc>
          <w:tcPr>
            <w:tcW w:w="1300" w:type="dxa"/>
            <w:vAlign w:val="bottom"/>
            <w:gridSpan w:val="5"/>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To be adjusted -</w:t>
            </w:r>
          </w:p>
        </w:tc>
        <w:tc>
          <w:tcPr>
            <w:tcW w:w="134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To be adjusted -</w:t>
            </w:r>
          </w:p>
        </w:tc>
        <w:tc>
          <w:tcPr>
            <w:tcW w:w="12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4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ind w:left="120"/>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(c)</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25,083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52,391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53,981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(49,440)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(51,030)</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Change in fair value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derivate warrant 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14,509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ind w:left="260"/>
              <w:spacing w:after="0"/>
              <w:rPr>
                <w:sz w:val="20"/>
                <w:szCs w:val="20"/>
                <w:color w:val="auto"/>
              </w:rPr>
            </w:pPr>
            <w:r>
              <w:rPr>
                <w:rFonts w:ascii="Arial" w:cs="Arial" w:eastAsia="Arial" w:hAnsi="Arial"/>
                <w:sz w:val="18"/>
                <w:szCs w:val="18"/>
                <w:color w:val="auto"/>
              </w:rPr>
              <w:t>(2,759)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(2,759)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liability</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17,658</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(5,101)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(5,101)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Total other income (expense),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28,996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w w:val="94"/>
              </w:rPr>
              <w:t>(5,101)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ind w:left="260"/>
              <w:spacing w:after="0"/>
              <w:rPr>
                <w:sz w:val="20"/>
                <w:szCs w:val="20"/>
                <w:color w:val="auto"/>
              </w:rPr>
            </w:pPr>
            <w:r>
              <w:rPr>
                <w:rFonts w:ascii="Arial" w:cs="Arial" w:eastAsia="Arial" w:hAnsi="Arial"/>
                <w:sz w:val="18"/>
                <w:szCs w:val="18"/>
                <w:color w:val="auto"/>
              </w:rPr>
              <w:t>(2,759)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(7,860)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21,136</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 (20,444)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(5,101)</w:t>
            </w: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(2,759)</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(9,450)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(29,894)</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Net loss per share attributed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to common stockholders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(0.12)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Restated Condensed Consolidated Statement of Redeemable Convertible Preferred Stock and Stockholder’s (Deficit) Equity as of June 30, 2022 (unaudited)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As reported</w:t>
            </w:r>
          </w:p>
        </w:tc>
        <w:tc>
          <w:tcPr>
            <w:tcW w:w="1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To be adjusted -</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To be adjusted -</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To be adjusted -</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To be adjusted -</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To be adjusted -</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4"/>
                <w:szCs w:val="14"/>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(c)</w:t>
            </w:r>
          </w:p>
        </w:tc>
        <w:tc>
          <w:tcPr>
            <w:tcW w:w="240" w:type="dxa"/>
            <w:vAlign w:val="bottom"/>
          </w:tcPr>
          <w:p>
            <w:pPr>
              <w:spacing w:after="0"/>
              <w:rPr>
                <w:sz w:val="14"/>
                <w:szCs w:val="14"/>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401,290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88"/>
              </w:rPr>
              <w:t>5,725</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407,015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(227,575)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(5,101)</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(1,590)</w:t>
            </w:r>
          </w:p>
        </w:tc>
        <w:tc>
          <w:tcPr>
            <w:tcW w:w="26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(2,759)</w:t>
            </w:r>
          </w:p>
        </w:tc>
        <w:tc>
          <w:tcPr>
            <w:tcW w:w="2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(9,450)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(237,025)</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Stockholders’ (Deficit)</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173,825</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(1,590)</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(3,204)</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(3,725)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170,100</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140"/>
          </w:cols>
          <w:pgMar w:left="320" w:top="486" w:right="439" w:bottom="183" w:gutter="0" w:footer="0" w:header="0"/>
        </w:sectPr>
      </w:pPr>
    </w:p>
    <w:p>
      <w:pPr>
        <w:jc w:val="center"/>
        <w:ind w:right="-1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40"/>
          </w:cols>
          <w:pgMar w:left="320" w:top="486" w:right="439" w:bottom="183"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Restated Condensed Consolidated Statement of Cash Flows (unaudited)</w:t>
      </w:r>
    </w:p>
    <w:p>
      <w:pPr>
        <w:spacing w:after="0" w:line="217" w:lineRule="exact"/>
        <w:rPr>
          <w:sz w:val="20"/>
          <w:szCs w:val="20"/>
          <w:color w:val="auto"/>
        </w:rPr>
      </w:pPr>
    </w:p>
    <w:p>
      <w:pPr>
        <w:jc w:val="center"/>
        <w:ind w:left="2240"/>
        <w:spacing w:after="0"/>
        <w:rPr>
          <w:sz w:val="20"/>
          <w:szCs w:val="20"/>
          <w:color w:val="auto"/>
        </w:rPr>
      </w:pPr>
      <w:r>
        <w:rPr>
          <w:rFonts w:ascii="Arial" w:cs="Arial" w:eastAsia="Arial" w:hAnsi="Arial"/>
          <w:sz w:val="14"/>
          <w:szCs w:val="14"/>
          <w:b w:val="1"/>
          <w:bCs w:val="1"/>
          <w:color w:val="auto"/>
        </w:rPr>
        <w:t>For the Six Months Ended</w:t>
      </w:r>
    </w:p>
    <w:p>
      <w:pPr>
        <w:jc w:val="center"/>
        <w:ind w:left="2240"/>
        <w:spacing w:after="0" w:line="236" w:lineRule="auto"/>
        <w:rPr>
          <w:sz w:val="20"/>
          <w:szCs w:val="20"/>
          <w:color w:val="auto"/>
        </w:rPr>
      </w:pPr>
      <w:r>
        <w:rPr>
          <w:rFonts w:ascii="Arial" w:cs="Arial" w:eastAsia="Arial" w:hAnsi="Arial"/>
          <w:sz w:val="14"/>
          <w:szCs w:val="14"/>
          <w:b w:val="1"/>
          <w:bCs w:val="1"/>
          <w:color w:val="auto"/>
        </w:rPr>
        <w:t>June 30, 2022</w:t>
      </w:r>
    </w:p>
    <w:tbl>
      <w:tblPr>
        <w:tblLayout w:type="fixed"/>
        <w:tblInd w:w="120" w:type="dxa"/>
        <w:tblCellMar>
          <w:top w:w="0" w:type="dxa"/>
          <w:left w:w="0" w:type="dxa"/>
          <w:bottom w:w="0" w:type="dxa"/>
          <w:right w:w="0" w:type="dxa"/>
        </w:tblCellMar>
      </w:tblPr>
      <w:tr>
        <w:trPr>
          <w:trHeight w:val="119"/>
        </w:trPr>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As reported</w:t>
            </w: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9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To be adjusted -</w:t>
            </w:r>
          </w:p>
        </w:tc>
        <w:tc>
          <w:tcPr>
            <w:tcW w:w="3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To be adjusted -</w:t>
            </w: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8"/>
              </w:rPr>
              <w:t>As Restated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4"/>
                <w:szCs w:val="14"/>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4"/>
                <w:szCs w:val="14"/>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(20,444)</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(29,894)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w w:val="95"/>
              </w:rPr>
              <w:t>Accrued expenses and other</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967</w:t>
            </w:r>
          </w:p>
        </w:tc>
        <w:tc>
          <w:tcPr>
            <w:tcW w:w="240" w:type="dxa"/>
            <w:vAlign w:val="bottom"/>
          </w:tcPr>
          <w:p>
            <w:pPr>
              <w:spacing w:after="0"/>
              <w:rPr>
                <w:sz w:val="20"/>
                <w:szCs w:val="20"/>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1,590</w:t>
            </w:r>
          </w:p>
        </w:tc>
        <w:tc>
          <w:tcPr>
            <w:tcW w:w="24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1,590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warrant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(14,509)</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2,759</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w w:val="96"/>
              </w:rPr>
              <w:t>Change in fair value of earn-</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out liability</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(17,658)</w:t>
            </w:r>
          </w:p>
        </w:tc>
        <w:tc>
          <w:tcPr>
            <w:tcW w:w="24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5,101</w:t>
            </w:r>
          </w:p>
        </w:tc>
        <w:tc>
          <w:tcPr>
            <w:tcW w:w="24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5,101</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(35,085)</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cumulative impact of the error correction on the Company’s accumulated deficit was $9.5 million; the impact on stockholders’ equity (deficit) was $3.7 million; and the impact on net loss was $2.3 million as of and for the three months ended June 30, 2022. The cumulative impact of the error correction on the Company’s net loss for the six months ended June 30, 2022 was $9.5 million. There was no impact to net cash used in operating activities for the six months ended June 30, 2022.</w:t>
      </w:r>
    </w:p>
    <w:p>
      <w:pPr>
        <w:spacing w:after="0" w:line="183"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ind w:left="120" w:right="80"/>
        <w:spacing w:after="0" w:line="292" w:lineRule="auto"/>
        <w:rPr>
          <w:sz w:val="20"/>
          <w:szCs w:val="20"/>
          <w:color w:val="auto"/>
        </w:rPr>
      </w:pPr>
      <w:r>
        <w:rPr>
          <w:rFonts w:ascii="Arial" w:cs="Arial" w:eastAsia="Arial" w:hAnsi="Arial"/>
          <w:sz w:val="16"/>
          <w:szCs w:val="16"/>
          <w:b w:val="1"/>
          <w:bCs w:val="1"/>
          <w:color w:val="auto"/>
        </w:rPr>
        <w:t xml:space="preserve">Emerging Growth Company </w:t>
      </w:r>
      <w:r>
        <w:rPr>
          <w:rFonts w:ascii="Arial" w:cs="Arial" w:eastAsia="Arial" w:hAnsi="Arial"/>
          <w:sz w:val="16"/>
          <w:szCs w:val="16"/>
          <w:color w:val="auto"/>
        </w:rPr>
        <w:t>— Following the Business Combination, the Company qualifies as an emerging growth company (‘‘EGC’’)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Jumpstart our Business Startups (‘‘JOBS’’) Act. The JOBS Act permits companies with EGC status to take advantage of an extended transition period to comply with new or revised accounting standards, delaying the adoption of these accounting standards until they would apply to private companies. The Company intends to use this extended transition period to enable us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consolidated financial statements may not be comparable to companies that comply with the new or revised accounting standards as of public company effective dates.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anticipates that it will remain an EGC under the JOBS Act until the earliest of (a) the last day of Rigetti’s first fiscal year following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fifth anniversary of the completion of SNII’s initial public offering, (b) the last date of Rigetti’s fiscal year in which Rigetti has total annual gross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 of at least $1.24 billion, (c) the date on which Rigetti is deemed to be a “large accelerated filer” under the rules of the SEC with at least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$700.0 million of outstanding securities held by non-affiliates or (d) the date on which Rigetti has issued more than $1.0 billion in non-convertible debt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during the previous three years.</w:t>
      </w:r>
    </w:p>
    <w:p>
      <w:pPr>
        <w:spacing w:after="0" w:line="207"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the unaudited condensed consolidated financial statements in accordance with U.S.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reported amounts and disclosures. Such management estimates include, but are not limited to, the fair value of share-based awards, the fair value of the convertible preferred stock warrants, fair value of the Forward Warrant Agreement (as defined below) , the fair value of derivative warrant liabilities, the fair value of Sponsor Vesting Shares issued in connection with the business combination (See Note 3), goodwill and intangible assets,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unaudited condensed consolidated financial statements; therefore, actual results could differ from those estimates.</w:t>
      </w:r>
    </w:p>
    <w:p>
      <w:pPr>
        <w:spacing w:after="0" w:line="188"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 Certain amounts reported previously have been reclassified to conform to the current quarter presentation, with no effect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equity or net loss as previously presented.</w:t>
      </w:r>
    </w:p>
    <w:p>
      <w:pPr>
        <w:spacing w:after="0" w:line="162" w:lineRule="exact"/>
        <w:rPr>
          <w:sz w:val="20"/>
          <w:szCs w:val="20"/>
          <w:color w:val="auto"/>
        </w:rPr>
      </w:pPr>
    </w:p>
    <w:p>
      <w:pPr>
        <w:ind w:left="120" w:right="160"/>
        <w:spacing w:after="0" w:line="261" w:lineRule="auto"/>
        <w:rPr>
          <w:sz w:val="20"/>
          <w:szCs w:val="20"/>
          <w:color w:val="auto"/>
        </w:rPr>
      </w:pPr>
      <w:r>
        <w:rPr>
          <w:rFonts w:ascii="Arial" w:cs="Arial" w:eastAsia="Arial" w:hAnsi="Arial"/>
          <w:sz w:val="18"/>
          <w:szCs w:val="18"/>
          <w:b w:val="1"/>
          <w:bCs w:val="1"/>
          <w:color w:val="auto"/>
        </w:rPr>
        <w:t xml:space="preserve">Deferred Offering Costs </w:t>
      </w:r>
      <w:r>
        <w:rPr>
          <w:rFonts w:ascii="Arial" w:cs="Arial" w:eastAsia="Arial" w:hAnsi="Arial"/>
          <w:sz w:val="18"/>
          <w:szCs w:val="18"/>
          <w:color w:val="auto"/>
        </w:rPr>
        <w:t>—The Company capitalizes certain legal, accounting and other third-party fees that are directly associated with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or issuance of shares under a registration statement filed with the SEC. After consummation of the Business Combination or issuance of shares, costs allocated to equity-classified instruments are recorded as a reduction to additional paid-in capital. Costs allocated to liability-classified instruments are expensed.</w:t>
      </w:r>
    </w:p>
    <w:p>
      <w:pPr>
        <w:spacing w:after="0" w:line="184"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Company incurred $1.7 million and $2.6 million of offering costs for the three and nine months ended September 30, 2022, respectively, which related to filing new registration statements with the SEC after the close of the Business Combination. These costs are incremental to those disclosed in Note 3. The Company did not incur deferred offering costs for the three and nine months ended September 30, 2021. A portion of the offering costs amounting to $0.7 million relates to the Common Stock Purchase Agreement with B. Riley Principal Capital II, LLC. As of September 30, 2022, while the registration statement related to the Common Stock Purchase Agreement with B. Riley Principal Capital II, LLC was filed with the SEC, there were no shares issued other than the commitment shares referred to in Note 9. As such $0.7 million of the offering costs were classified as deferred offering costs.</w:t>
      </w:r>
    </w:p>
    <w:p>
      <w:pPr>
        <w:sectPr>
          <w:pgSz w:w="11900" w:h="16838" w:orient="portrait"/>
          <w:cols w:equalWidth="0" w:num="1">
            <w:col w:w="11140"/>
          </w:cols>
          <w:pgMar w:left="320" w:top="486" w:right="439" w:bottom="1440" w:gutter="0" w:footer="0" w:header="0"/>
        </w:sectPr>
      </w:pP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40"/>
          </w:cols>
          <w:pgMar w:left="320" w:top="486" w:right="4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303" w:lineRule="auto"/>
        <w:rPr>
          <w:sz w:val="20"/>
          <w:szCs w:val="20"/>
          <w:color w:val="auto"/>
        </w:rPr>
      </w:pPr>
      <w:r>
        <w:rPr>
          <w:rFonts w:ascii="Arial" w:cs="Arial" w:eastAsia="Arial" w:hAnsi="Arial"/>
          <w:sz w:val="16"/>
          <w:szCs w:val="16"/>
          <w:b w:val="1"/>
          <w:bCs w:val="1"/>
          <w:color w:val="auto"/>
        </w:rPr>
        <w:t xml:space="preserve">Deferred Financing Costs </w:t>
      </w:r>
      <w:r>
        <w:rPr>
          <w:rFonts w:ascii="Arial" w:cs="Arial" w:eastAsia="Arial" w:hAnsi="Arial"/>
          <w:sz w:val="16"/>
          <w:szCs w:val="16"/>
          <w:color w:val="auto"/>
        </w:rPr>
        <w:t>— The incremental cost, including the fair value of warrants, directly associated with obtaining debt financing is capitalized</w:t>
      </w:r>
      <w:r>
        <w:rPr>
          <w:rFonts w:ascii="Arial" w:cs="Arial" w:eastAsia="Arial" w:hAnsi="Arial"/>
          <w:sz w:val="16"/>
          <w:szCs w:val="16"/>
          <w:b w:val="1"/>
          <w:bCs w:val="1"/>
          <w:color w:val="auto"/>
        </w:rPr>
        <w:t xml:space="preserve"> </w:t>
      </w:r>
      <w:r>
        <w:rPr>
          <w:rFonts w:ascii="Arial" w:cs="Arial" w:eastAsia="Arial" w:hAnsi="Arial"/>
          <w:sz w:val="16"/>
          <w:szCs w:val="16"/>
          <w:color w:val="auto"/>
        </w:rPr>
        <w:t>as deferred financing costs upon the issuance of the debt and amortized over the term of the related debt agreement using the effective-interest method with such amortized amounts included as a component of interest expense in the consolidated statements of operations. Unamortized deferred financing costs are presented on the consolidated balance sheets as a direct deduction from the carrying amount of the related debt obligation.</w:t>
      </w:r>
    </w:p>
    <w:p>
      <w:pPr>
        <w:spacing w:after="0" w:line="151" w:lineRule="exact"/>
        <w:rPr>
          <w:sz w:val="20"/>
          <w:szCs w:val="20"/>
          <w:color w:val="auto"/>
        </w:rPr>
      </w:pPr>
    </w:p>
    <w:p>
      <w:pPr>
        <w:ind w:left="120" w:right="140"/>
        <w:spacing w:after="0" w:line="256" w:lineRule="auto"/>
        <w:rPr>
          <w:sz w:val="20"/>
          <w:szCs w:val="20"/>
          <w:color w:val="auto"/>
        </w:rPr>
      </w:pPr>
      <w:r>
        <w:rPr>
          <w:rFonts w:ascii="Arial" w:cs="Arial" w:eastAsia="Arial" w:hAnsi="Arial"/>
          <w:sz w:val="18"/>
          <w:szCs w:val="18"/>
          <w:b w:val="1"/>
          <w:bCs w:val="1"/>
          <w:color w:val="auto"/>
        </w:rPr>
        <w:t xml:space="preserve">Segments </w:t>
      </w:r>
      <w:r>
        <w:rPr>
          <w:rFonts w:ascii="Arial" w:cs="Arial" w:eastAsia="Arial" w:hAnsi="Arial"/>
          <w:sz w:val="18"/>
          <w:szCs w:val="18"/>
          <w:color w:val="auto"/>
        </w:rPr>
        <w:t>— Operating segments are defined as components of an entity for which discrete financial information is available and that information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regularly reviewed by the Chief Operating Decision Maker (“CODM”) in deciding how to allocate resources and in assessing performance. The Company’s Chief Executive Officer is its CODM, who has ultimate responsibility for the operating performance of the Company and the allocation of resources.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 The Company’s reporting currency is the US dollar. The functional currencies of the Company’s foreign subsidiaries are the local</w:t>
      </w:r>
      <w:r>
        <w:rPr>
          <w:rFonts w:ascii="Arial" w:cs="Arial" w:eastAsia="Arial" w:hAnsi="Arial"/>
          <w:sz w:val="18"/>
          <w:szCs w:val="18"/>
          <w:b w:val="1"/>
          <w:bCs w:val="1"/>
          <w:color w:val="auto"/>
        </w:rPr>
        <w:t xml:space="preserve"> </w:t>
      </w:r>
      <w:r>
        <w:rPr>
          <w:rFonts w:ascii="Arial" w:cs="Arial" w:eastAsia="Arial" w:hAnsi="Arial"/>
          <w:sz w:val="18"/>
          <w:szCs w:val="18"/>
          <w:color w:val="auto"/>
        </w:rPr>
        <w:t>currencies (UK pounds sterling and Australian dollars), as it is the monetary unit of account of the principal economic environment in which the Company’s foreign subsidiaries operate. All assets and liabilities of the foreign subsidiaries are translated at the current exchange rate as of the end of the period, and revenue and expenses are translated at average exchange rates in effect during the period. The gain or loss resulting from the process of translating foreign currency financial statements into US dollars is reflected as a foreign currency cumulative translation adjustment and reported as a component of accumulated other comprehensive gain (loss). Foreign currency transaction gains and losses resulting from or expected to result from transactions denominated in a currency other than the functional currency are recognized in other income (expense), net in the consolidated statements of operations.</w:t>
      </w:r>
    </w:p>
    <w:p>
      <w:pPr>
        <w:spacing w:after="0" w:line="192"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Comprehensive Loss </w:t>
      </w:r>
      <w:r>
        <w:rPr>
          <w:rFonts w:ascii="Arial" w:cs="Arial" w:eastAsia="Arial" w:hAnsi="Arial"/>
          <w:sz w:val="18"/>
          <w:szCs w:val="18"/>
          <w:color w:val="auto"/>
        </w:rPr>
        <w:t>— Comprehensive loss consists of net loss and changes in equity during a period from transactions and other equity and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generated from non-owner sources. Comprehensive loss consists of two components including, net loss and other comprehensive loss. The Company’s other comprehensive gain/(loss) consists of foreign currency translation adjustments that result from consolidation of its foreign entities and unrealized gain/(loss) on available-for-sale securities.</w:t>
      </w:r>
    </w:p>
    <w:p>
      <w:pPr>
        <w:spacing w:after="0" w:line="180"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color w:val="auto"/>
        </w:rPr>
        <w:t>— As of September 30, 2022 and December 31, 2021, cash consists primarily of checking and savings</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As of September 30, 2022, cash equivalents consist primarily of money market funds, and there were no cash equivalents at December 31, 2021. The Company considers all highly liquid investment securities with remaining maturities at the date of purchase of three months or less to be cash equivalents. These cash equivalents are stated at cost which approximates fair value.</w:t>
      </w:r>
    </w:p>
    <w:p>
      <w:pPr>
        <w:spacing w:after="0" w:line="18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Company’s restricted cash balance classifies all cash whose use is limited by contractual provisions. As of September 30, 2022, restricted cash consists of cash secured as collateral for letters of credit in favor of the Company’s landlord. The Company may not access these funds until it vacates this office space (leases expire in 2029). As of December 31, 2021, restricted cash consists of cash secured as collateral for letters of credit in favor of the Company’s landlord and its corporate credit card program.</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in the consolidated balance sheets to the total amount shown in the consolidated statements of cash flows for the nine months ended September 30, 2022: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Restricted cash</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Total cash and cash equivalents and restricted cash</w:t>
            </w:r>
          </w:p>
        </w:tc>
        <w:tc>
          <w:tcPr>
            <w:tcW w:w="20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73,954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12,046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900" w:type="dxa"/>
            <w:vAlign w:val="bottom"/>
            <w:vMerge w:val="restart"/>
          </w:tcPr>
          <w:p>
            <w:pPr>
              <w:jc w:val="right"/>
              <w:ind w:right="1590"/>
              <w:spacing w:after="0"/>
              <w:rPr>
                <w:sz w:val="20"/>
                <w:szCs w:val="20"/>
                <w:color w:val="auto"/>
              </w:rPr>
            </w:pPr>
            <w:r>
              <w:rPr>
                <w:rFonts w:ascii="Arial" w:cs="Arial" w:eastAsia="Arial" w:hAnsi="Arial"/>
                <w:sz w:val="18"/>
                <w:szCs w:val="18"/>
                <w:color w:val="auto"/>
                <w:w w:val="99"/>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 The Company classifies its investments in fixed income securities as available-for-sale debt investments. The Company’s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consist of U.S Treasury securities, commercial paper, and corporate bonds that have a maturity of one year or less. These investments are recorded in our consolidated balance sheets at fair value. The fair value of our underlying investments is based on observable inputs and classified as Level 1 and Level 2. Unrealized gains and losses on these investments are included as a separate component of Accumulated Other Comprehensive Income (Loss). The Company evaluates its investments to assess whether those with unrealized loss positions are other than temporarily impaired. Impairments are considered other than temporary if they are related to deterioration in credit risk or if it is likely the Company will sell the securities before the recovery of the cost basis. Realized gains and losses and declines in value determined to be other than temporary are determined based on the specific identification method and are reported in other income (expense), net in the statements of operations. See Note 12 for further information on fair value.</w:t>
      </w:r>
    </w:p>
    <w:p>
      <w:pPr>
        <w:spacing w:after="0" w:line="159"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Accounts receivable are recorded at invoice value, net of allowance for doubtful accounts. Unbilled receivables are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and include amounts that were invoiced subsequent to the period end for which revenue was recognized in advance of the right to invoice.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As of September 30, 2022 and December 31, 2021, the Company does not have any allowances for doubtful accounts.</w:t>
      </w:r>
    </w:p>
    <w:p>
      <w:pPr>
        <w:spacing w:after="0" w:line="187" w:lineRule="exact"/>
        <w:rPr>
          <w:sz w:val="20"/>
          <w:szCs w:val="20"/>
          <w:color w:val="auto"/>
        </w:rPr>
      </w:pPr>
    </w:p>
    <w:p>
      <w:pPr>
        <w:ind w:left="120" w:right="80"/>
        <w:spacing w:after="0" w:line="294" w:lineRule="auto"/>
        <w:rPr>
          <w:sz w:val="20"/>
          <w:szCs w:val="20"/>
          <w:color w:val="auto"/>
        </w:rPr>
      </w:pPr>
      <w:r>
        <w:rPr>
          <w:rFonts w:ascii="Arial" w:cs="Arial" w:eastAsia="Arial" w:hAnsi="Arial"/>
          <w:sz w:val="16"/>
          <w:szCs w:val="16"/>
          <w:b w:val="1"/>
          <w:bCs w:val="1"/>
          <w:color w:val="auto"/>
        </w:rPr>
        <w:t xml:space="preserve">Impairment of Long-Lived Assets and Goodwill </w:t>
      </w:r>
      <w:r>
        <w:rPr>
          <w:rFonts w:ascii="Arial" w:cs="Arial" w:eastAsia="Arial" w:hAnsi="Arial"/>
          <w:sz w:val="16"/>
          <w:szCs w:val="16"/>
          <w:color w:val="auto"/>
        </w:rPr>
        <w:t>— Long-lived assets, primarily property and equipment, are reviewed for impairment whenever</w:t>
      </w:r>
      <w:r>
        <w:rPr>
          <w:rFonts w:ascii="Arial" w:cs="Arial" w:eastAsia="Arial" w:hAnsi="Arial"/>
          <w:sz w:val="16"/>
          <w:szCs w:val="16"/>
          <w:b w:val="1"/>
          <w:bCs w:val="1"/>
          <w:color w:val="auto"/>
        </w:rPr>
        <w:t xml:space="preserve"> </w:t>
      </w:r>
      <w:r>
        <w:rPr>
          <w:rFonts w:ascii="Arial" w:cs="Arial" w:eastAsia="Arial" w:hAnsi="Arial"/>
          <w:sz w:val="16"/>
          <w:szCs w:val="16"/>
          <w:color w:val="auto"/>
        </w:rPr>
        <w:t>events or changes in circumstances indicate that the carrying amount of the asset (asset group) may not be recoverable. When such events or changes in circumstances occur, the Company assesses the recoverability of the asset (asset group) by determining whether the carrying value of such asset (asset group) will be recovered through their undiscounted expected future cash flow. If the future undiscounted cash flow is less than the carrying amounts of the asset (asset group), the Company recognizes an impairment loss based on the excess of the carrying amount over the fair value of the asset (asset group). During the three and nine months ended September 30, 2022 and 2021, no impairment charge has been recorded.</w:t>
      </w:r>
    </w:p>
    <w:p>
      <w:pPr>
        <w:spacing w:after="0" w:line="164"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Goodwill is not amortized, but is reviewed for impairment at least annually, or more frequently when events or changes in circumstances indicate that the carrying value may not be recoverable. The Company believes that no triggering event has taken place through September 30, 2022.</w:t>
      </w:r>
    </w:p>
    <w:p>
      <w:pPr>
        <w:spacing w:after="0" w:line="12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However, with the macroeconomic uncertainty and the decline in the Company’s stock price, there could be a non-cash charge for impairment in a future period should the decline in stock price subsequent to September 30, 2022 be sustained, the Company experiences negative changes to its position in the market or lack of growth in demand for its products and services. As additional facts and circumstances evolve, the Company will continue to observe and assess whether an impairment trigger has occurred and whether any future impairment assessments result in non-cash impairment charges in future periods.</w:t>
      </w:r>
    </w:p>
    <w:p>
      <w:pPr>
        <w:spacing w:after="0" w:line="184" w:lineRule="exact"/>
        <w:rPr>
          <w:sz w:val="20"/>
          <w:szCs w:val="20"/>
          <w:color w:val="auto"/>
        </w:rPr>
      </w:pPr>
    </w:p>
    <w:p>
      <w:pPr>
        <w:jc w:val="both"/>
        <w:ind w:left="120" w:right="220"/>
        <w:spacing w:after="0" w:line="314" w:lineRule="auto"/>
        <w:rPr>
          <w:sz w:val="20"/>
          <w:szCs w:val="20"/>
          <w:color w:val="auto"/>
        </w:rPr>
      </w:pPr>
      <w:r>
        <w:rPr>
          <w:rFonts w:ascii="Arial" w:cs="Arial" w:eastAsia="Arial" w:hAnsi="Arial"/>
          <w:sz w:val="16"/>
          <w:szCs w:val="16"/>
          <w:b w:val="1"/>
          <w:bCs w:val="1"/>
          <w:color w:val="auto"/>
        </w:rPr>
        <w:t xml:space="preserve">Public and Private Warrants </w:t>
      </w:r>
      <w:r>
        <w:rPr>
          <w:rFonts w:ascii="Arial" w:cs="Arial" w:eastAsia="Arial" w:hAnsi="Arial"/>
          <w:sz w:val="16"/>
          <w:szCs w:val="16"/>
          <w:color w:val="auto"/>
        </w:rPr>
        <w:t>— Prior to the Business Combination, SNII issued 4,450,000 Private Warrants and 8,625,000 public warrants (“Public</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and collectively, “Warrants”). Each whole warrant entitles the holder to purchase one share of the Company’s Common Stock at a price of $11.50 per share, subject to adjustments and will expire five years after the Business Combination or earlier upon redemption or liquidation.</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operations at each reporting date. The fair value of the Private Warrants was measured using the Black-Scholes option-pricing model at each measurement date. The Public Warrants also fail to meet the indexation guidance in ASC 815 and are accounted for as liabilities as the Public Warrants include a provision whereby in a scenario on which there is not an effective registration statement, the warrant holders have a cap, 0.361 Common Stock per warrant (subject to adjustment), on the issuable number of shares in a cashless exercise.</w:t>
      </w:r>
    </w:p>
    <w:p>
      <w:pPr>
        <w:spacing w:after="0" w:line="166" w:lineRule="exact"/>
        <w:rPr>
          <w:sz w:val="20"/>
          <w:szCs w:val="20"/>
          <w:color w:val="auto"/>
        </w:rPr>
      </w:pPr>
    </w:p>
    <w:p>
      <w:pPr>
        <w:jc w:val="both"/>
        <w:ind w:left="120" w:right="260"/>
        <w:spacing w:after="0" w:line="308" w:lineRule="auto"/>
        <w:rPr>
          <w:sz w:val="20"/>
          <w:szCs w:val="20"/>
          <w:color w:val="auto"/>
        </w:rPr>
      </w:pPr>
      <w:r>
        <w:rPr>
          <w:rFonts w:ascii="Arial" w:cs="Arial" w:eastAsia="Arial" w:hAnsi="Arial"/>
          <w:sz w:val="17"/>
          <w:szCs w:val="17"/>
          <w:color w:val="auto"/>
        </w:rPr>
        <w:t>Subsequent to the separate listing and trading of the Public Warrants the fair value of the Public Warrants has been measured based on the observable listed prices for such warrants and the fair value of the Private Warrants are measured using an option pricing model.</w:t>
      </w:r>
    </w:p>
    <w:p>
      <w:pPr>
        <w:spacing w:after="0" w:line="146" w:lineRule="exact"/>
        <w:rPr>
          <w:sz w:val="20"/>
          <w:szCs w:val="20"/>
          <w:color w:val="auto"/>
        </w:rPr>
      </w:pPr>
    </w:p>
    <w:p>
      <w:pPr>
        <w:jc w:val="both"/>
        <w:ind w:left="120" w:right="260"/>
        <w:spacing w:after="0" w:line="279" w:lineRule="auto"/>
        <w:rPr>
          <w:sz w:val="20"/>
          <w:szCs w:val="20"/>
          <w:color w:val="auto"/>
        </w:rPr>
      </w:pPr>
      <w:r>
        <w:rPr>
          <w:rFonts w:ascii="Arial" w:cs="Arial" w:eastAsia="Arial" w:hAnsi="Arial"/>
          <w:sz w:val="17"/>
          <w:szCs w:val="17"/>
          <w:color w:val="auto"/>
        </w:rPr>
        <w:t>On the consummation of the Business Combination, the Company recorded a liability related to the Private Warrants of $9.6 million (as restated and discussed in Note 1), with an offsetting entry to additional paid-in capital. On September 30, 2022, the fair value of the Private Warrants decreased to $2.2 million, with the gain on the change in fair value recorded in the condensed consolidated statements of operations for the three and nine months ended September 30, 2022. See Note 10 and 12, for further information on fair value.</w:t>
      </w:r>
    </w:p>
    <w:p>
      <w:pPr>
        <w:spacing w:after="0" w:line="17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Similarly, on consummation of the Business Combination, the Company recorded a liability related to the Public Warrants of $16.3 million, with an offsetting entry to additional paid-in capital. On September 30, 2022, the fair value of the Public Warrants decreased to $1.9 million with the gain on fair value change recorded in the condensed consolidated statements of operations for the three and nine months ended September 30, 2022. See Note 10 and 12, for further information on fair value.</w:t>
      </w:r>
    </w:p>
    <w:p>
      <w:pPr>
        <w:spacing w:after="0" w:line="183" w:lineRule="exact"/>
        <w:rPr>
          <w:sz w:val="20"/>
          <w:szCs w:val="20"/>
          <w:color w:val="auto"/>
        </w:rPr>
      </w:pPr>
    </w:p>
    <w:p>
      <w:pPr>
        <w:ind w:left="120" w:right="100"/>
        <w:spacing w:after="0" w:line="314" w:lineRule="auto"/>
        <w:rPr>
          <w:sz w:val="20"/>
          <w:szCs w:val="20"/>
          <w:color w:val="auto"/>
        </w:rPr>
      </w:pPr>
      <w:r>
        <w:rPr>
          <w:rFonts w:ascii="Arial" w:cs="Arial" w:eastAsia="Arial" w:hAnsi="Arial"/>
          <w:sz w:val="16"/>
          <w:szCs w:val="16"/>
          <w:b w:val="1"/>
          <w:bCs w:val="1"/>
          <w:color w:val="auto"/>
        </w:rPr>
        <w:t xml:space="preserve">Derivative Warrant Liabilities </w:t>
      </w:r>
      <w:r>
        <w:rPr>
          <w:rFonts w:ascii="Arial" w:cs="Arial" w:eastAsia="Arial" w:hAnsi="Arial"/>
          <w:sz w:val="16"/>
          <w:szCs w:val="16"/>
          <w:color w:val="auto"/>
        </w:rPr>
        <w:t>— The Company does not use derivative instruments to hedge exposures to cash flow, market, or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risks. The Company evaluates all of its financial instruments, including issued stock purchase warrants, to determine if such instruments are derivatives or contain features that qualify as embedded derivatives, pursuant to ASC 815, “Derivatives and Hedging” (“ASC 815”) at the initial recognition.</w:t>
      </w:r>
    </w:p>
    <w:p>
      <w:pPr>
        <w:spacing w:after="0" w:line="146"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Other than the Public and Private Warrants noted above, the Company also issued other warrants which are recognized as derivative liabilities in accordance with ASC 815. Accordingly, the Company recognizes the warrant instruments as liabilities at fair value and adjusts the instruments to fair value at each reporting period until exercised. The fair value of the warrant liabilities issued were initially measured using the Black- Scholes model and are subsequently remeasured at each reporting period with changes recorded as a component of other (expense) income in the Company’s consolidated statements of operations. Derivative warrant liabilities are classified as non-current as their liquidation is not reasonably expected to require the use of current assets or require the creation of current liabilities.</w:t>
      </w:r>
    </w:p>
    <w:p>
      <w:pPr>
        <w:spacing w:after="0" w:line="174" w:lineRule="exact"/>
        <w:rPr>
          <w:sz w:val="20"/>
          <w:szCs w:val="20"/>
          <w:color w:val="auto"/>
        </w:rPr>
      </w:pPr>
    </w:p>
    <w:p>
      <w:pPr>
        <w:ind w:left="120" w:right="360"/>
        <w:spacing w:after="0" w:line="281" w:lineRule="auto"/>
        <w:rPr>
          <w:sz w:val="20"/>
          <w:szCs w:val="20"/>
          <w:color w:val="auto"/>
        </w:rPr>
      </w:pPr>
      <w:r>
        <w:rPr>
          <w:rFonts w:ascii="Arial" w:cs="Arial" w:eastAsia="Arial" w:hAnsi="Arial"/>
          <w:sz w:val="17"/>
          <w:szCs w:val="17"/>
          <w:b w:val="1"/>
          <w:bCs w:val="1"/>
          <w:color w:val="auto"/>
        </w:rPr>
        <w:t xml:space="preserve">Earn-Out Liability </w:t>
      </w:r>
      <w:r>
        <w:rPr>
          <w:rFonts w:ascii="Arial" w:cs="Arial" w:eastAsia="Arial" w:hAnsi="Arial"/>
          <w:sz w:val="17"/>
          <w:szCs w:val="17"/>
          <w:color w:val="auto"/>
        </w:rPr>
        <w:t>— At the closing of the Business Combination, the SPAC Sponsor subjected certain Sponsor Vesting Shares to forfeiture and</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as of the Closing Date if thresholds related to the weighted average price of Common Stock are not met for the duration of various specified consecutive day trading periods during the five-year period following the Closing (the “Earn-Out Triggering Events”). Any such shares held by the Sponsor that remain unvested after the fifth anniversary of the Closing will be forfeited.</w:t>
      </w:r>
    </w:p>
    <w:p>
      <w:pPr>
        <w:spacing w:after="0" w:line="16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Sponsor Vesting Shares are accounted for as liability classified instruments because the Earn-Out Triggering Events that determine the number of Sponsor Vesting Shares to be earned back by the Sponsor include outcomes that are not solely indexed to the Common Stock of the Company. The aggregate fair value of the Sponsor Vesting Shares on the Closing date was estimated using a Monte Carlo simulation model and was determined to be $20.4 million (as restated and discussed in Note 1) at the Closing Date.</w:t>
      </w:r>
    </w:p>
    <w:p>
      <w:pPr>
        <w:spacing w:after="0" w:line="18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As of September 30, 2022, the Earn-Out Triggering Events were not achieved for any of the tranches, and as such, the Company adjusted the carrying amount of the liability to its estimated fair value of $3.0 million after applying the revised valuation inputs described in Note 1. The change in the fair value of $4.9 million and $17.4 million is included in gain on fair value change, net in the condensed consolidated statements of operations for the three and nine months ended September 30, 2022 applying the revised valuation inputs described in Note 1.</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inputs into the respective models at March 2, 2022 (the initial recognition) and September 30, 2022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40" w:type="dxa"/>
            <w:vAlign w:val="bottom"/>
          </w:tcPr>
          <w:p>
            <w:pPr>
              <w:spacing w:after="0"/>
              <w:rPr>
                <w:sz w:val="20"/>
                <w:szCs w:val="20"/>
                <w:color w:val="auto"/>
              </w:rPr>
            </w:pPr>
            <w:r>
              <w:rPr>
                <w:rFonts w:ascii="Arial" w:cs="Arial" w:eastAsia="Arial" w:hAnsi="Arial"/>
                <w:sz w:val="14"/>
                <w:szCs w:val="14"/>
                <w:b w:val="1"/>
                <w:bCs w:val="1"/>
                <w:color w:val="auto"/>
              </w:rPr>
              <w:t>Valuation Assumptions</w:t>
            </w:r>
          </w:p>
        </w:tc>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Initial Recognition on March 2, 2022</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Simulated trading days</w:t>
            </w:r>
          </w:p>
        </w:tc>
        <w:tc>
          <w:tcPr>
            <w:tcW w:w="860" w:type="dxa"/>
            <w:vAlign w:val="bottom"/>
          </w:tcPr>
          <w:p>
            <w:pPr>
              <w:spacing w:after="0"/>
              <w:rPr>
                <w:sz w:val="18"/>
                <w:szCs w:val="18"/>
                <w:color w:val="auto"/>
              </w:rPr>
            </w:pPr>
          </w:p>
        </w:tc>
        <w:tc>
          <w:tcPr>
            <w:tcW w:w="2560" w:type="dxa"/>
            <w:vAlign w:val="bottom"/>
            <w:gridSpan w:val="2"/>
          </w:tcPr>
          <w:p>
            <w:pPr>
              <w:jc w:val="right"/>
              <w:ind w:right="1160"/>
              <w:spacing w:after="0"/>
              <w:rPr>
                <w:sz w:val="20"/>
                <w:szCs w:val="20"/>
                <w:color w:val="auto"/>
              </w:rPr>
            </w:pPr>
            <w:r>
              <w:rPr>
                <w:rFonts w:ascii="Arial" w:cs="Arial" w:eastAsia="Arial" w:hAnsi="Arial"/>
                <w:sz w:val="18"/>
                <w:szCs w:val="18"/>
                <w:color w:val="auto"/>
              </w:rPr>
              <w:t>1,198.00</w:t>
            </w:r>
          </w:p>
        </w:tc>
        <w:tc>
          <w:tcPr>
            <w:tcW w:w="3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1,114.00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(annual)(1)</w:t>
            </w:r>
          </w:p>
        </w:tc>
        <w:tc>
          <w:tcPr>
            <w:tcW w:w="86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30.50%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Risk-free rate</w:t>
            </w:r>
          </w:p>
        </w:tc>
        <w:tc>
          <w:tcPr>
            <w:tcW w:w="860" w:type="dxa"/>
            <w:vAlign w:val="bottom"/>
          </w:tcPr>
          <w:p>
            <w:pPr>
              <w:spacing w:after="0"/>
              <w:rPr>
                <w:sz w:val="18"/>
                <w:szCs w:val="18"/>
                <w:color w:val="auto"/>
              </w:rPr>
            </w:pPr>
          </w:p>
        </w:tc>
        <w:tc>
          <w:tcPr>
            <w:tcW w:w="2560" w:type="dxa"/>
            <w:vAlign w:val="bottom"/>
            <w:gridSpan w:val="2"/>
          </w:tcPr>
          <w:p>
            <w:pPr>
              <w:jc w:val="right"/>
              <w:ind w:right="1020"/>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Estimated time to expiration</w:t>
            </w:r>
          </w:p>
        </w:tc>
        <w:tc>
          <w:tcPr>
            <w:tcW w:w="8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w:t>
            </w:r>
          </w:p>
        </w:tc>
        <w:tc>
          <w:tcPr>
            <w:tcW w:w="86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w:t>
            </w:r>
          </w:p>
        </w:tc>
      </w:tr>
    </w:tbl>
    <w:p>
      <w:pPr>
        <w:spacing w:after="0" w:line="229" w:lineRule="exact"/>
        <w:rPr>
          <w:sz w:val="20"/>
          <w:szCs w:val="20"/>
          <w:color w:val="auto"/>
        </w:rPr>
      </w:pPr>
    </w:p>
    <w:p>
      <w:pPr>
        <w:ind w:left="540" w:right="260" w:hanging="424"/>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revised and discussed in Note 1 — Restatement of Condensed Consolidated Financial Statements and Immaterial Correction of Prior-Period Errors</w:t>
      </w:r>
    </w:p>
    <w:p>
      <w:pPr>
        <w:spacing w:after="0" w:line="16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The Company generates revenue through its Quantum Computing as a Service (“QCaaS”) and development contracts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services. Access to Rigetti quantum computing systems can be purchased as a quantum computing subscription, or on a usage basis for a specified quantity of hours. Revenue related to subscription-based access to QCaaS is recognized over time as access to the systems is provided on a ratable basis over the subscription term, which can range from six months to two years. This time-based input measure of progress provides a faithful depiction of the transfer of the services because the customer obtains generally equal benefit from its access to the systems throughout the subscription term. Revenue related to usage-based access to Rigetti quantum computing systems is recognized over time as the systems are accessed using an output method based on compute credit hours expended. This output method provides a faithful depiction of the transfer of the services because the customer has purchased a specified quantity of hours of usage that diminishes each time an hour is expended and therefore each hour of access to the systems is considered a discrete delivery of underlying services in these arrangements.</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Development contracts are generally multi-year, non-recurring arrangements in which the Company provides professional services regarding practical applications of quantum computing to technology and business problems within the customer’s industry or organization and assists the customer in developing quantum algorithms and applications that will provide commercial value to the customer in areas of business interest. Development contracts are typically fixed fee arrangements invoiced on a milestone basis but may also be invoiced on a time and materials or cost reimbursement basis in certain cases. Revenue related to development contracts and other services is recognized over time as the services are provided using an input measure based on actual labor hours incurred to date relative to total estimated labor hours needed to complete the program or total contracted hours over the program period. This input measure of progress provides a faithful depiction of the transfer of the services because it closely depicts the Company’s efforts or inputs to the satisfaction of the performance obligation. Revenue related to the sale of custom quantum computing components is recognized at a point in time upon acceptance by the customer.</w:t>
      </w:r>
    </w:p>
    <w:p>
      <w:pPr>
        <w:spacing w:after="0" w:line="18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When the Company’s contracts with customers contain multiple performance obligations, the transaction price is allocated on a relative standalone selling price basis to each performance obligation. The Company typically determines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the Company will reallocate the total transaction price to each performance obligation based on the relative standalone selling price of each.</w:t>
      </w:r>
    </w:p>
    <w:p>
      <w:pPr>
        <w:spacing w:after="0" w:line="17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transaction price is the amount of consideration to which the Company expects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b w:val="1"/>
          <w:bCs w:val="1"/>
          <w:color w:val="auto"/>
        </w:rPr>
        <w:t xml:space="preserve">Net income (loss) per share </w:t>
      </w:r>
      <w:r>
        <w:rPr>
          <w:rFonts w:ascii="Arial" w:cs="Arial" w:eastAsia="Arial" w:hAnsi="Arial"/>
          <w:sz w:val="16"/>
          <w:szCs w:val="16"/>
          <w:color w:val="auto"/>
        </w:rPr>
        <w:t>— Basic net loss per common share is computed by dividing the net loss available to Common Stockholders (the</w:t>
      </w:r>
      <w:r>
        <w:rPr>
          <w:rFonts w:ascii="Arial" w:cs="Arial" w:eastAsia="Arial" w:hAnsi="Arial"/>
          <w:sz w:val="16"/>
          <w:szCs w:val="16"/>
          <w:b w:val="1"/>
          <w:bCs w:val="1"/>
          <w:color w:val="auto"/>
        </w:rPr>
        <w:t xml:space="preserve"> </w:t>
      </w:r>
      <w:r>
        <w:rPr>
          <w:rFonts w:ascii="Arial" w:cs="Arial" w:eastAsia="Arial" w:hAnsi="Arial"/>
          <w:sz w:val="16"/>
          <w:szCs w:val="16"/>
          <w:color w:val="auto"/>
        </w:rPr>
        <w:t>numerator) by the weighted-average number of common shares outstanding (the denominator) during the period. Diluted net loss per common share is computed by dividing the net loss available to Common Stockholders adjusted by any preferred stock dividends declared during the period by the weighted average number of common shares and potential common shares outstanding when the impact is not antidilutive. Potential common shares from stock options, unvested restricted stock units and Common Stock warrants are computed using the treasury stock method, while those from convertible Series C and C-1 Preferred Stock are computed using the if-converted method. Contingently issuable shares are included in basic Earnings Per Share (“EPS”) only when there is no circumstance under which those shares would not be issued. Shares issuable for little or no cash consideration shall be considered outstanding common shares and included in the computation of basic EPS.</w:t>
      </w:r>
    </w:p>
    <w:p>
      <w:pPr>
        <w:spacing w:after="0" w:line="15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The Company accounts for share-based compensation in accordance with ASC 718, Compensation –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The Company’s share-based compensation awards are all equity-classified and consist of stock options, restricted stock units (“RSU”) and restricted stock awards (“RSA”). Stock options have service vesting conditions ranging from 1 to 5 years. RSAs are fully vested on grant date. RSUs granted under the Rigetti &amp; Co., Inc. 2013 Equity Incentive Plan (the “2013 Plan”) have a 4-year service vesting condition and a performance condition linked to the occurrence of a liquidity event defined as a change-in-control event, successful initial public offering or successful merger with a special purpose acquisition company, which was satisfied at the Closing. RSUs granted under the Rigetti Computing, Inc. 2022 Equity Incentive Plan (the “2022 Plan”) have service vesting condition only.</w:t>
      </w:r>
    </w:p>
    <w:p>
      <w:pPr>
        <w:spacing w:after="0" w:line="19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Compensation expenses are based on the grant-date fair value of the awards and recognized over the requisite service period using a straight-line method for stock options and RSUs granted under the 2022 Plan. Compensation expense for RSUs granted under the 2013 Plan are recognized using a graded vesting method. Compensation expense for RSAs are recognized fully on grant date. The Company has elected to account for forfeitures of employee stock awards as they occur.</w:t>
      </w:r>
    </w:p>
    <w:p>
      <w:pPr>
        <w:spacing w:after="0" w:line="183" w:lineRule="exact"/>
        <w:rPr>
          <w:sz w:val="20"/>
          <w:szCs w:val="20"/>
          <w:color w:val="auto"/>
        </w:rPr>
      </w:pPr>
    </w:p>
    <w:p>
      <w:pPr>
        <w:ind w:left="120" w:right="160"/>
        <w:spacing w:after="0" w:line="281" w:lineRule="auto"/>
        <w:rPr>
          <w:sz w:val="20"/>
          <w:szCs w:val="20"/>
          <w:color w:val="auto"/>
        </w:rPr>
      </w:pPr>
      <w:r>
        <w:rPr>
          <w:rFonts w:ascii="Arial" w:cs="Arial" w:eastAsia="Arial" w:hAnsi="Arial"/>
          <w:sz w:val="17"/>
          <w:szCs w:val="17"/>
          <w:b w:val="1"/>
          <w:bCs w:val="1"/>
          <w:color w:val="auto"/>
        </w:rPr>
        <w:t>Concentrations of Credit Risk</w:t>
      </w:r>
      <w:r>
        <w:rPr>
          <w:rFonts w:ascii="Arial" w:cs="Arial" w:eastAsia="Arial" w:hAnsi="Arial"/>
          <w:sz w:val="17"/>
          <w:szCs w:val="17"/>
          <w:color w:val="auto"/>
        </w:rPr>
        <w:t>— Financial instruments that potentially subject the Company to concentrations of credit risk consist primarily of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cash equivalents, commercial paper, corporate bonds, and trade accounts receivable. The Company’s cash and cash equivalents and short-term investments are placed with high-credit-quality financial institutions, and at times exceeds federally insured limits. To date, the Company has not experienced any credit loss relating to its cash and cash equivalents or short-term investments.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customers that represent 10% or more of revenue are set forth in the following tables: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For the Nine Months</w:t>
            </w:r>
          </w:p>
        </w:tc>
        <w:tc>
          <w:tcPr>
            <w:tcW w:w="0" w:type="dxa"/>
            <w:vAlign w:val="bottom"/>
          </w:tcPr>
          <w:p>
            <w:pPr>
              <w:spacing w:after="0"/>
              <w:rPr>
                <w:sz w:val="1"/>
                <w:szCs w:val="1"/>
                <w:color w:val="auto"/>
              </w:rPr>
            </w:pPr>
          </w:p>
        </w:tc>
      </w:tr>
      <w:tr>
        <w:trPr>
          <w:trHeight w:val="171"/>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2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Ended September 30,</w:t>
            </w:r>
          </w:p>
        </w:tc>
        <w:tc>
          <w:tcPr>
            <w:tcW w:w="0" w:type="dxa"/>
            <w:vAlign w:val="bottom"/>
          </w:tcPr>
          <w:p>
            <w:pPr>
              <w:spacing w:after="0"/>
              <w:rPr>
                <w:sz w:val="1"/>
                <w:szCs w:val="1"/>
                <w:color w:val="auto"/>
              </w:rPr>
            </w:pPr>
          </w:p>
        </w:tc>
      </w:tr>
      <w:tr>
        <w:trPr>
          <w:trHeight w:val="129"/>
        </w:trPr>
        <w:tc>
          <w:tcPr>
            <w:tcW w:w="6220" w:type="dxa"/>
            <w:vAlign w:val="bottom"/>
            <w:gridSpan w:val="2"/>
            <w:vMerge w:val="continue"/>
          </w:tcPr>
          <w:p>
            <w:pPr>
              <w:spacing w:after="0"/>
              <w:rPr>
                <w:sz w:val="11"/>
                <w:szCs w:val="11"/>
                <w:color w:val="auto"/>
              </w:rPr>
            </w:pPr>
          </w:p>
        </w:tc>
        <w:tc>
          <w:tcPr>
            <w:tcW w:w="60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Customer A</w:t>
            </w:r>
          </w:p>
        </w:tc>
        <w:tc>
          <w:tcPr>
            <w:tcW w:w="13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26%</w:t>
            </w:r>
          </w:p>
        </w:tc>
        <w:tc>
          <w:tcPr>
            <w:tcW w:w="7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69"/>
        </w:trPr>
        <w:tc>
          <w:tcPr>
            <w:tcW w:w="6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71"/>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2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Ended September 30,</w:t>
            </w:r>
          </w:p>
        </w:tc>
        <w:tc>
          <w:tcPr>
            <w:tcW w:w="0" w:type="dxa"/>
            <w:vAlign w:val="bottom"/>
          </w:tcPr>
          <w:p>
            <w:pPr>
              <w:spacing w:after="0"/>
              <w:rPr>
                <w:sz w:val="1"/>
                <w:szCs w:val="1"/>
                <w:color w:val="auto"/>
              </w:rPr>
            </w:pPr>
          </w:p>
        </w:tc>
      </w:tr>
      <w:tr>
        <w:trPr>
          <w:trHeight w:val="129"/>
        </w:trPr>
        <w:tc>
          <w:tcPr>
            <w:tcW w:w="6220" w:type="dxa"/>
            <w:vAlign w:val="bottom"/>
            <w:gridSpan w:val="2"/>
            <w:vMerge w:val="continue"/>
          </w:tcPr>
          <w:p>
            <w:pPr>
              <w:spacing w:after="0"/>
              <w:rPr>
                <w:sz w:val="11"/>
                <w:szCs w:val="11"/>
                <w:color w:val="auto"/>
              </w:rPr>
            </w:pPr>
          </w:p>
        </w:tc>
        <w:tc>
          <w:tcPr>
            <w:tcW w:w="60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Customer A</w:t>
            </w:r>
          </w:p>
        </w:tc>
        <w:tc>
          <w:tcPr>
            <w:tcW w:w="13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540" w:right="5400" w:hanging="5417"/>
        <w:spacing w:after="0" w:line="387" w:lineRule="auto"/>
        <w:rPr>
          <w:sz w:val="20"/>
          <w:szCs w:val="20"/>
          <w:color w:val="auto"/>
        </w:rPr>
      </w:pPr>
      <w:r>
        <w:rPr>
          <w:rFonts w:ascii="Arial" w:cs="Arial" w:eastAsia="Arial" w:hAnsi="Arial"/>
          <w:sz w:val="16"/>
          <w:szCs w:val="16"/>
          <w:color w:val="auto"/>
        </w:rPr>
        <w:t>* Customer accounted for less than 10% of revenue in the respective period 22</w:t>
      </w:r>
    </w:p>
    <w:p>
      <w:pPr>
        <w:sectPr>
          <w:pgSz w:w="11900" w:h="16838" w:orient="portrait"/>
          <w:cols w:equalWidth="0" w:num="1">
            <w:col w:w="11120"/>
          </w:cols>
          <w:pgMar w:left="320" w:top="486"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customers that represent 10% or more of accounts receivable are set forth in the following tables: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18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9"/>
              </w:rPr>
              <w:t>September 30,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8"/>
        </w:trPr>
        <w:tc>
          <w:tcPr>
            <w:tcW w:w="5500" w:type="dxa"/>
            <w:vAlign w:val="bottom"/>
            <w:gridSpan w:val="2"/>
            <w:vMerge w:val="continue"/>
          </w:tcPr>
          <w:p>
            <w:pPr>
              <w:spacing w:after="0"/>
              <w:rPr>
                <w:sz w:val="11"/>
                <w:szCs w:val="11"/>
                <w:color w:val="auto"/>
              </w:rPr>
            </w:pPr>
          </w:p>
        </w:tc>
        <w:tc>
          <w:tcPr>
            <w:tcW w:w="88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2022</w:t>
            </w:r>
          </w:p>
        </w:tc>
        <w:tc>
          <w:tcPr>
            <w:tcW w:w="940" w:type="dxa"/>
            <w:vAlign w:val="bottom"/>
          </w:tcPr>
          <w:p>
            <w:pPr>
              <w:spacing w:after="0"/>
              <w:rPr>
                <w:sz w:val="11"/>
                <w:szCs w:val="11"/>
                <w:color w:val="auto"/>
              </w:rPr>
            </w:pPr>
          </w:p>
        </w:tc>
        <w:tc>
          <w:tcPr>
            <w:tcW w:w="84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Customer A</w:t>
            </w:r>
          </w:p>
        </w:tc>
        <w:tc>
          <w:tcPr>
            <w:tcW w:w="1820" w:type="dxa"/>
            <w:vAlign w:val="bottom"/>
            <w:gridSpan w:val="2"/>
            <w:shd w:val="clear" w:color="auto" w:fill="CCEEFF"/>
          </w:tcPr>
          <w:p>
            <w:pPr>
              <w:jc w:val="right"/>
              <w:ind w:right="800"/>
              <w:spacing w:after="0" w:line="203" w:lineRule="exact"/>
              <w:rPr>
                <w:sz w:val="20"/>
                <w:szCs w:val="20"/>
                <w:color w:val="auto"/>
              </w:rPr>
            </w:pPr>
            <w:r>
              <w:rPr>
                <w:rFonts w:ascii="Arial" w:cs="Arial" w:eastAsia="Arial" w:hAnsi="Arial"/>
                <w:sz w:val="18"/>
                <w:szCs w:val="18"/>
                <w:color w:val="auto"/>
              </w:rPr>
              <w:t>44%</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27%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18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Customer accounted for less than 10% of accounts receivable in the respective period</w:t>
      </w:r>
    </w:p>
    <w:p>
      <w:pPr>
        <w:spacing w:after="0" w:line="22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For the three and nine months ended September 30, 2022, sales to government entities comprised 77.26% and 74.08% of the Company’s total revenue, respectively. For the three and nine months ended September 30, 2021, sales to government entities comprised 84.41% and 79.55% of the Company’s total revenue, respectively.</w:t>
      </w:r>
    </w:p>
    <w:p>
      <w:pPr>
        <w:spacing w:after="0" w:line="180"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b w:val="1"/>
          <w:bCs w:val="1"/>
          <w:color w:val="auto"/>
        </w:rPr>
        <w:t xml:space="preserve">Recently Issued Accounting Pronouncements </w:t>
      </w:r>
      <w:r>
        <w:rPr>
          <w:rFonts w:ascii="Arial" w:cs="Arial" w:eastAsia="Arial" w:hAnsi="Arial"/>
          <w:sz w:val="18"/>
          <w:szCs w:val="18"/>
          <w:color w:val="auto"/>
        </w:rPr>
        <w:t>— In June 2022, the FASB issued ASU 2022-03, ASC Subtopic 820 “Fair Value Measurement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ASU is effective for the Company after December 15, 2024, and interim periods within those fiscal years, with early adoption permitted. The Company is still evaluating the impact of this pronouncement on the consolidated financial statements.</w:t>
      </w:r>
    </w:p>
    <w:p>
      <w:pPr>
        <w:spacing w:after="0" w:line="19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February 2016, the FASB issued ASU 2016-02, Leases (Topic 842). ASU 2016-02 is amended by ASU 2018-01, ASU2018-10, ASU 2018-11, ASU 2018-20 and ASU 2019-01, which FASB issued in January 2018, July 2018, July 2018, December 2018 and March 2019, respectively (collectively, the amended ASU 2016-02). The amended ASU 2016-02 requires lessees to recognize on the balance sheet a right-of-use asset, representing its right to use the underlying asset for the lease term, and a lease liability for all leases with terms greater than 12 months. The recognition, measurement, and presentation of expenses and cash flows arising from a lease by a lessee have not significantly changed from current GAAP. The amended ASU 2016-02 retains a distinction between finance leases (i.e., capital leases under current GAAP) and operating leases. The classification criteria for distinguishing between finance leases and operating leases will be substantially similar to the classification criteria for distinguishing between capital leases and operating leases under current GAAP. The amended ASU 2016-02 also requires qualitative and quantitative disclosures designed to assess the amount, timing, and uncertainty of cash flows arising from leases. A modified retrospective transition approach is permitted to be used when an entity adopts the amended ASU 2016-02, which includes a number of optional practical expedients that entities may elect to apply. The Company plans to adopt the ASC Topic 842 on December 31, 2022 with an effective date of January 1, 2022. The Company is evaluating the changes required to support the adoption of the new standard, including the quantitative impact this guidance will have on its financial statements and related disclosures; however, the Company expects that the adoption of this standard will result in a material increase in assets and liabilities on its consolidated balance sheets, primarily as a result of recognizing assets and liabilities associated with existing office leases.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BUSINESS COMBINATION</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As discussed in Note 1, on March 2, 2022, the Business Combination was completed. Pursuant to the Company’s certificate of incorporation, as amended on March 2, 2022, the Company is authorized to issue 1,000,000,000 shares of Common Stock and 10,000,000 shares of preferred stock, par value $0.0001, of the Company (the “Preferred Stock”). The holders of shares of Common Stock are entitled to one vote for each share of Common Stock held. The Preferred Stock is non-voting. No shares of Preferred Stock were issued and outstanding as of September 30, 2022.</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86"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On March 1, 2022, prior to the Closing, as contemplated by the Merger Agreement and following approval by SNII’s shareholders at an extraordinary general meeting of shareholders held on February 28, 2022 (the “Extraordinary General Meeting”), SNII filed a notice of deregistration with the Cayman Islands Registrar of Companies, together with the necessary accompanying documents, and filed a certificate of incorporation (the “Certificate of Incorporation”) and a certificate of corporate domestication with the Secretary of State of the State of Delaware, under which SNII was domesticated and continues as a Delaware corporation, changing its name to “Rigetti Computing, Inc.”</w:t>
      </w:r>
    </w:p>
    <w:p>
      <w:pPr>
        <w:spacing w:after="0" w:line="176"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As a result of and upon the effective time of the Domestication (which occurred on March 1, 2022), among other things: (1) each then issued and outstanding Class A ordinary share, par value $0.0001 per share, of SNII (“SNII Class A ordinary share”) converted automatically, on a one-for-one basis, into a share of Common Stock; (2) each then issued and outstanding Class B ordinary share, par value $0.0001 per share, of SNII (“SNII Class B ordinary share”) converted automatically, on a one-for-one basis, into a share of Common Stock; (3) each then issued and outstanding whole warrant of SNII to purchase one SNII Class A ordinary shares converted automatically into a Public Warrant to acquire one share of Common Stock at an exercise price of $11.50 per share pursuant to the Warrant Agreement, dated March 1, 2021, between SNII and American Stock Transfer &amp; Trust Company, as warrant agent; (4) and each then issued and outstanding unit of SNII (the “SNII Units”) was separated and converted automatically into one share of Common Stock and one-fourth of one Warrant.</w:t>
      </w:r>
    </w:p>
    <w:p>
      <w:pPr>
        <w:spacing w:after="0" w:line="17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Immediately prior to the effective time of the Business Combination, each share of Legacy Rigetti’s Series C preferred stock and Series C-1 preferred stock (collectively, the “Legacy Rigetti Preferred Stock”) with Par Value of $0.000001 converted into shares of Common Stock of Legacy Rigetti (“Legacy Rigetti Common Stock”) in accordance with the Amended and Restated Certificate of Incorporation of Legacy Rigetti (such conversion, the “Legacy Rigetti Preferred Conversion”).</w:t>
      </w:r>
    </w:p>
    <w:p>
      <w:pPr>
        <w:spacing w:after="0" w:line="18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As a result of the Business Combination, among other things (1) all outstanding shares of Legacy Rigetti Common Stock as of immediately prior to the Closing (including Legacy Rigetti Common Stock resulting from the Legacy Rigetti Preferred Stock Conversion), were exchanged at an exchange ratio of 0.7870 (the “Exchange Ratio”) for an aggregate of 78,959,579 shares of Common Stock; (2) each warrant to purchase Legacy Rigetti Common Stock converted into a warrant to purchase shares of Common Stock (“Assumed Warrant”), with each Assumed Warrant subject to the same terms and conditions as were applicable to the original Legacy Rigetti warrant and having an exercise price and number of shares of Common Stock purchasable based on the Exchange Ratio and other terms contained in the Merger Agreement; (3) each option to purchase Legacy Rigetti Common Stock converted into an option to purchase shares of Common Stock (“Assumed Option”), with each Assumed Option subject to the same terms and conditions as were applicable to the original Legacy Rigetti option and with an exercise price and number of shares of Common Stock purchasable based on the Exchange Ratio and other terms contained in the Merger Agreement, and; (4) each Legacy Rigetti restricted stock unit award converted into a restricted stock unit award to receive shares of Common Stock (“Assumed RSU Award”), with each Assumed RSU Award subject to the same terms and conditions as were applicable to the Legacy Rigetti restricted stock unit award, and with the number of shares of Common Stock to which the Assumed RSU Award converted based on the Exchange Ratio and other terms contained in the Merger Agreement.</w:t>
      </w:r>
    </w:p>
    <w:p>
      <w:pPr>
        <w:spacing w:after="0" w:line="16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connection with the execution of the Merger Agreement, SNII entered into a sponsor support agreement (the “Sponsor Support Agreement”) with the Sponsor, Legacy Rigetti and SNII’s directors and officers. Pursuant to the Sponsor Support Agreement, the Sponsor and SNII’s directors and officers (“Sponsor Holders”), among other things, agreed to vote all of their shares of SNII capital stock in favor of the approval of the Business Combination. In addition, pursuant to the Sponsor Support Agreement, (i) 2,479,000 shares of Common Stock held by the Sponsor Holders became unvested and subject to forfeiture as of the Closing and will only vest if, during the five year period following the Closing, the volume weighted average price of Common Stock equals or exceeds $12.50 for any twenty trading days within a period of thirty consecutive trading days, and (ii) 580,273 shares of Common Stock held by the Sponsor Holders became unvested and subject to forfeiture as of the Closing and will only vest if, during the five year period following the Closing, the volume weighted average price of Common Stock equals or exceeds $15.00 for any twenty trading days within a period of thirty consecutive trading days. Any such shares held by the Sponsor Holders that remain unvested after the fifth anniversary of the Closing will be forfeited. (Refer to Note 2 for related significant accounting policy for Sponsor Earn-Out Liability)</w:t>
      </w:r>
    </w:p>
    <w:p>
      <w:pPr>
        <w:spacing w:after="0" w:line="168"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Concurrently with the execution of the Merger Agreement, SNII entered into Subscription Agreements (the “Initial Subscription Agreements”) with certain investors (together, the “Initial PIPE Investors”), pursuant to which the Initial PIPE Investors agreed to subscribe for and purchase, and SNII agreed to issue and sell to the Initial PIPE Investors, an aggregate of 10,251,000 shares of Common Stock at a price of $10.00 per share, for aggregate gross proceeds of $102.5 Million (the “Initial PIPE Financing”). On December 23, 2021, SNII entered into Subscription Agreements (the “Subsequent Subscription Agreements”, and together with the Initial Subscription Agreements, the “Subscription Agreements”) with two “accredited investors” (as such term is defined in Rule 501 of Regulation D) (the “Subsequent PIPE Investors”, and together with the Initial PIPE Investors, the “PIPE Investors”) pursuant to which the Subsequent PIPE Investors agreed to subscribe for and purchase, and SNII agreed to issue and sell to the Subsequent PIPE Investors, an aggregate of 4,390,244 shares of Common Stock at a price of $10.25 per share, for aggregate gross proceeds of $45.0 Million (the “Subsequent PIPE Financing”, and together with the Initial PIPE Financing, the “PIPE Financing”). Pursuant to the Subscription Agreements, Rigetti agreed to provide the PIPE Investors with certain registration rights with respect to the shares purchased as part of the PIPE Financing. The PIPE Financing was consummated immediately prior to the Merger.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Business Combination is accounted for as a reverse recapitalization in accordance with U.S. GAAP. Under this method of accounting, SNII was treated as the “acquired” company for financial reporting purposes.</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In accounting for the Business Combination and after redemptions, net proceeds received by the Company totaled $225.6 million. The table below shows the net proceeds from business combination and PIPE financing (in thousands):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w w:val="97"/>
              </w:rPr>
              <w:t>Amount (in thousands)</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 SNII trust and cash (net of redemption)</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115,879</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 PIPE</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147,510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 SNII operating account</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SNII transaction cost</w:t>
            </w:r>
          </w:p>
        </w:tc>
        <w:tc>
          <w:tcPr>
            <w:tcW w:w="4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(38,110)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from Business Combination and PIPE</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225,604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Transaction costs consist of direct legal, accounting and other fees relating to the consummation of the Merger. Legacy Rigetti transaction costs specific and directly attributable to the business combination totaled $20.65 million. These costs were initially capitalized as incurred in deferred offering assets on the consolidated balance sheets. Upon the Closing, transaction costs related to the issuance of shares were recognized in stockholders’ equity (deficit) while costs associated with the Public Warrants, Private Warrants and Sponsor Vesting Shares were expensed in the consolidated statements of operations. Of the total transaction cost of $20.65 million, $19.75 million was recorded to additional paid-in capital as a reduction of proceeds and the remaining $0.9 million was recognized in the condensed consolidated statements of operations during the nine months ended September 30, 2022. Transaction cost paid through cash during the nine months ended September 30, 2022 equals $16.7 million with no amounts paid during the three months ended September 30, 2022. For the nine months ended September 30, 2022, the Company also paid a one-time bonus to certain employees related to the business combination of $2.1 million with no amounts paid during the three months ended September 30, 2022.</w:t>
      </w:r>
    </w:p>
    <w:p>
      <w:pPr>
        <w:spacing w:after="0" w:line="16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amount recorded to additional paid-in-capital was $159.55 million (as restated and discussed in Note 1), comprised of $225.6 million net proceeds less $19.75 million transaction costs, $16.3 million recognized for the Public Warrant liabilities, $9.6 million (as restated and discussed in Note 1) recognized for the Private Warrant liabilities, and $20.4 million recognized for the earn-out liabilities.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 as follows:</w:t>
      </w:r>
    </w:p>
    <w:p>
      <w:pPr>
        <w:sectPr>
          <w:pgSz w:w="11900" w:h="16838" w:orient="portrait"/>
          <w:cols w:equalWidth="0" w:num="1">
            <w:col w:w="11120"/>
          </w:cols>
          <w:pgMar w:left="320" w:top="486" w:right="459" w:bottom="1440" w:gutter="0" w:footer="0" w:header="0"/>
        </w:sectPr>
      </w:pPr>
    </w:p>
    <w:p>
      <w:pPr>
        <w:spacing w:after="0" w:line="252" w:lineRule="exact"/>
        <w:rPr>
          <w:sz w:val="20"/>
          <w:szCs w:val="20"/>
          <w:color w:val="auto"/>
        </w:rPr>
      </w:pPr>
    </w:p>
    <w:p>
      <w:pPr>
        <w:ind w:left="1880" w:right="560"/>
        <w:spacing w:after="0" w:line="266" w:lineRule="auto"/>
        <w:rPr>
          <w:sz w:val="20"/>
          <w:szCs w:val="20"/>
          <w:color w:val="auto"/>
        </w:rPr>
      </w:pPr>
      <w:r>
        <w:rPr>
          <w:rFonts w:ascii="Arial" w:cs="Arial" w:eastAsia="Arial" w:hAnsi="Arial"/>
          <w:sz w:val="18"/>
          <w:szCs w:val="18"/>
          <w:color w:val="auto"/>
        </w:rPr>
        <w:t>Common Stock - SNII Class A, outstanding prior to Business Combination Less: redemption of SNII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-281305</wp:posOffset>
            </wp:positionV>
            <wp:extent cx="474916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Common Stock - SNII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Common Stock - SNII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Shares issued in PIPE</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Business Combination and PIPE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Common Stock - Legacy Rigetti**</w:t>
      </w:r>
    </w:p>
    <w:p>
      <w:pPr>
        <w:spacing w:after="0" w:line="9" w:lineRule="exact"/>
        <w:rPr>
          <w:sz w:val="20"/>
          <w:szCs w:val="20"/>
          <w:color w:val="auto"/>
        </w:rPr>
      </w:pPr>
    </w:p>
    <w:p>
      <w:pPr>
        <w:ind w:left="2060" w:hanging="179"/>
        <w:spacing w:after="0" w:line="250" w:lineRule="auto"/>
        <w:rPr>
          <w:sz w:val="20"/>
          <w:szCs w:val="20"/>
          <w:color w:val="auto"/>
        </w:rPr>
      </w:pPr>
      <w:r>
        <w:rPr>
          <w:rFonts w:ascii="Arial" w:cs="Arial" w:eastAsia="Arial" w:hAnsi="Arial"/>
          <w:sz w:val="18"/>
          <w:szCs w:val="18"/>
          <w:color w:val="auto"/>
        </w:rPr>
        <w:t>Common Stock - exercise of Legacy Rigetti stock options immediately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060" w:right="340" w:hanging="179"/>
        <w:spacing w:after="0" w:line="250" w:lineRule="auto"/>
        <w:rPr>
          <w:sz w:val="20"/>
          <w:szCs w:val="20"/>
          <w:color w:val="auto"/>
        </w:rPr>
      </w:pPr>
      <w:r>
        <w:rPr>
          <w:rFonts w:ascii="Arial" w:cs="Arial" w:eastAsia="Arial" w:hAnsi="Arial"/>
          <w:sz w:val="18"/>
          <w:szCs w:val="18"/>
          <w:color w:val="auto"/>
        </w:rPr>
        <w:t>Common Stock - exercise of Legacy Rigetti warrants immediately prior to the closing**</w:t>
      </w:r>
    </w:p>
    <w:p>
      <w:pPr>
        <w:spacing w:after="0" w:line="1" w:lineRule="exact"/>
        <w:rPr>
          <w:sz w:val="20"/>
          <w:szCs w:val="20"/>
          <w:color w:val="auto"/>
        </w:rPr>
      </w:pPr>
    </w:p>
    <w:p>
      <w:pPr>
        <w:ind w:left="1880" w:right="80"/>
        <w:spacing w:after="0" w:line="290" w:lineRule="auto"/>
        <w:rPr>
          <w:sz w:val="20"/>
          <w:szCs w:val="20"/>
          <w:color w:val="auto"/>
        </w:rPr>
      </w:pPr>
      <w:r>
        <w:rPr>
          <w:rFonts w:ascii="Arial" w:cs="Arial" w:eastAsia="Arial" w:hAnsi="Arial"/>
          <w:sz w:val="16"/>
          <w:szCs w:val="16"/>
          <w:color w:val="auto"/>
        </w:rPr>
        <w:t>Common Stock - upon conversion of Legacy Rigetti Series C preferred stock** Common Stock - upon conversion of Legacy Rigetti Series C-1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-144780</wp:posOffset>
            </wp:positionV>
            <wp:extent cx="474916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Total shares of Common Stock immediately after Business Combination</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7"/>
          <w:szCs w:val="17"/>
          <w:color w:val="auto"/>
        </w:rPr>
        <w:t>34,500,000</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(22,915,538</w:t>
      </w:r>
      <w:r>
        <w:rPr>
          <w:rFonts w:ascii="Arial" w:cs="Arial" w:eastAsia="Arial" w:hAnsi="Arial"/>
          <w:sz w:val="16"/>
          <w:szCs w:val="16"/>
          <w:color w:val="auto"/>
        </w:rPr>
        <w:t>)</w:t>
      </w:r>
    </w:p>
    <w:p>
      <w:pPr>
        <w:spacing w:after="0" w:line="45" w:lineRule="exact"/>
        <w:rPr>
          <w:sz w:val="20"/>
          <w:szCs w:val="20"/>
          <w:color w:val="auto"/>
        </w:rPr>
      </w:pPr>
    </w:p>
    <w:p>
      <w:pPr>
        <w:jc w:val="right"/>
        <w:ind w:right="1860"/>
        <w:spacing w:after="0"/>
        <w:rPr>
          <w:sz w:val="20"/>
          <w:szCs w:val="20"/>
          <w:color w:val="auto"/>
        </w:rPr>
      </w:pPr>
      <w:r>
        <w:rPr>
          <w:rFonts w:ascii="Arial" w:cs="Arial" w:eastAsia="Arial" w:hAnsi="Arial"/>
          <w:sz w:val="17"/>
          <w:szCs w:val="17"/>
          <w:color w:val="auto"/>
        </w:rPr>
        <w:t>11,584,462</w:t>
      </w:r>
    </w:p>
    <w:p>
      <w:pPr>
        <w:spacing w:after="0" w:line="35"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8,625,000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7"/>
          <w:szCs w:val="17"/>
          <w:color w:val="auto"/>
        </w:rPr>
        <w:t>14,641,244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13335</wp:posOffset>
            </wp:positionV>
            <wp:extent cx="6083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3" w:lineRule="exact"/>
        <w:rPr>
          <w:sz w:val="20"/>
          <w:szCs w:val="20"/>
          <w:color w:val="auto"/>
        </w:rPr>
      </w:pPr>
    </w:p>
    <w:p>
      <w:pPr>
        <w:ind w:left="80"/>
        <w:spacing w:after="0"/>
        <w:rPr>
          <w:sz w:val="20"/>
          <w:szCs w:val="20"/>
          <w:color w:val="auto"/>
        </w:rPr>
      </w:pPr>
      <w:r>
        <w:rPr>
          <w:rFonts w:ascii="Arial" w:cs="Arial" w:eastAsia="Arial" w:hAnsi="Arial"/>
          <w:sz w:val="17"/>
          <w:szCs w:val="17"/>
          <w:color w:val="auto"/>
        </w:rPr>
        <w:t>34,850,706</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7"/>
          <w:szCs w:val="17"/>
          <w:color w:val="auto"/>
        </w:rPr>
        <w:t>18,221,069</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1,123,539</w:t>
      </w:r>
    </w:p>
    <w:p>
      <w:pPr>
        <w:spacing w:after="0" w:line="237"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2,234,408</w:t>
      </w:r>
    </w:p>
    <w:p>
      <w:pPr>
        <w:spacing w:after="0" w:line="23" w:lineRule="exact"/>
        <w:rPr>
          <w:sz w:val="20"/>
          <w:szCs w:val="20"/>
          <w:color w:val="auto"/>
        </w:rPr>
      </w:pPr>
    </w:p>
    <w:p>
      <w:pPr>
        <w:jc w:val="right"/>
        <w:ind w:right="1860"/>
        <w:spacing w:after="0"/>
        <w:rPr>
          <w:sz w:val="20"/>
          <w:szCs w:val="20"/>
          <w:color w:val="auto"/>
        </w:rPr>
      </w:pPr>
      <w:r>
        <w:rPr>
          <w:rFonts w:ascii="Arial" w:cs="Arial" w:eastAsia="Arial" w:hAnsi="Arial"/>
          <w:sz w:val="17"/>
          <w:szCs w:val="17"/>
          <w:color w:val="auto"/>
        </w:rPr>
        <w:t>54,478,261</w:t>
      </w:r>
    </w:p>
    <w:p>
      <w:pPr>
        <w:spacing w:after="0" w:line="21"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2,902,302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608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113,810,285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39370</wp:posOffset>
            </wp:positionV>
            <wp:extent cx="6083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ectPr>
          <w:pgSz w:w="11900" w:h="16838" w:orient="portrait"/>
          <w:cols w:equalWidth="0" w:num="2">
            <w:col w:w="7840" w:space="520"/>
            <w:col w:w="2760"/>
          </w:cols>
          <w:pgMar w:left="320" w:top="486" w:right="4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100" w:hanging="424"/>
        <w:spacing w:after="0" w:line="25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(i) 2,479,000 shares of Common Stock held by the Sponsor (the “Promote Sponsor Vesting Shares”) and (ii) 580,273 shares of Common Stock held by the Sponsor (“Sponsor Redemption-Based Vesting Shares”).</w:t>
      </w:r>
    </w:p>
    <w:p>
      <w:pPr>
        <w:spacing w:after="0" w:line="1" w:lineRule="exact"/>
        <w:rPr>
          <w:sz w:val="20"/>
          <w:szCs w:val="20"/>
          <w:color w:val="auto"/>
        </w:rPr>
      </w:pPr>
    </w:p>
    <w:p>
      <w:pPr>
        <w:ind w:left="540" w:right="160" w:hanging="424"/>
        <w:spacing w:after="0" w:line="25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all outstanding shares of Legacy Rigetti Common Stock as of immediately prior to the Closing (including Legacy Rigetti Common Stock resulting from the Legacy Rigetti Preferred Stock Conversion), were exchanged at an exchange ratio of 0.7870 (the “Exchange Ratio”). (ii) the conversion ratio to Legacy Rigetti Common Stock for the Legacy Series C Preferred Stock was one-for-one and for Legacy Series C-1 Preferred Stock was eight-for-one.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of September 30, 2022, investment securities in the Company’s Trust Account consisted of $33.0 million in money market funds, $57.7 million in United States Treasury securities, $3.6 million in corporate bonds and $25.9 million in commercial paper. The money market funds are classified as cash equivalents in the condensed consolidated balance sheets. The Company classifies its investments in fixed income securities as available-for-sale. Available-for-sale marketable securities are recorded at their estimated fair value. The amortized cost, gross unrealized holding loss included in other comprehensive income, and fair value of the investment securities on September 30, 2022 are presented in the table below. The Company did not hold investment securities at December 31, 2021.</w:t>
      </w:r>
    </w:p>
    <w:p>
      <w:pPr>
        <w:spacing w:after="0" w:line="19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240" w:type="dxa"/>
            <w:vAlign w:val="bottom"/>
            <w:gridSpan w:val="3"/>
          </w:tcPr>
          <w:p>
            <w:pPr>
              <w:jc w:val="center"/>
              <w:ind w:left="1176"/>
              <w:spacing w:after="0"/>
              <w:rPr>
                <w:sz w:val="20"/>
                <w:szCs w:val="20"/>
                <w:color w:val="auto"/>
              </w:rPr>
            </w:pPr>
            <w:r>
              <w:rPr>
                <w:rFonts w:ascii="Arial" w:cs="Arial" w:eastAsia="Arial" w:hAnsi="Arial"/>
                <w:sz w:val="14"/>
                <w:szCs w:val="14"/>
                <w:b w:val="1"/>
                <w:bCs w:val="1"/>
                <w:color w:val="auto"/>
                <w:w w:val="94"/>
              </w:rPr>
              <w:t>Amortized Cost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8"/>
              </w:rPr>
              <w:t>Gross</w:t>
            </w:r>
          </w:p>
        </w:tc>
        <w:tc>
          <w:tcPr>
            <w:tcW w:w="13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w w:val="98"/>
              </w:rPr>
              <w:t>Fair Value as of</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85"/>
              </w:rPr>
              <w:t>as of</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2"/>
                <w:szCs w:val="12"/>
                <w:color w:val="auto"/>
              </w:rPr>
            </w:pPr>
          </w:p>
        </w:tc>
        <w:tc>
          <w:tcPr>
            <w:tcW w:w="11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2022</w:t>
            </w:r>
          </w:p>
        </w:tc>
        <w:tc>
          <w:tcPr>
            <w:tcW w:w="1700" w:type="dxa"/>
            <w:vAlign w:val="bottom"/>
            <w:gridSpan w:val="4"/>
          </w:tcPr>
          <w:p>
            <w:pPr>
              <w:ind w:left="580"/>
              <w:spacing w:after="0"/>
              <w:rPr>
                <w:sz w:val="20"/>
                <w:szCs w:val="20"/>
                <w:color w:val="auto"/>
              </w:rPr>
            </w:pPr>
            <w:r>
              <w:rPr>
                <w:rFonts w:ascii="Arial" w:cs="Arial" w:eastAsia="Arial" w:hAnsi="Arial"/>
                <w:sz w:val="14"/>
                <w:szCs w:val="14"/>
                <w:b w:val="1"/>
                <w:bCs w:val="1"/>
                <w:color w:val="auto"/>
              </w:rPr>
              <w:t>Holding Loss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2"/>
              </w:rPr>
              <w:t>(in thousands)</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4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32,985</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United States Treasury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58,066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360"/>
              <w:spacing w:after="0"/>
              <w:rPr>
                <w:sz w:val="20"/>
                <w:szCs w:val="20"/>
                <w:color w:val="auto"/>
              </w:rPr>
            </w:pPr>
            <w:r>
              <w:rPr>
                <w:rFonts w:ascii="Arial" w:cs="Arial" w:eastAsia="Arial" w:hAnsi="Arial"/>
                <w:sz w:val="18"/>
                <w:szCs w:val="18"/>
                <w:color w:val="auto"/>
              </w:rPr>
              <w:t>Commercial Papers</w:t>
            </w:r>
          </w:p>
        </w:tc>
        <w:tc>
          <w:tcPr>
            <w:tcW w:w="1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25,904</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120,527</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(356)</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Company reviews the individual securities that have unrealized losses in its short-term investment portfolio on a regular basis. The Company evaluates whether it has the intention to sell any of these investments and whether it is more likely than not that it will be required to sell any of them before recovery of the amortized cost basis. Neither of these criteria were met in any period presented. The Company additionally evaluates whether the decline in fair value of the securities below their amortized cost basis is related to credit losses or other factors. Based on this evaluation, the Company determined that unrealized losses of the above securities were primarily attributable to changes in interest rates and non-credit related factors. Accordingly, the Company determined that the unrealized losses were not other-than-temporary and that recording an impairment was therefore unnecessary for its short-term investments as of September 30, 2022.</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REVENUE RECOGNITION</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tables depict the disaggregation of revenue according to the type of good or service and timing of transfer of goods or services for the three and nine months ended September 30, 2022 and September 30, 2021:</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Type of Goods or Service</w:t>
            </w:r>
          </w:p>
        </w:tc>
        <w:tc>
          <w:tcPr>
            <w:tcW w:w="7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Collaborative research and other professional</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Access to quantum computing systems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w w:val="86"/>
              </w:rPr>
              <w:t>814</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Timing of Revenue Recognition</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at a point in time</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Revenue recognized over time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2,804</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7"/>
              </w:rPr>
              <w:t>Nine Months Ended</w:t>
            </w:r>
          </w:p>
        </w:tc>
        <w:tc>
          <w:tcPr>
            <w:tcW w:w="94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Type of Goods or Service</w:t>
            </w:r>
          </w:p>
        </w:tc>
        <w:tc>
          <w:tcPr>
            <w:tcW w:w="7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Collaborative research and other professional</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Access to quantum computing systems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2,060</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2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Timing of Revenue Recognition</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at a point in time</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Revenue recognized over time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2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Selected condensed consolidated balance sheet line items that reflect accounts receivable, contract assets and liabilities as of September 30, 2022 and December 31, 2021 were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7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r>
      <w:tr>
        <w:trPr>
          <w:trHeight w:val="156"/>
        </w:trPr>
        <w:tc>
          <w:tcPr>
            <w:tcW w:w="27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26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961</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Unbilled receivables</w:t>
            </w:r>
          </w:p>
        </w:tc>
        <w:tc>
          <w:tcPr>
            <w:tcW w:w="3260" w:type="dxa"/>
            <w:vAlign w:val="bottom"/>
            <w:gridSpan w:val="2"/>
          </w:tcPr>
          <w:p>
            <w:pPr>
              <w:ind w:left="30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582</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26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985)</w:t>
            </w:r>
          </w:p>
        </w:tc>
      </w:tr>
      <w:tr>
        <w:trPr>
          <w:trHeight w:val="365"/>
        </w:trPr>
        <w:tc>
          <w:tcPr>
            <w:tcW w:w="2780" w:type="dxa"/>
            <w:vAlign w:val="bottom"/>
          </w:tcPr>
          <w:p>
            <w:pPr>
              <w:spacing w:after="0"/>
              <w:rPr>
                <w:sz w:val="24"/>
                <w:szCs w:val="24"/>
                <w:color w:val="auto"/>
              </w:rPr>
            </w:pPr>
          </w:p>
        </w:tc>
        <w:tc>
          <w:tcPr>
            <w:tcW w:w="3040" w:type="dxa"/>
            <w:vAlign w:val="bottom"/>
          </w:tcPr>
          <w:p>
            <w:pPr>
              <w:jc w:val="right"/>
              <w:ind w:right="145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320" w:top="486" w:right="5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deferred revenue from contracts with customers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Recognition of deferred revenue</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833"/>
        <w:spacing w:after="0"/>
        <w:rPr>
          <w:sz w:val="20"/>
          <w:szCs w:val="20"/>
          <w:color w:val="auto"/>
        </w:rPr>
      </w:pPr>
      <w:r>
        <w:rPr>
          <w:rFonts w:ascii="Arial" w:cs="Arial" w:eastAsia="Arial" w:hAnsi="Arial"/>
          <w:sz w:val="13"/>
          <w:szCs w:val="13"/>
          <w:b w:val="1"/>
          <w:bCs w:val="1"/>
          <w:color w:val="auto"/>
        </w:rPr>
        <w:t>Nine Months Ended</w:t>
      </w:r>
    </w:p>
    <w:p>
      <w:pPr>
        <w:spacing w:after="0" w:line="3" w:lineRule="exact"/>
        <w:rPr>
          <w:sz w:val="20"/>
          <w:szCs w:val="20"/>
          <w:color w:val="auto"/>
        </w:rPr>
      </w:pPr>
    </w:p>
    <w:p>
      <w:pPr>
        <w:jc w:val="center"/>
        <w:ind w:right="1833"/>
        <w:spacing w:after="0"/>
        <w:rPr>
          <w:sz w:val="20"/>
          <w:szCs w:val="20"/>
          <w:color w:val="auto"/>
        </w:rPr>
      </w:pPr>
      <w:r>
        <w:rPr>
          <w:rFonts w:ascii="Arial" w:cs="Arial" w:eastAsia="Arial" w:hAnsi="Arial"/>
          <w:sz w:val="14"/>
          <w:szCs w:val="14"/>
          <w:b w:val="1"/>
          <w:bCs w:val="1"/>
          <w:color w:val="auto"/>
        </w:rPr>
        <w:t>September 30,</w:t>
      </w:r>
    </w:p>
    <w:p>
      <w:pPr>
        <w:jc w:val="center"/>
        <w:ind w:right="1833"/>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88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jc w:val="center"/>
        <w:ind w:right="1833"/>
        <w:spacing w:after="0" w:line="235" w:lineRule="auto"/>
        <w:rPr>
          <w:sz w:val="20"/>
          <w:szCs w:val="20"/>
          <w:color w:val="auto"/>
        </w:rPr>
      </w:pPr>
      <w:r>
        <w:rPr>
          <w:rFonts w:ascii="Arial" w:cs="Arial" w:eastAsia="Arial" w:hAnsi="Arial"/>
          <w:sz w:val="14"/>
          <w:szCs w:val="14"/>
          <w:b w:val="1"/>
          <w:bCs w:val="1"/>
          <w:color w:val="auto"/>
        </w:rPr>
        <w:t>(In thousands)</w:t>
      </w:r>
    </w:p>
    <w:p>
      <w:pPr>
        <w:ind w:left="907" w:hanging="907"/>
        <w:spacing w:after="0"/>
        <w:tabs>
          <w:tab w:leader="none" w:pos="907" w:val="left"/>
        </w:tabs>
        <w:numPr>
          <w:ilvl w:val="0"/>
          <w:numId w:val="20"/>
        </w:numPr>
        <w:rPr>
          <w:rFonts w:ascii="Arial" w:cs="Arial" w:eastAsia="Arial" w:hAnsi="Arial"/>
          <w:sz w:val="17"/>
          <w:szCs w:val="17"/>
          <w:color w:val="auto"/>
        </w:rPr>
      </w:pPr>
      <w:r>
        <w:rPr>
          <w:rFonts w:ascii="Arial" w:cs="Arial" w:eastAsia="Arial" w:hAnsi="Arial"/>
          <w:sz w:val="17"/>
          <w:szCs w:val="17"/>
          <w:color w:val="auto"/>
        </w:rPr>
        <w:t>(985)</w:t>
      </w:r>
    </w:p>
    <w:p>
      <w:pPr>
        <w:spacing w:after="0" w:line="18" w:lineRule="exact"/>
        <w:rPr>
          <w:rFonts w:ascii="Arial" w:cs="Arial" w:eastAsia="Arial" w:hAnsi="Arial"/>
          <w:sz w:val="17"/>
          <w:szCs w:val="17"/>
          <w:color w:val="auto"/>
        </w:rPr>
      </w:pPr>
    </w:p>
    <w:p>
      <w:pPr>
        <w:ind w:left="907"/>
        <w:spacing w:after="0"/>
        <w:rPr>
          <w:rFonts w:ascii="Arial" w:cs="Arial" w:eastAsia="Arial" w:hAnsi="Arial"/>
          <w:sz w:val="17"/>
          <w:szCs w:val="17"/>
          <w:color w:val="auto"/>
        </w:rPr>
      </w:pPr>
      <w:r>
        <w:rPr>
          <w:rFonts w:ascii="Arial" w:cs="Arial" w:eastAsia="Arial" w:hAnsi="Arial"/>
          <w:sz w:val="17"/>
          <w:szCs w:val="17"/>
          <w:color w:val="auto"/>
        </w:rPr>
        <w:t>(384)</w:t>
      </w:r>
    </w:p>
    <w:p>
      <w:pPr>
        <w:spacing w:after="0" w:line="20" w:lineRule="exact"/>
        <w:rPr>
          <w:rFonts w:ascii="Arial" w:cs="Arial" w:eastAsia="Arial" w:hAnsi="Arial"/>
          <w:sz w:val="17"/>
          <w:szCs w:val="17"/>
          <w:color w:val="auto"/>
        </w:rPr>
      </w:pPr>
    </w:p>
    <w:p>
      <w:pPr>
        <w:ind w:left="967"/>
        <w:spacing w:after="0"/>
        <w:rPr>
          <w:rFonts w:ascii="Arial" w:cs="Arial" w:eastAsia="Arial" w:hAnsi="Arial"/>
          <w:sz w:val="17"/>
          <w:szCs w:val="17"/>
          <w:color w:val="auto"/>
        </w:rPr>
      </w:pPr>
      <w:r>
        <w:rPr>
          <w:rFonts w:ascii="Arial" w:cs="Arial" w:eastAsia="Arial" w:hAnsi="Arial"/>
          <w:sz w:val="18"/>
          <w:szCs w:val="18"/>
          <w:color w:val="auto"/>
        </w:rPr>
        <w:t>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88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 w:lineRule="exact"/>
        <w:rPr>
          <w:sz w:val="20"/>
          <w:szCs w:val="20"/>
          <w:color w:val="auto"/>
        </w:rPr>
      </w:pPr>
    </w:p>
    <w:p>
      <w:pPr>
        <w:ind w:left="927" w:hanging="927"/>
        <w:spacing w:after="0"/>
        <w:tabs>
          <w:tab w:leader="none" w:pos="927" w:val="left"/>
        </w:tabs>
        <w:numPr>
          <w:ilvl w:val="0"/>
          <w:numId w:val="21"/>
        </w:numPr>
        <w:rPr>
          <w:rFonts w:ascii="Arial" w:cs="Arial" w:eastAsia="Arial" w:hAnsi="Arial"/>
          <w:sz w:val="16"/>
          <w:szCs w:val="16"/>
          <w:color w:val="auto"/>
        </w:rPr>
      </w:pPr>
      <w:r>
        <w:rPr>
          <w:rFonts w:ascii="Arial" w:cs="Arial" w:eastAsia="Arial" w:hAnsi="Arial"/>
          <w:sz w:val="16"/>
          <w:szCs w:val="16"/>
          <w:color w:val="auto"/>
        </w:rPr>
        <w:t>(811)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88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788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293" w:space="720"/>
            <w:col w:w="3087"/>
          </w:cols>
          <w:pgMar w:left="320" w:top="486" w:right="479" w:bottom="1440" w:gutter="0" w:footer="0" w:header="0"/>
        </w:sectPr>
      </w:pPr>
    </w:p>
    <w:p>
      <w:pPr>
        <w:spacing w:after="0" w:line="79" w:lineRule="exact"/>
        <w:rPr>
          <w:sz w:val="20"/>
          <w:szCs w:val="20"/>
          <w:color w:val="auto"/>
        </w:rPr>
      </w:pPr>
    </w:p>
    <w:p>
      <w:pPr>
        <w:jc w:val="both"/>
        <w:ind w:left="120" w:right="40"/>
        <w:spacing w:after="0" w:line="301" w:lineRule="auto"/>
        <w:rPr>
          <w:sz w:val="20"/>
          <w:szCs w:val="20"/>
          <w:color w:val="auto"/>
        </w:rPr>
      </w:pPr>
      <w:r>
        <w:rPr>
          <w:rFonts w:ascii="Arial" w:cs="Arial" w:eastAsia="Arial" w:hAnsi="Arial"/>
          <w:sz w:val="16"/>
          <w:szCs w:val="16"/>
          <w:color w:val="auto"/>
        </w:rPr>
        <w:t>Remaining performance obligations represent the portion of the transaction price that has not yet been satisfied or achieved. As of September 30, 2022, the aggregate amount of the transaction price allocated to remaining performance obligations was approximately $9.3 million. The Company expects to recognize estimated revenues related to performance obligations that are unsatisfied (or partially satisfied) in the amounts of approximately $3.3 million during the remainder of the year ended December 31, 2022, and $6.0 million during the years ended December 31, 2023 and December 31, 2024.</w:t>
      </w:r>
    </w:p>
    <w:p>
      <w:pPr>
        <w:spacing w:after="0" w:line="157"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Deferred Contract Acquisition and Fulfillment Costs—The Company has not identified any costs that are incremental to the acquisition of customer contracts that would be capitalized as deferred costs on the balance sheet in accordance with ASC 340-40. Incremental costs incurred to fulfill the Company’s contracts that meet the capitalization criteria in ASC 340-40 have historically been immaterial. Accordingly, the Company has not capitalized any contract fulfillment costs as of September 30, 2022 and December 31,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Leases —The Company leases office spaces under noncancelable operating lease agreements, which expire through 2029. The Company is required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 property taxes, insurance, and normal maintenance costs for certain of these facilities and will be required to pay any increases over the base year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expenses on the remainder of the Company’s facilities. The Company recognizes rent expense on a straight-line basis over the lease term. Rent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 for operating leases for the three months ended September 30, 2022 and 2021 was $0.5 million and $0.3 million, respectively. Rent expense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leases for the nine months ended September 30, 2022 and 2021 was $1.3 million and $1.1 million, respectively. The Company has accrued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$0.4 million in deferred rent as of September 30, 2022 and December 31, 2021, respectively, primarily relating to one of its office spaces. Deferred rent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will be recognized within the 12 months after the balance sheet date is included within accrued expenses and other current liabilities, the remaining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is recorded within other liabilities on the Company’s consolidated balance sheets.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minimum lease payments under non-cancelable operating leases as of September 30, 2022 are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2022 (in thousands)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4,006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future lease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9,660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Litigation — The Company is periodically involved in legal proceedings, legal actions and claims arising in the normal course of business. Management believes that the outcome of such legal proceedings, legal actions and claims will not have a significant adverse effect on the Company’s financial position, results of operations or cash flows.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86" w:right="4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FINANCING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March 2021, the Company entered into an agreement (the “Loan Agreement”) with Trinity Capital Inc. (“Trinity”) to secure a debt commitment of</w:t>
      </w:r>
    </w:p>
    <w:p>
      <w:pPr>
        <w:spacing w:after="0" w:line="35"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$12.0 million (the “Tranche A”) which was drawn at the closing. The term loan is collateralized by a first-priority, senior secured interest in substantially all of the Company’s assets. In conjunction with the Loan Agreement, the Company issued Trinity a warrant to purchase shares of Common Stock (the “Trinity Warrants”) which is recorded at fair value using the Black-Scholes model, see Note 10 for the fair value assumptions.</w:t>
      </w:r>
    </w:p>
    <w:p>
      <w:pPr>
        <w:spacing w:after="0" w:line="173"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The Loan Agreement contains customary representations, warranties and covenants; however, the debt agreement does not include any financial covenants. In May 2021, the debt agreement was modified to increase the overall debt commitment by $15.0 million (the “Tranche B” or the “Amendment”) and $8.0 million of the additional commitment was drawn at the closing and the remaining commitment of $7.0 million was available at the Company’s option at any time through March 10, 2022 subject to certain conditions. The Company drew the $7.0 million in November 2021. In conjunction with the Amendment, the Company cancelled the Initial Warrants and issued 995,099 (783,129 shares post conversion upon the closing of the Business Combination) warrant shares to purchase the Common Stock which was an incremental cost allocated between Tranche A and Tranche B, see Note 10 for further information on these warrants. The Amendment to the debt agreement was considered a modification for accounting purposes. The Company capitalized $2.8 million of debt issuance costs which consist of incremental costs incurred for the lenders and third-party legal firms as well as the fair value of the warrant issued in conjunction with the term loan.</w:t>
      </w:r>
    </w:p>
    <w:p>
      <w:pPr>
        <w:spacing w:after="0" w:line="18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Under the Amendment, the maturity date was modified to be the date equal to 48 months from the first payment date of each specific cash advance. Subject to an interest only period of 19 months following each specific cash advance date, the term loan incurs interest at a rate of the greater of 11% and the US Prime Rate plus 7.50% per annum, payable monthly. The Term Loan includes certain negative covenants, primarily consisting of restrictions on the Company’s ability to incur indebtedness, pay dividends, execute fundamental change transactions, and other specified actions.</w:t>
      </w:r>
    </w:p>
    <w:p>
      <w:pPr>
        <w:spacing w:after="0" w:line="15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addition, the Company is required to pay a final payment fee equal to 2.75% of the aggregate amount of all term loan advances. The final payment fee is being accreted and amortized into interest expense using the effective interest rate method over the term of the loan. The effective interest was between 19.42 – 25.41% for all tranches of the debt as of September 30, 2022.</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January 2022, the debt agreement was modified to increase the overall debt commitment by $5.0 million (the “Tranche C” or the “Third Amendment”) which was drawn on January 27, 2022. Subject to an interest only period of 19 months, Tranche C incurs interest at a rate of the greater of 11% and the US Prime Rate plus 7.50% per annum, payable monthly, until the maturity date, February 1, 2026. Other modifications per the amendment included an extension of the requirement to raise an additional $75 million of equity and a defined exit fee for the additional $5.0 million to be at 20% of the advanced funds under the amendment. The Company paid an exit fee of $1.0 million which is 20% of the Tranche C amount upon the consummation of a merger. The exit fee is not applicable to Tranche A and Tranche B. In conjunction with the amendment, the Company also guaranteed payment of all monetary amounts owed and performance of all covenants, obligations and liabilities.</w:t>
      </w:r>
    </w:p>
    <w:p>
      <w:pPr>
        <w:spacing w:after="0" w:line="17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book value of debt approximates its fair value given its maturity and variable interest rate. Long term debt and the unamortized discount balances are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74"/>
              </w:rPr>
              <w:t>thousands)</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amount</w:t>
            </w:r>
          </w:p>
        </w:tc>
        <w:tc>
          <w:tcPr>
            <w:tcW w:w="21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73"/>
              <w:spacing w:after="0"/>
              <w:rPr>
                <w:sz w:val="20"/>
                <w:szCs w:val="20"/>
                <w:color w:val="auto"/>
              </w:rPr>
            </w:pPr>
            <w:r>
              <w:rPr>
                <w:rFonts w:ascii="Arial" w:cs="Arial" w:eastAsia="Arial" w:hAnsi="Arial"/>
                <w:sz w:val="18"/>
                <w:szCs w:val="18"/>
                <w:color w:val="auto"/>
              </w:rPr>
              <w:t>32,000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Add: accreted liability of final payment fee</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73"/>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unamortized debt discount, long term</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3"/>
              <w:spacing w:after="0"/>
              <w:rPr>
                <w:sz w:val="20"/>
                <w:szCs w:val="20"/>
                <w:color w:val="auto"/>
              </w:rPr>
            </w:pPr>
            <w:r>
              <w:rPr>
                <w:rFonts w:ascii="Arial" w:cs="Arial" w:eastAsia="Arial" w:hAnsi="Arial"/>
                <w:sz w:val="18"/>
                <w:szCs w:val="18"/>
                <w:color w:val="auto"/>
              </w:rPr>
              <w:t>(1,583)</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w w:val="97"/>
              </w:rPr>
              <w:t>Less: current portion of long term debt-principal</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13"/>
              <w:spacing w:after="0"/>
              <w:rPr>
                <w:sz w:val="20"/>
                <w:szCs w:val="20"/>
                <w:color w:val="auto"/>
              </w:rPr>
            </w:pPr>
            <w:r>
              <w:rPr>
                <w:rFonts w:ascii="Arial" w:cs="Arial" w:eastAsia="Arial" w:hAnsi="Arial"/>
                <w:sz w:val="18"/>
                <w:szCs w:val="18"/>
                <w:color w:val="auto"/>
              </w:rPr>
              <w:t>(7,751)</w:t>
            </w: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Debt - net of current portion</w:t>
            </w:r>
          </w:p>
        </w:tc>
        <w:tc>
          <w:tcPr>
            <w:tcW w:w="21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73"/>
              <w:spacing w:after="0"/>
              <w:rPr>
                <w:sz w:val="20"/>
                <w:szCs w:val="20"/>
                <w:color w:val="auto"/>
              </w:rPr>
            </w:pPr>
            <w:r>
              <w:rPr>
                <w:rFonts w:ascii="Arial" w:cs="Arial" w:eastAsia="Arial" w:hAnsi="Arial"/>
                <w:sz w:val="18"/>
                <w:szCs w:val="18"/>
                <w:color w:val="auto"/>
              </w:rPr>
              <w:t>22,999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24,216</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Current portion of long term debt-principal</w:t>
            </w: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7,751</w:t>
            </w:r>
          </w:p>
        </w:tc>
        <w:tc>
          <w:tcPr>
            <w:tcW w:w="5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Less: current portion of unamortized debt discount</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3"/>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Debt-current portion</w:t>
            </w:r>
          </w:p>
        </w:tc>
        <w:tc>
          <w:tcPr>
            <w:tcW w:w="19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940" w:type="dxa"/>
            <w:vAlign w:val="bottom"/>
            <w:vMerge w:val="restart"/>
          </w:tcPr>
          <w:p>
            <w:pPr>
              <w:jc w:val="right"/>
              <w:ind w:right="1630"/>
              <w:spacing w:after="0"/>
              <w:rPr>
                <w:sz w:val="20"/>
                <w:szCs w:val="20"/>
                <w:color w:val="auto"/>
              </w:rPr>
            </w:pPr>
            <w:r>
              <w:rPr>
                <w:rFonts w:ascii="Arial" w:cs="Arial" w:eastAsia="Arial" w:hAnsi="Arial"/>
                <w:sz w:val="18"/>
                <w:szCs w:val="18"/>
                <w:color w:val="auto"/>
                <w:w w:val="99"/>
              </w:rPr>
              <w:t>29</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three and nine months ended September 30, 2022 the Company has recorded interest expense of $1.4 million and $3.8 million, which includes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accretion of the end of term liability of $76.5 thousand and $211.2 thousand, the amortization of commitment fee asset of $72.8 thousand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$189.1 thousand and the amortization of debt issuance cost of $256.1 thousand and $671.6 thousand, respectively. The unamortized issuance cost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 million at September 30, 2022 is offset against the carrying value of the term loan in the accompanying condensed consolidated balance sheet. See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Financing Cost policy at Note 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Scheduled principal payments on total outstanding debt, as of September 30, 2022,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r>
      <w:tr>
        <w:trPr>
          <w:trHeight w:val="156"/>
        </w:trPr>
        <w:tc>
          <w:tcPr>
            <w:tcW w:w="5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5940" w:type="dxa"/>
            <w:vAlign w:val="bottom"/>
            <w:shd w:val="clear" w:color="auto" w:fill="CCEEFF"/>
          </w:tcPr>
          <w:p>
            <w:pPr>
              <w:jc w:val="right"/>
              <w:ind w:right="5490"/>
              <w:spacing w:after="0"/>
              <w:rPr>
                <w:sz w:val="20"/>
                <w:szCs w:val="20"/>
                <w:color w:val="auto"/>
              </w:rPr>
            </w:pPr>
            <w:r>
              <w:rPr>
                <w:rFonts w:ascii="Arial" w:cs="Arial" w:eastAsia="Arial" w:hAnsi="Arial"/>
                <w:sz w:val="18"/>
                <w:szCs w:val="18"/>
                <w:color w:val="auto"/>
                <w:w w:val="84"/>
              </w:rPr>
              <w:t>2022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r>
      <w:tr>
        <w:trPr>
          <w:trHeight w:val="216"/>
        </w:trPr>
        <w:tc>
          <w:tcPr>
            <w:tcW w:w="5940" w:type="dxa"/>
            <w:vAlign w:val="bottom"/>
          </w:tcPr>
          <w:p>
            <w:pPr>
              <w:jc w:val="right"/>
              <w:ind w:right="5490"/>
              <w:spacing w:after="0"/>
              <w:rPr>
                <w:sz w:val="20"/>
                <w:szCs w:val="20"/>
                <w:color w:val="auto"/>
              </w:rPr>
            </w:pPr>
            <w:r>
              <w:rPr>
                <w:rFonts w:ascii="Arial" w:cs="Arial" w:eastAsia="Arial" w:hAnsi="Arial"/>
                <w:sz w:val="18"/>
                <w:szCs w:val="18"/>
                <w:color w:val="auto"/>
                <w:w w:val="84"/>
              </w:rPr>
              <w:t>2023</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9,273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8,682</w:t>
            </w:r>
          </w:p>
        </w:tc>
      </w:tr>
      <w:tr>
        <w:trPr>
          <w:trHeight w:val="216"/>
        </w:trPr>
        <w:tc>
          <w:tcPr>
            <w:tcW w:w="5940" w:type="dxa"/>
            <w:vAlign w:val="bottom"/>
            <w:shd w:val="clear" w:color="auto" w:fill="CCEEFF"/>
          </w:tcPr>
          <w:p>
            <w:pPr>
              <w:jc w:val="right"/>
              <w:ind w:right="5490"/>
              <w:spacing w:after="0"/>
              <w:rPr>
                <w:sz w:val="20"/>
                <w:szCs w:val="20"/>
                <w:color w:val="auto"/>
              </w:rPr>
            </w:pPr>
            <w:r>
              <w:rPr>
                <w:rFonts w:ascii="Arial" w:cs="Arial" w:eastAsia="Arial" w:hAnsi="Arial"/>
                <w:sz w:val="18"/>
                <w:szCs w:val="18"/>
                <w:color w:val="auto"/>
                <w:w w:val="84"/>
              </w:rPr>
              <w:t>2024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11,008</w:t>
            </w:r>
          </w:p>
        </w:tc>
      </w:tr>
      <w:tr>
        <w:trPr>
          <w:trHeight w:val="216"/>
        </w:trPr>
        <w:tc>
          <w:tcPr>
            <w:tcW w:w="5940" w:type="dxa"/>
            <w:vAlign w:val="bottom"/>
          </w:tcPr>
          <w:p>
            <w:pPr>
              <w:jc w:val="right"/>
              <w:ind w:right="5490"/>
              <w:spacing w:after="0"/>
              <w:rPr>
                <w:sz w:val="20"/>
                <w:szCs w:val="20"/>
                <w:color w:val="auto"/>
              </w:rPr>
            </w:pPr>
            <w:r>
              <w:rPr>
                <w:rFonts w:ascii="Arial" w:cs="Arial" w:eastAsia="Arial" w:hAnsi="Arial"/>
                <w:sz w:val="18"/>
                <w:szCs w:val="18"/>
                <w:color w:val="auto"/>
                <w:w w:val="84"/>
              </w:rPr>
              <w:t>2025</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8,734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6,608</w:t>
            </w:r>
          </w:p>
        </w:tc>
      </w:tr>
      <w:tr>
        <w:trPr>
          <w:trHeight w:val="216"/>
        </w:trPr>
        <w:tc>
          <w:tcPr>
            <w:tcW w:w="5940" w:type="dxa"/>
            <w:vAlign w:val="bottom"/>
            <w:shd w:val="clear" w:color="auto" w:fill="CCEEFF"/>
          </w:tcPr>
          <w:p>
            <w:pPr>
              <w:jc w:val="right"/>
              <w:ind w:right="5490"/>
              <w:spacing w:after="0"/>
              <w:rPr>
                <w:sz w:val="20"/>
                <w:szCs w:val="20"/>
                <w:color w:val="auto"/>
              </w:rPr>
            </w:pPr>
            <w:r>
              <w:rPr>
                <w:rFonts w:ascii="Arial" w:cs="Arial" w:eastAsia="Arial" w:hAnsi="Arial"/>
                <w:sz w:val="18"/>
                <w:szCs w:val="18"/>
                <w:color w:val="auto"/>
                <w:w w:val="84"/>
              </w:rPr>
              <w:t>2026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27,000</w:t>
            </w:r>
          </w:p>
        </w:tc>
        <w:tc>
          <w:tcPr>
            <w:tcW w:w="4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Legacy Rigetti was authorized to issue 73,389,000 shares of Series C preferred stock and 62,537,577 shares of Series C-1 Preferred Stock with a par value of $0.000001 per share for each class of preferred Stock. Legacy Rigetti’s board of directors is authorized to fix the voting rights, if any, designations, powers, preferences, the relative, participating, option or other special rights and any qualifications, limitations and restrictions thereof, applicable to the shares of each series. Immediately prior to the effective time of the Business Combination (Note 3), all Legacy Rigetti preferred stock outstanding converted into shares of Common Stock of Legacy Rigetti (the shares in this Note do not factor in the exchange ratio).</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As discussed in Note 3, on March 2, 2022, the Company consummated a Business Combination which has been accounted for as a reverse capitalization. Pursuant to the certificate of incorporation as amended on March 2, 2022, the Company is authorized to issue 1,000,000,000 shares of Common Stock and 10,000,000 shares of Preferred Stock. The holders of shares of Common Stock are entitled to one vote for each share of Common Stock held. The Preferred Stock is non-voting. No shares of Preferred Stock were issued and outstanding as of September 30, 2022.</w:t>
      </w:r>
    </w:p>
    <w:p>
      <w:pPr>
        <w:spacing w:after="0" w:line="15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and after payment to the holders of shares of Preferred Stock of their liquidation preferences, the holders of the Common Stock are entitled to the entire remaining assets of the Company on a pro rata basis.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320" w:top="486" w:right="5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As a result of the Business Combination (see Note 3), the Company has retroactively adjusted the warrants and stock-based awards outstanding prior to March 2, 2022 to give effect to the Exchange Ratio used to determine the number of shares of Common Stock into which they were converted.</w:t>
      </w:r>
    </w:p>
    <w:p>
      <w:pPr>
        <w:spacing w:after="0" w:line="12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As of September 30, 2022, the Company has reserved the following shares of Common Stock for issuance upon the conversion, exercise or vesting of the underlying instruments: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Common</w:t>
            </w:r>
          </w:p>
        </w:tc>
      </w:tr>
      <w:tr>
        <w:trPr>
          <w:trHeight w:val="171"/>
        </w:trPr>
        <w:tc>
          <w:tcPr>
            <w:tcW w:w="656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Stock</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17,266,056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Stock-Based Awards—RSUs Outstanding</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14,797,277</w:t>
            </w:r>
          </w:p>
        </w:tc>
        <w:tc>
          <w:tcPr>
            <w:tcW w:w="4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Stock-Based Awards—Options Outstanding</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8,307,065</w:t>
            </w:r>
          </w:p>
        </w:tc>
        <w:tc>
          <w:tcPr>
            <w:tcW w:w="4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40,370,398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The Company entered into a Common Stock Purchase Agreement with B. Riley Principal Capital II, LLC (“B. Riley”) on August 11, 2022 pursuant to which the Company may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Common Stock Purchase Agreement). The Company did not issue or sell any shares to B. Riley under the Common Stock Purchase Agreement during the three and nine months ended September 30, 2022 other than the 171,008 shares issued as consideration for entering into the purchase agreement.</w:t>
      </w:r>
    </w:p>
    <w:p>
      <w:pPr>
        <w:spacing w:after="0" w:line="166"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 consideration of the parties entering into the foregoing agreement, the parties also entered into a Registration Rights Agreement on August 11, 2022 pursuant to which the Company provides B. Riley with registration rights with respect to such Common Stock and pursuant to which the Company has filed a registration statement covering the resale of such Common Stock.</w:t>
      </w:r>
    </w:p>
    <w:p>
      <w:pPr>
        <w:spacing w:after="0" w:line="184"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Upon the initial satisfaction of the conditions to B. Riley’s purchase obligation set forth in the Purchase Agreement, on September 14, 2022 (the “Commencement Date”) the Company will have the right, but not the obligation, from time to time at the Company’s sole discretion over the 24-month period from and after the Commencement, to direct B. Riley to purchase a specified amount of shares not to exceed the lesser of (i) 1,000,000 shares of Common Stock and (ii) 20% of the total aggregate number (or volume) of shares of Common Stock traded on The Nasdaq Capital Market (“Nasdaq”) during the applicable period beginning at the official open (or “commencement”) of the regular trading session on the applicable purchase date for such purchase and ending at such time that the total aggregate volume of shares of common stock traded on Nasdaq reaches the Purchase Share Volume Maximum (as defined herein) for such purchase (as applicable) (such period for each purchase, the “Purchase Valuation Period”). “Purchase Share Volume Maximum” means, with respect to a purchase made pursuant to the Purchase Agreement, the number of shares of Common Stock equal to the quotient obtained by dividing the (i) total number of shares of Common Stock to be purchased by B. Riley in the relevant purchase (the “Purchase Share Amount”), by (ii) 0.20 (subject to certain adjustments).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WARRANTS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a result of the Business Combination (see Note 3), the Company has retroactively adjusted the Rigetti warrants outstanding and corresponding strike price prior to March 2, 2022 to give effect to the Exchange Ratio used to determine the number of shares of Common Stock into which they were converted.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Liability Classified Warrants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Warrants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written notice of redemption is provided to the holders, and (ii) the last reported sale price of the Company’s Common Stock equals or exceeds $18.00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As of September 30, 2022, there were 8,625,000 Public Warrants issued and outstanding (Refer to Note 12 for fair value measurement).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Warrants</w:t>
      </w:r>
    </w:p>
    <w:p>
      <w:pPr>
        <w:spacing w:after="0" w:line="117"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The Private Warrants may not be redeemed by the Company so long as the Private Warrants are held by the initial purchasers, or such purchasers’ permitted transferees. The Private Warrants have terms and provisions identical to those of the Public Warrants, including as to exercise price, exercisability and exercise period, except if the Private Warrants are held by someone other than the initial purchasers’ permitted transferees, then the Private Warrants are redeemable by the Company and exercisable by such holders on the same basis as the Public Warrants.</w:t>
      </w:r>
    </w:p>
    <w:p>
      <w:pPr>
        <w:spacing w:after="0" w:line="15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fair value of the Private Warrant was measured using the Black Scholes model approach. Significant inputs into the respective models at March 2, 2022 (the initial recognition) and September 30, 2022 are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Valuation Assumptions</w:t>
            </w:r>
          </w:p>
        </w:tc>
        <w:tc>
          <w:tcPr>
            <w:tcW w:w="660" w:type="dxa"/>
            <w:vAlign w:val="bottom"/>
          </w:tcPr>
          <w:p>
            <w:pPr>
              <w:spacing w:after="0"/>
              <w:rPr>
                <w:sz w:val="14"/>
                <w:szCs w:val="14"/>
                <w:color w:val="auto"/>
              </w:rPr>
            </w:pPr>
          </w:p>
        </w:tc>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Initial Recognition on March 2,</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71"/>
        </w:trPr>
        <w:tc>
          <w:tcPr>
            <w:tcW w:w="32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53"/>
              <w:spacing w:after="0"/>
              <w:rPr>
                <w:sz w:val="20"/>
                <w:szCs w:val="20"/>
                <w:color w:val="auto"/>
              </w:rPr>
            </w:pPr>
            <w:r>
              <w:rPr>
                <w:rFonts w:ascii="Arial" w:cs="Arial" w:eastAsia="Arial" w:hAnsi="Arial"/>
                <w:sz w:val="14"/>
                <w:szCs w:val="14"/>
                <w:b w:val="1"/>
                <w:bCs w:val="1"/>
                <w:color w:val="auto"/>
              </w:rPr>
              <w:t>2022</w:t>
            </w:r>
          </w:p>
        </w:tc>
        <w:tc>
          <w:tcPr>
            <w:tcW w:w="1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6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Strike Price</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rPr>
              <w:t>11.50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(annual)(1)</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30.66%</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Risk-free rate</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gridSpan w:val="2"/>
          </w:tcPr>
          <w:p>
            <w:pPr>
              <w:jc w:val="right"/>
              <w:ind w:right="980"/>
              <w:spacing w:after="0"/>
              <w:rPr>
                <w:sz w:val="20"/>
                <w:szCs w:val="20"/>
                <w:color w:val="auto"/>
              </w:rPr>
            </w:pPr>
            <w:r>
              <w:rPr>
                <w:rFonts w:ascii="Arial" w:cs="Arial" w:eastAsia="Arial" w:hAnsi="Arial"/>
                <w:sz w:val="18"/>
                <w:szCs w:val="18"/>
                <w:color w:val="auto"/>
              </w:rPr>
              <w:t>1.74%</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Estimated time to expiration (years)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Dividend yield</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gridSpan w:val="2"/>
          </w:tcPr>
          <w:p>
            <w:pPr>
              <w:jc w:val="right"/>
              <w:ind w:right="98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240" w:hanging="424"/>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revised and discussed in Note 1 — Restatement of Condensed Consolidated Financial Statements and Immaterial Correction of Prior-Period Errors</w:t>
      </w:r>
    </w:p>
    <w:p>
      <w:pPr>
        <w:spacing w:after="0" w:line="6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August 18, 2022, the Private Placement Warrants were transferred from the initial purchasers to permitted transferees of the SPAC Sponsor by means of an internal partnership distribution.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Trinity Warrants</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Trinity Warrants were issued in March of 2021 for warrants to purchase 313,252 shares of Common Stock, and additional warrants to purchase 469,877 shares of Common Stock were issued in connection with the Tranche B Amendment, see Note 7. Therefore, there were total of 783,129 Common Stock warrants issued in conjunction with the Loan and Security Agreement in 2021. The Company utilized Black-Scholes model to determine grant fair value of the warrants which was approximately $2.7 million which was recorded as part of the Debt Issuance Cost. The outstanding Common Stock warrants were recognized as liabilities on the consolidated balance sheet and were measured at their inception date fair value using the Black-Scholes model and were subsequently remeasured at each reporting period with change recorded as a component of other income in the Company’s consolidated statements of operations.</w:t>
      </w:r>
    </w:p>
    <w:p>
      <w:pPr>
        <w:spacing w:after="0" w:line="195"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The warrant liability balance was $6.4 million as of June 2, 2022, at which time all outstanding Trinity Warrants of 783,129 were exercised into shares of the Company’s Common Stock and the warrant liability reclassified to equity upon such exercise. The fair value of the warrant liability of</w:t>
      </w:r>
    </w:p>
    <w:p>
      <w:pPr>
        <w:ind w:left="120" w:right="20"/>
        <w:spacing w:after="0" w:line="255" w:lineRule="auto"/>
        <w:rPr>
          <w:sz w:val="20"/>
          <w:szCs w:val="20"/>
          <w:color w:val="auto"/>
        </w:rPr>
      </w:pPr>
      <w:r>
        <w:rPr>
          <w:rFonts w:ascii="Arial" w:cs="Arial" w:eastAsia="Arial" w:hAnsi="Arial"/>
          <w:sz w:val="18"/>
          <w:szCs w:val="18"/>
          <w:color w:val="auto"/>
        </w:rPr>
        <w:t>$6.4 million was reclassified to equity upon such exercise. The Company recorded a total loss of $0 and $2.0 million to Change in Fair Value of Warrant Liability as a component of other income in the condensed consolidated statements of operations for the three and nine months ended September 30, 2022, respectively, after applying the revised valuation inputs as described in Note 1.</w:t>
      </w:r>
    </w:p>
    <w:p>
      <w:pPr>
        <w:spacing w:after="0" w:line="19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warrant issued in conjunction with the Loan and Security Agreement was classified as a liability under ASC 480, “Distinguishing Liabilities from Equity”. See Deferred Financing Cost disclosure at Note 2 Summary of Significant Accounting Policies.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fair value of the Trinity Warrant liabilities presented above were measured using the Black Scholes model approach. Significant inputs into the respective models at June 2, 2022, the exercise date of the Trinity Warrants, are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Valuation Assumption—</w:t>
            </w: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1"/>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Common Stock Warrants</w:t>
            </w:r>
          </w:p>
        </w:tc>
        <w:tc>
          <w:tcPr>
            <w:tcW w:w="29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June 2, 2022</w:t>
            </w:r>
          </w:p>
        </w:tc>
      </w:tr>
      <w:tr>
        <w:trPr>
          <w:trHeight w:val="203"/>
        </w:trPr>
        <w:tc>
          <w:tcPr>
            <w:tcW w:w="4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Stock price</w:t>
            </w:r>
          </w:p>
        </w:tc>
        <w:tc>
          <w:tcPr>
            <w:tcW w:w="1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8.23</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21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0.27</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105.10%</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Risk-free rate</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time to expiration (years)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Classified Warrants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C Preferred Stock Financing Warrants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conjunction with the Series C Preferred Stock Financing (see Note 8), the Company issued a total of 5,248,183 Warrants to purchase Class A Common Stock to the Series C investors. The Warrants have a $0.01 exercise price per share and have a 10-year term to expiration. The Warrants can be exercised for cash or on a cashless basis. The Company determined that the Warrants met the requirements for equity classification under ASC 480 and ASC 815. The Company estimated the fair value of the Warrants using the Black-Scholes model and allocated approximately $1.2 million in proceeds from the Series C Preferred Stock to the value of the Warrants on a relative fair value basis, which was recorded to additional paid in capital.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Customer Warrants</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In February 2020, the Company issued a Warrant to purchase 2,680,607 shares of Class A Common Stock to a customer in conjunction with a revenue arrangement (the “Customer Warrant”). The Customer Warrants have a $1.152 exercise price per share and have a 10-year term to expiration. The Warrants vest upon the achievement of certain performance conditions (i.e., sales milestones) defined in the agreement, and upon a change of control, either 50% or 100% of the then unvested Customer Warrants will become fully vested, dependent on the acquiring party in the change of control transaction. The Warrants can be exercised for cash or on a cashless basis.</w:t>
      </w:r>
    </w:p>
    <w:p>
      <w:pPr>
        <w:spacing w:after="0" w:line="188" w:lineRule="exact"/>
        <w:rPr>
          <w:sz w:val="20"/>
          <w:szCs w:val="20"/>
          <w:color w:val="auto"/>
        </w:rPr>
      </w:pPr>
    </w:p>
    <w:p>
      <w:pPr>
        <w:ind w:left="120" w:right="240"/>
        <w:spacing w:after="0" w:line="272" w:lineRule="auto"/>
        <w:rPr>
          <w:sz w:val="20"/>
          <w:szCs w:val="20"/>
          <w:color w:val="auto"/>
        </w:rPr>
      </w:pPr>
      <w:r>
        <w:rPr>
          <w:rFonts w:ascii="Arial" w:cs="Arial" w:eastAsia="Arial" w:hAnsi="Arial"/>
          <w:sz w:val="17"/>
          <w:szCs w:val="17"/>
          <w:color w:val="auto"/>
        </w:rPr>
        <w:t>The Company followed the guidance in ASC 718 and ASC 606 for the accounting of non-cash consideration payable to a customer. The Company determined that the Customer Warrants met the requirements for equity classification under ASC 718 and measured the Customer Warrants based on their grant date fair value, estimated to be $0.2 million. The Company recorded this amount as a deferred asset and additional paid in capital as of the issuance date, as the Company believes it is probable that all performance conditions (i.e., sales milestones) in the Customer Warrants will be met. During the three and nine months ended September 30, 2022, the Company recorded a reduction of revenue related to the arrangement with the customer totaling $2.5 thousand and $6.3 thousand, respectively, as of September 30, 2022, the deferred asset balance outstanding is $88.8 thousand, which will be recognized as a reduction in revenue in future periods.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vesting status of the Customer Warrant is as follows at September 30, 2022 and December 31, 2021:</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400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Customer warrants</w:t>
            </w:r>
          </w:p>
        </w:tc>
        <w:tc>
          <w:tcPr>
            <w:tcW w:w="3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1,340,297</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1,072,237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Unvested Customer warrants</w:t>
            </w:r>
          </w:p>
        </w:tc>
        <w:tc>
          <w:tcPr>
            <w:tcW w:w="3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1,340,310</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1,608,359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2,680,607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2,680,596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120" w:type="dxa"/>
            <w:vAlign w:val="bottom"/>
            <w:vMerge w:val="restart"/>
          </w:tcPr>
          <w:p>
            <w:pPr>
              <w:jc w:val="right"/>
              <w:ind w:right="1856"/>
              <w:spacing w:after="0"/>
              <w:rPr>
                <w:sz w:val="20"/>
                <w:szCs w:val="20"/>
                <w:color w:val="auto"/>
              </w:rPr>
            </w:pPr>
            <w:r>
              <w:rPr>
                <w:rFonts w:ascii="Arial" w:cs="Arial" w:eastAsia="Arial" w:hAnsi="Arial"/>
                <w:sz w:val="18"/>
                <w:szCs w:val="18"/>
                <w:color w:val="auto"/>
              </w:rPr>
              <w:t>33</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FORWARD WARRANT AGREEMENT</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In connection with the execution of the Merger Agreement in October 2021 (See Note 1), Rigetti entered into a warrant subscription agreement (“Forward Warrant Agreement”) with a strategic partner, Ampere Computing LLC (“Ampere”) for the purchase of a warrant for an aggregate purchase price (including amounts from exercise) of $10.0 million. The Forward Warrant Agreement provides for the issuance of a warrant for the purchase of an aggregate of 1,000,000 shares of Common Stock at an exercise price of $0.0001. The purchase of the warrant was conditioned upon, among other things, the consummation of the Business Combination and the entry into a collaboration agreement between Rigetti and Ampere. The parties entered into the collaboration agreement in January 2022. Ampere was required to pay $5.0 million to Rigetti no later than the later of (i) the Closing and (ii) June 30, 2022.</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June 30, 2022, pursuant to the Warrant Subscription Agreement, the Company issued the warrant to Ampere upon receipt of an aggregate of</w:t>
      </w:r>
    </w:p>
    <w:p>
      <w:pPr>
        <w:spacing w:after="0" w:line="3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$5.0 million (including the exercise price), and upon such payment and issuance, 500,000 shares of the Company’s Common Stock vested under the warrant and were immediately exercised by Ampere pursuant to the terms of the warrant. Ampere is required to pay an additional $5.0 million to Rigetti no later than the closing date of the listing of Ampere’s capital stock, provided that if the listing has not occurred by the second anniversary of the warrant subscription agreement, Ampere is not obligated to make the additional payment and the Company is not obligated to issue the warrants. The warrant subscription agreement further provides that the Company will use commercially reasonable efforts to file a registration statement to register the resale of the shares issued or issuable pursuant to the warrant and upon such payment the warrant will vest and be exercisable by Ampere with respect to 500,000 shares of Common Stock pursuant to the terms of the warrant.</w:t>
      </w:r>
    </w:p>
    <w:p>
      <w:pPr>
        <w:spacing w:after="0" w:line="180"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Company evaluated the Forward Warrant Agreement as a derivative in conjunction with the guidance of ASC 480, “Distinguishing Liabilities from Equity”. The Company calculated the fair value of the Forward Warrant Agreement by using the Forward Contract Pricing methodology at inception and at the end of September 30, 2022. The fair value of the Forward Warrant Agreement was estimated based on the following key inputs and assumptions 1) Assumed holding period 2) Related risk-free rate and 3) Likelihood of the outcome of the various contingencies outlined below. Based on these inputs and assumption, the Company calculated the fair value of the Forward Warrant Agreement to be a $1.9 million derivative asset and a ($0.2 million) derivative liability at September 30, 2022 and December 31, 2021, respectively. The Company has included the derivative asset as a forward contract asset and the derivative liability separately in other liabilities (current) on the balance sheet line in the accompanying consolidated balance sheets as of September 30, 2022 and December 31, 2021, respectively. The change in fair value is recorded as part of the general and administrative operating activities in the Company’s condensed consolidated statements of operations. The following table represents key valuation assumptions as of the quarter ended September 30, 2022.</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Key Valuation Assumptions</w:t>
            </w: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period (in years)</w:t>
            </w:r>
          </w:p>
        </w:tc>
        <w:tc>
          <w:tcPr>
            <w:tcW w:w="2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258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the contingency occurrence</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Underlying value per share</w:t>
            </w:r>
          </w:p>
        </w:tc>
        <w:tc>
          <w:tcPr>
            <w:tcW w:w="2580" w:type="dxa"/>
            <w:vAlign w:val="bottom"/>
          </w:tcPr>
          <w:p>
            <w:pPr>
              <w:jc w:val="right"/>
              <w:ind w:right="110"/>
              <w:spacing w:after="0"/>
              <w:rPr>
                <w:sz w:val="20"/>
                <w:szCs w:val="20"/>
                <w:color w:val="auto"/>
              </w:rPr>
            </w:pPr>
            <w:r>
              <w:rPr>
                <w:rFonts w:ascii="Arial" w:cs="Arial" w:eastAsia="Arial" w:hAnsi="Arial"/>
                <w:sz w:val="18"/>
                <w:szCs w:val="18"/>
                <w:color w:val="auto"/>
              </w:rPr>
              <w:t>$ 1.88</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Company reports all financial assets and liabilities and nonfinancial assets and liabilities that are recognized or disclosed at fair value in the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Level 1—Inputs are quoted prices (unadjusted) in active markets for identical assets or liabilities that the Company has the ability to access at the measurement date.</w:t>
      </w:r>
    </w:p>
    <w:p>
      <w:pPr>
        <w:spacing w:after="0" w:line="170"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3—Inputs are unobservable inputs for the asset or liability.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86"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fair value measurements of financial assets and liabilities that are measured at fair value at September 30, 2022 and December 31, 2021 are as follows:</w:t>
      </w:r>
    </w:p>
    <w:p>
      <w:pPr>
        <w:sectPr>
          <w:pgSz w:w="11900" w:h="16838" w:orient="portrait"/>
          <w:cols w:equalWidth="0" w:num="1">
            <w:col w:w="11120"/>
          </w:cols>
          <w:pgMar w:left="320" w:top="48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Cash Equivalents: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Money Market Funds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Short-term investments: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United States Treasury Securities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Commercial Paper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Forward Warrant Agreement</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Total Assets</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Derivative warrant liability-Private Warrants</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Derivative warrant liability-Public Warrants</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Earn-out Liability</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Derivative warrant liability—Trinity Warrants</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Forward warrant agreement</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September 30,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Level 2</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Level 3</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610"/>
        </w:trPr>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32,985</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41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57,727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90,712</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29,459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1,930</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2,181</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2,995</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1,865</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5,176</w:t>
            </w:r>
          </w:p>
        </w:tc>
      </w:tr>
      <w:tr>
        <w:trPr>
          <w:trHeight w:val="398"/>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2</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3</w:t>
            </w: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8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4,355</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-3042285</wp:posOffset>
            </wp:positionV>
            <wp:extent cx="587184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-2767965</wp:posOffset>
            </wp:positionV>
            <wp:extent cx="587184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-2493645</wp:posOffset>
            </wp:positionV>
            <wp:extent cx="587184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-2219325</wp:posOffset>
            </wp:positionV>
            <wp:extent cx="587184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-1928495</wp:posOffset>
            </wp:positionV>
            <wp:extent cx="587184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-1619250</wp:posOffset>
            </wp:positionV>
            <wp:extent cx="587184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-1344930</wp:posOffset>
            </wp:positionV>
            <wp:extent cx="587184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-573405</wp:posOffset>
            </wp:positionV>
            <wp:extent cx="587184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-299720</wp:posOffset>
            </wp:positionV>
            <wp:extent cx="587184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4340"/>
          </w:cols>
          <w:pgMar w:left="320" w:top="486" w:right="459" w:bottom="1440" w:gutter="0" w:footer="0" w:header="0"/>
          <w:type w:val="continuous"/>
        </w:sectPr>
      </w:pPr>
    </w:p>
    <w:p>
      <w:pPr>
        <w:spacing w:after="0" w:line="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As of September 30, 2022, the Company has recorded the following financial instruments subject to fair value measurements: 1) Derivative warrant liabilities—Public Warrants liability and Private Warrants, 2) Forward Warrant Agreement, and 3) Earn-out liability.</w:t>
      </w:r>
    </w:p>
    <w:p>
      <w:pPr>
        <w:spacing w:after="0" w:line="170"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fair value of the Public Warrants has been measured based on the observable listed prices for such warrants, a Level 1 measurement. The Company’s money market funds and U.S. Treasury securities are classified within Level I due to the highly liquid nature of these assets with quoted prices in active markets. The investments in available-for-sale securities (i.e., commercial paper and corporate debt securities) and corporate debt issued by the Company are classified within Level II. The fair value of the Company’s Level II financial assets and liabilities is determined by using inputs based quoted market prices for similar instruments. All other financial instruments are classified as Level 3 liabilities as they all include unobservable inputs.</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Private Warrants were initially measured at fair value using a Black Scholes model. The Company estimated the fair value of the Forward Warrant Agreement using a forward analysis with unobservable inputs which included selected risk-free rate and probability outcomes. The Company has further discussed the key aspects of the fair value measurements described above in Notes 10 and 11 to the financial statements.</w:t>
      </w:r>
    </w:p>
    <w:p>
      <w:pPr>
        <w:spacing w:after="0" w:line="165"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The aggregate fair value of the Sponsor Vesting Shares on the Closing date was estimated using a Monte Carlo simulation model. The Company has further discussed the key aspect of the valuation inputs in Note 2 significant accounting policy for Sponsor Earn-Out Liability.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As of December 31, 2021, the Company recorded a derivative warrant liability – Trinity Warrants which was fair valued based on a Black-Scholes option model with unobservable inputs which included volatility. The Company estimates the volatility of its ordinary share warrants based on implied volatility from the Company’s traded warrants and from historical volatility of select peer company’s ordinary shares that matches the expected remaining life of the warrants. On June 2, 2022, all outstanding Trinity Warrants were exercised into shares of the Company’s Common Stock.</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There have been no changes in fair value measurement techniques (other than the change in valuation assumptions described in Note 1) during the three and nine months ended September 30, 2022. There were no transfers between Level 1 or Level 2, or transfers in or out of Level 3 of the fair value hierarchy during the three and nine months ended September 30, 2022.</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 summary of the changes in the fair value of the Company’s Level 3 financial instruments as of September 30, 2022 and December 31, 2021 are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Derivative warrant</w:t>
            </w:r>
          </w:p>
        </w:tc>
        <w:tc>
          <w:tcPr>
            <w:tcW w:w="28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Derivative warrant</w:t>
            </w:r>
          </w:p>
        </w:tc>
        <w:tc>
          <w:tcPr>
            <w:tcW w:w="1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Forward Warrant</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Earn-out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liability-Trinity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6"/>
              </w:rPr>
              <w:t>liability-Private</w:t>
            </w:r>
          </w:p>
        </w:tc>
        <w:tc>
          <w:tcPr>
            <w:tcW w:w="176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5"/>
              </w:rPr>
              <w:t>Warrants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Warrants</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w:t>
            </w:r>
          </w:p>
        </w:tc>
        <w:tc>
          <w:tcPr>
            <w:tcW w:w="64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2021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4,355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Initial measurement (as restated and discussed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in Note 1) on March 2, 2022 upon Business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Combination (Note 3)(1)</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9,612</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(7,431)</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(5,465)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(17,418)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Extinguishment due to exercise of the</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(6,370)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Balance—September 30, 2022</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2,181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(1,930)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460" w:hanging="424"/>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discussion on the restatement adjustments, see Note 1 — Restatement of Condensed Consolidated Financial Statements and Immaterial Correction of Prior-Period Errors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EQUITY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In 2013, the Company adopted the 2013 Plan which provides for the grant of qualified incentive stock options (“ISO”) and nonqualified stock options (“NSO”), restricted stock, restricted stock units (“RSU”) or other awards to the Company’s employees, officers, directors, advisors, and outside consultants. After the Closing Date and consummation of the Business Combination effective March 2, 2022, no additional awards were issued under the 2013 Plan. Awards outstanding under the 2013 Plan will continue to be governed by such plan; however, the Company will not grant any further awards under the 2013 Plan.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Equity Incentive Plan</w:t>
      </w:r>
    </w:p>
    <w:p>
      <w:pPr>
        <w:spacing w:after="0" w:line="117"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In connection with the Business Combination (Note 3), the shareholders approved the Rigetti Computing, Inc. 2022 Equity Incentive Plan (the “2022 Plan”) in February, 2022, which became effective immediately upon the Closing Date. The 2022 Plan provides for the grant of ISOs, NSOs, stock appreciation rights, restricted stock awards (“RSA”), restricted stock unit awards, performance awards and other forms of awards to employees, directors, and consultants, including employees and consultants of Company’s affiliates. The aggregate number of shares of Common Stock initially reserved for issuance under the 2022 Plan was 18,332,215 shares. As of September 30, 2022, 6,344,596 shares were available for future issuance under the 2022 Plan. The number of shares reserved for issuance under the 2022 Plan will automatically increase on January 1st of each year for a period of nine years commencing on January 1, 2023 and ending on (and including) January 1, 2032, in an amount equal to 5% of the Common Stock of all classes outstanding on December 31 of the preceding year; provided, however, that the board of directors of the Company may act prior to January 1st of a given year to provide that the increase for such year will be a lesser number of shares of Common Stock</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86" w:right="5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activity related to stock option is summarized as below (in thousands, except for share and per share data):</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Weighted-</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7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89"/>
              </w:rPr>
              <w:t>Weighted-Average</w:t>
            </w: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Contractual Life</w:t>
            </w:r>
          </w:p>
        </w:tc>
        <w:tc>
          <w:tcPr>
            <w:tcW w:w="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Exercise Price</w:t>
            </w: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11,468,275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46,839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(2,479,297)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0.27</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Forfeited and expired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(681,913)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0.27</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Outstanding—September 30, 2022</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8,307,065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0.36</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12,624</w:t>
            </w:r>
          </w:p>
        </w:tc>
        <w:tc>
          <w:tcPr>
            <w:tcW w:w="0" w:type="dxa"/>
            <w:vAlign w:val="bottom"/>
          </w:tcPr>
          <w:p>
            <w:pPr>
              <w:spacing w:after="0"/>
              <w:rPr>
                <w:sz w:val="1"/>
                <w:szCs w:val="1"/>
                <w:color w:val="auto"/>
              </w:rPr>
            </w:pPr>
          </w:p>
        </w:tc>
      </w:tr>
      <w:tr>
        <w:trPr>
          <w:trHeight w:val="224"/>
        </w:trPr>
        <w:tc>
          <w:tcPr>
            <w:tcW w:w="4700" w:type="dxa"/>
            <w:vAlign w:val="bottom"/>
            <w:gridSpan w:val="2"/>
          </w:tcPr>
          <w:p>
            <w:pPr>
              <w:spacing w:after="0"/>
              <w:rPr>
                <w:sz w:val="20"/>
                <w:szCs w:val="20"/>
                <w:color w:val="auto"/>
              </w:rPr>
            </w:pPr>
            <w:r>
              <w:rPr>
                <w:rFonts w:ascii="Arial" w:cs="Arial" w:eastAsia="Arial" w:hAnsi="Arial"/>
                <w:sz w:val="18"/>
                <w:szCs w:val="18"/>
                <w:color w:val="auto"/>
              </w:rPr>
              <w:t>Exercisable—September 30, 2022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5,329,686</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0.40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weighted-average grant date fair value of options granted during the nine months ended September 30, 2021 was $0.09 per share. No new option grants were issued during the nine months ended September 30, 2022. The total intrinsic value of options exercised during the nine months ended September 30, 2022 and September 30, 2021 is $9.8 million and $3.9 million, respectively.</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As of September 30, 2022, there was $1.6 million of unrecognized compensation cost related to non-vested stock options granted under the 2013 Plan, which is expected to be recognized over a weighted-average period of approximately 1.44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activity related to RSUs is summarized as below:</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54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RSUs</w:t>
            </w:r>
          </w:p>
        </w:tc>
        <w:tc>
          <w:tcPr>
            <w:tcW w:w="1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5,388,455</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15,933,249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(5,437,945)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(1,086,482)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14,797,277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80"/>
        <w:spacing w:after="0" w:line="263" w:lineRule="auto"/>
        <w:rPr>
          <w:sz w:val="20"/>
          <w:szCs w:val="20"/>
          <w:color w:val="auto"/>
        </w:rPr>
      </w:pPr>
      <w:r>
        <w:rPr>
          <w:rFonts w:ascii="Arial" w:cs="Arial" w:eastAsia="Arial" w:hAnsi="Arial"/>
          <w:sz w:val="18"/>
          <w:szCs w:val="18"/>
          <w:color w:val="auto"/>
        </w:rPr>
        <w:t>On March 2, 2022, the performance condition of all outstanding RSUs was met due to the closing of the Business Combination. As a result, the Company recorded a cumulative catch-up compensation expense for the vesting period that has been satisfied as of March 2, 2022 and continues amortizing compensation expenses for unvested RSUs over their remaining vesting period.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fair value of the RSUs vested during the nine months ending September 30, 2022 and 2021 was $26.9 million and $0 respectively.</w:t>
      </w:r>
    </w:p>
    <w:p>
      <w:pPr>
        <w:spacing w:after="0" w:line="225"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Stock-based compensation expense related to RSUs granted to employees was $14.5 million and $35.8 million for the three and nine months ended September 30, 2022, respectively. Stock-based compensation expense was $0 for the three and nine months ended September 30, 2021. As of September 30, 2022, the unrecognized compensation expense related to unvested RSUs was approximately $65.8 million which is expected to be recognized over a weighted-average period of approximately 2.65 years.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During the first nine months ended September 30, 2022, 120,000 restricted stock awards (“RSAs”) were issued and vested immediately on the grant date as part of transaction bonuses in recognition of efforts in connection with the Business Combination. The total compensation expense related to RSAs was $0.6 million for the three and nine months ended September 30, 2022, respectively. The compensation expense was $0 for the three and nine months ended September 30, 2021.</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summarizes the total stock compensation expenses for the nine months and three months ended September 30, 2022:</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3 Months Ended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9 Months</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54"/>
              <w:spacing w:after="0" w:line="142" w:lineRule="exact"/>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898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25,517</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3 Months Ended</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9 Months</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54"/>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Common Stock and Options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option-pricing model that uses the assumptions noted in the table below. Expected volatility for the Company’s Common Stock was determined based on an average of the historical volatility of a peer group of similar public companies. The expected term of options granted was calculated using the simplified method, which represents the average of the contractual term of the option and the weighted-average vesting period of the option. The Company uses the simplified method because it does not have sufficient historical option exercise data to provide a reasonable basis upon which to estimate expected term. The assumed dividend yield is based upon the Company’s expectation of not paying dividends in the foreseeable future. The risk-free rate is based upon the U.S. Treasury yield curve in effect at the time of grant for the period equivalent to the expected life of the option.</w:t>
      </w:r>
    </w:p>
    <w:p>
      <w:pPr>
        <w:spacing w:after="0" w:line="17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In determining the exercise prices for options granted, the Company’s board of directors has considered the fair value of the Common Stock as of the grant date. The fair value of the Common Stock has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engineering and management team, an evaluation or benchmark of the Company’s competition, the current business climate in the marketplace, the illiquid nature of the Common Stock, arm’s-length sales of the Company’s capital stock (including redeemable convertible preferred stock), the effect of the rights and preferences of the preferred shareholders, and the prospects of a liquidity event, among others.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86" w:right="4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did not grant any stock option awards during the three and nine months ended September 30, 2022. The range of assumptions used in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Black-Scholes option-pricing model for options issued to employees during the nine months ended September 30, 2021, are as follows: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September 30, 2021</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 years</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NET LOSS PER SHARE</w:t>
      </w: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As a result of the Business Combination (see Note 3), the Company has retroactively adjusted the weighted average shares outstanding prior to March 2, 2022 to give effect to the Exchange Ratio used to determine the number of shares of Common Stock into which they were converted.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computation of basic and diluted net loss per share of Common Stock for the three and nine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2022, and 2021 (in thousands, except for share and per share data):</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2"/>
              </w:rPr>
              <w:t>Three Months Ended September 30,</w:t>
            </w:r>
          </w:p>
        </w:tc>
      </w:tr>
      <w:tr>
        <w:trPr>
          <w:trHeight w:val="142"/>
        </w:trPr>
        <w:tc>
          <w:tcPr>
            <w:tcW w:w="174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1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00" w:type="dxa"/>
            <w:vAlign w:val="bottom"/>
            <w:shd w:val="clear" w:color="auto" w:fill="CCEEFF"/>
          </w:tcPr>
          <w:p>
            <w:pPr>
              <w:spacing w:after="0"/>
              <w:rPr>
                <w:sz w:val="18"/>
                <w:szCs w:val="18"/>
                <w:color w:val="auto"/>
              </w:rPr>
            </w:pPr>
          </w:p>
        </w:tc>
      </w:tr>
      <w:tr>
        <w:trPr>
          <w:trHeight w:val="175"/>
        </w:trPr>
        <w:tc>
          <w:tcPr>
            <w:tcW w:w="3720" w:type="dxa"/>
            <w:vAlign w:val="bottom"/>
            <w:gridSpan w:val="2"/>
          </w:tcPr>
          <w:p>
            <w:pPr>
              <w:spacing w:after="0" w:line="176" w:lineRule="exact"/>
              <w:rPr>
                <w:sz w:val="20"/>
                <w:szCs w:val="20"/>
                <w:color w:val="auto"/>
              </w:rPr>
            </w:pPr>
            <w:r>
              <w:rPr>
                <w:rFonts w:ascii="Arial" w:cs="Arial" w:eastAsia="Arial" w:hAnsi="Arial"/>
                <w:sz w:val="18"/>
                <w:szCs w:val="18"/>
                <w:color w:val="auto"/>
              </w:rPr>
              <w:t>Basic and diluted shares</w:t>
            </w: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74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Weighted-average Common Stock outstanding</w:t>
            </w:r>
          </w:p>
        </w:tc>
        <w:tc>
          <w:tcPr>
            <w:tcW w:w="2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118,571,295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22,554,422</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Loss per share for Common Stock</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Basic</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(0.16)</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 Diluted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(0.16)</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r>
      <w:tr>
        <w:trPr>
          <w:trHeight w:val="377"/>
        </w:trPr>
        <w:tc>
          <w:tcPr>
            <w:tcW w:w="1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42"/>
        </w:trPr>
        <w:tc>
          <w:tcPr>
            <w:tcW w:w="174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1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(27,617)</w:t>
            </w:r>
          </w:p>
        </w:tc>
        <w:tc>
          <w:tcPr>
            <w:tcW w:w="100" w:type="dxa"/>
            <w:vAlign w:val="bottom"/>
            <w:shd w:val="clear" w:color="auto" w:fill="CCEEFF"/>
          </w:tcPr>
          <w:p>
            <w:pPr>
              <w:spacing w:after="0"/>
              <w:rPr>
                <w:sz w:val="18"/>
                <w:szCs w:val="18"/>
                <w:color w:val="auto"/>
              </w:rPr>
            </w:pPr>
          </w:p>
        </w:tc>
      </w:tr>
      <w:tr>
        <w:trPr>
          <w:trHeight w:val="175"/>
        </w:trPr>
        <w:tc>
          <w:tcPr>
            <w:tcW w:w="3720" w:type="dxa"/>
            <w:vAlign w:val="bottom"/>
            <w:gridSpan w:val="2"/>
          </w:tcPr>
          <w:p>
            <w:pPr>
              <w:spacing w:after="0" w:line="176" w:lineRule="exact"/>
              <w:rPr>
                <w:sz w:val="20"/>
                <w:szCs w:val="20"/>
                <w:color w:val="auto"/>
              </w:rPr>
            </w:pPr>
            <w:r>
              <w:rPr>
                <w:rFonts w:ascii="Arial" w:cs="Arial" w:eastAsia="Arial" w:hAnsi="Arial"/>
                <w:sz w:val="18"/>
                <w:szCs w:val="18"/>
                <w:color w:val="auto"/>
              </w:rPr>
              <w:t>Basic and diluted shares</w:t>
            </w: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74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Weighted-average Common Stock outstanding</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3"/>
              </w:rPr>
              <w:t>95,690,821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22,129,715</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Loss per share for Common Stock</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Basic</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(0.51)</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 Diluted</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(0.51)</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350"/>
        </w:trPr>
        <w:tc>
          <w:tcPr>
            <w:tcW w:w="1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40" w:type="dxa"/>
            <w:vAlign w:val="bottom"/>
          </w:tcPr>
          <w:p>
            <w:pPr>
              <w:jc w:val="right"/>
              <w:ind w:right="119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There are 3,059,273 shares of contingently issuable Common Stock pursuant to the earn-out arrangement that were not included in the computation of basic net loss per share since the contingencies for the issuance of these shares have not been met as of September 30, 2022. The weighted-average common shares outstanding for the three and nine months ended September 30, 2022 and 2021 include 2,076,116 and 2,905,130 warrants with an exercise price of $0.01 for the three and nine months ended September 30, 2022, respectively, and 5,127,836 and 5,206,096 warrants with an exercise price of $0.01 for the three and nine months ended September 30, 2021, respectively.</w:t>
      </w:r>
    </w:p>
    <w:p>
      <w:pPr>
        <w:spacing w:after="0" w:line="17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Company’s potential dilutive securities, which include stock options, restricted stock units, convertible preferred stock and warrants have been excluded from the computation of diluted net loss per share as the effect would be anti-dilutive. Therefore, the weighted average number of common shares outstanding used to calculate both basic and diluted net loss per share is the same.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excluded the following weighted average potential common shares from the computation of diluted net loss per share as of September 30, 2022 and September 30, 2021:</w:t>
      </w:r>
    </w:p>
    <w:p>
      <w:pPr>
        <w:spacing w:after="0" w:line="189"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As of</w:t>
      </w:r>
    </w:p>
    <w:p>
      <w:pPr>
        <w:jc w:val="center"/>
        <w:ind w:left="62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63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Series C-1 Preferred Stock(1)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23,218,320</w:t>
            </w: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Convertible Series C Preferred Stock (1)</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54,478,033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(1) (2)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14,444,127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2,152,279</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Stock Options (1)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8,307,065</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11,999,616</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14,797,277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3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37,548,469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91,848,248</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outstanding shares as of September 30, 2021 have been retrospectively adjusted to reflect the Exchange Ratio.</w:t>
      </w:r>
    </w:p>
    <w:p>
      <w:pPr>
        <w:spacing w:after="0" w:line="23" w:lineRule="exact"/>
        <w:rPr>
          <w:rFonts w:ascii="Arial" w:cs="Arial" w:eastAsia="Arial" w:hAnsi="Arial"/>
          <w:sz w:val="18"/>
          <w:szCs w:val="18"/>
          <w:color w:val="auto"/>
        </w:rPr>
      </w:pPr>
    </w:p>
    <w:p>
      <w:pPr>
        <w:ind w:left="540" w:right="660" w:hanging="424"/>
        <w:spacing w:after="0" w:line="26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outstanding warrants as of September 30, 2022 and September 30, 2021 does not include 1,340,310 and 1,608,359 shares, respectively, of Unvested Customer Warrants.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Company did not record income tax expense for the three and nine months ended September 30, 2022 or the three and nine months ended September 30, 2021 due to the Company’s loss position and full valuation allowance.</w:t>
      </w:r>
    </w:p>
    <w:p>
      <w:pPr>
        <w:spacing w:after="0" w:line="170"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The effective tax rate differs from the statutory rate, primarily due to the Company’s history of incurring losses, which have not been benefited, the foreign rate differential related to subsidiary earnings, and other permanent differences. Realization of deferred tax assets is dependent upon future earnings, if any, the timing and amount of which are uncertain.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86"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SEGMENTS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a summary of revenue by geography for the three and nine months ended September 30, 2022 and 2021 (in thousands):</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4"/>
              </w:rPr>
              <w:t>Three Months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218"/>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19"/>
        </w:trPr>
        <w:tc>
          <w:tcPr>
            <w:tcW w:w="5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Amount</w:t>
            </w:r>
          </w:p>
        </w:tc>
        <w:tc>
          <w:tcPr>
            <w:tcW w:w="90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Amount</w:t>
            </w:r>
          </w:p>
        </w:tc>
        <w:tc>
          <w:tcPr>
            <w:tcW w:w="46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r>
      <w:tr>
        <w:trPr>
          <w:trHeight w:val="171"/>
        </w:trPr>
        <w:tc>
          <w:tcPr>
            <w:tcW w:w="57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2,228</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2,502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United Kingdom</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417</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7"/>
        </w:trPr>
        <w:tc>
          <w:tcPr>
            <w:tcW w:w="5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100.0%</w:t>
            </w:r>
          </w:p>
        </w:tc>
      </w:tr>
      <w:tr>
        <w:trPr>
          <w:trHeight w:val="20"/>
        </w:trPr>
        <w:tc>
          <w:tcPr>
            <w:tcW w:w="5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86"/>
        </w:trPr>
        <w:tc>
          <w:tcPr>
            <w:tcW w:w="5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w w:val="96"/>
              </w:rPr>
              <w:t>Nine Months Ended September 30,</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5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218"/>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19"/>
        </w:trPr>
        <w:tc>
          <w:tcPr>
            <w:tcW w:w="5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Amount</w:t>
            </w:r>
          </w:p>
        </w:tc>
        <w:tc>
          <w:tcPr>
            <w:tcW w:w="90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Amount</w:t>
            </w:r>
          </w:p>
        </w:tc>
        <w:tc>
          <w:tcPr>
            <w:tcW w:w="46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r>
      <w:tr>
        <w:trPr>
          <w:trHeight w:val="171"/>
        </w:trPr>
        <w:tc>
          <w:tcPr>
            <w:tcW w:w="57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5,148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United Kingdom</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1,270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1,670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r>
        <w:trPr>
          <w:trHeight w:val="27"/>
        </w:trPr>
        <w:tc>
          <w:tcPr>
            <w:tcW w:w="5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100.0%</w:t>
            </w:r>
          </w:p>
        </w:tc>
      </w:tr>
      <w:tr>
        <w:trPr>
          <w:trHeight w:val="20"/>
        </w:trPr>
        <w:tc>
          <w:tcPr>
            <w:tcW w:w="5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Revenues from external customers are attributed to individual countries based on the physical location in which the services are provided or the particular customer location with whom the Company has contracted.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November 12, 2022, the board of directors of the Company accepted the resignation of Dr. Chad Rigetti, the Company’s Founder, President and Chief Executive Officer, from all positions he holds with the Company. The effective date of Dr. Rigetti’s departure from the Company is expected to be December 15, 2022. Until such departure date, Dr. Rigetti remains a Director on the Company’s board of directors and will continue as a non-executive employee of the Company for the transition period from November 12, 2022 until such departure date. The Company is conducting a search for Dr. Rigetti’s successor.</w:t>
      </w:r>
    </w:p>
    <w:p>
      <w:pPr>
        <w:spacing w:after="0" w:line="188"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On November 12, 2022, the Company’s board of directors appointed Rick Danis, the Company’s General Counsel and Corporate Secretary, to serve as Interim President and Chief Executive Officer of the Company effective as of such date until a successor to Dr. Rigetti has been appointed.</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86"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section should be read in conjunction with the unaudited condensed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and the like, and/or future tense or conditional constructions (“will,” “may,” “could,” “should,” etc.), or similar expressions, identify certain of these forward-looking statements. These forward-looking statements are subject to risks and uncertainties, including those we describe under “Risk Factors”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w:t>
      </w:r>
    </w:p>
    <w:p>
      <w:pPr>
        <w:spacing w:after="0" w:line="18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i w:val="1"/>
          <w:iCs w:val="1"/>
          <w:color w:val="auto"/>
        </w:rPr>
        <w:t>For purposes of this discussion, “Rigetti,” “the Company,” “we,” “us” or “our” refer to Rigetti Computing, Inc. and its subsidiaries unless the context otherwise requires.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121"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As discussed in Note 1, Restatement of Condensed Consolidated Financial Statements and Immaterial Correction of Prior-Period Errors, to the unaudited condensed consolidated financial statements included elsewhere in this Quarterly Report on Form 10-Q, we are restating our consolidated financial statements and related financial information for the quarters ended March 31, 2022 and June 30, 2022.</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March 2, 2022 (the “Closing Date”), we consummated the transactions contemplated by that certain Agreement and Plan of Merger dated as of October 6, 2021, as amended on December 23, 2021 and January 10, 2022 (as amended, the “Merger Agreement”), by and among Supernova Partners Acquisition Company II, Ltd., a Cayman Islands exempted company (“Supernova”), Supernova Merger Sub, Inc., a Delaware corporation and a direct wholly owned subsidiary of Supernova (the “First Merger Sub”), Supernova Romeo Merger Sub, LLC, a Delaware limited liability company and a direct wholly owned subsidiary of Supernova (the “Second Merger Sub”), and Rigetti Holdings, Inc., a Delaware corporation (“Legacy Rigetti”). As contemplated by the Merger Agreement, on March 1, 2022 Supernova was domesticated as a Delaware corporation and changed its name to “Rigetti Computing, Inc.” (the “Domestication”). On the Closing Date, (i) First Merger Sub merged with and into Legacy Rigetti, the separate corporate existence of First Merger Sub ceased and Legacy Rigetti survived as a wholly owned subsidiary of Rigetti Computing, Inc. (the “Surviving Corporation” and, such merger, the “First Merger”), and (ii) immediately following the First Merger, the Surviving Corporation merged with and into the Second Merger Sub, the separate corporate existence of the Surviving Corporation ceased and Second Merger Sub survived as a wholly owned subsidiary of Rigetti Computing, Inc. and changed its name to “Rigetti Intermediate LLC” (such merger transaction, the “Second Merger” and, together with the First Merger, the “Merger”, and, collectively with the Domestication, the “PIPE Financing” (as defined below) and the other transactions contemplated by the Merger Agreement, the “Business Combination”). The closing of the Business Combination is herein referred to as “the Closing.”</w:t>
      </w:r>
    </w:p>
    <w:p>
      <w:pPr>
        <w:spacing w:after="0" w:line="17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6"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w:t>
      </w:r>
    </w:p>
    <w:p>
      <w:pPr>
        <w:spacing w:after="0" w:line="184"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Our long-term business model centers on revenue generated from quantum computing systems made accessible via the cloud in the form of Quantum Computing as a Service (“QCaaS”) products. However, the substantial majority of our revenues is derived from development contracts, and we anticipate this to persist over at least the next several years as we work to ramp up our QCaaS business. Additionally, we are working to further develop a revenue stream and forging important customer relationships by entering into technology development contracts with various partners.</w:t>
      </w:r>
    </w:p>
    <w:p>
      <w:pPr>
        <w:spacing w:after="0" w:line="15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are a vertically integrated company. We own and operate Fab-1, a dedicated and integrated laboratory and manufacturing facility, through which we own the means of producing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been generating revenue since 2018 through partnerships with government agencies and commercial organizations; however, we have not yet generated profits. We have incurred significant operating losses since inception. Our net losses were $18.8 million and $9.8 million for the three months ended September 30, 2022 and September 30, 2021, respectively, and $48.6 million and $27.6 million for the nine months ended September 30, 2022 and September 30,2021 respectively. As we expect to continue to invest in research and development infrastructure, we expect to continue to incur additional losses for the foreseeable future in line with our long-term business strategy. As of September 30, 2022, we had an accumulated deficit of $255.8 million.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Business Combination and PIPE Financing</w:t>
      </w:r>
    </w:p>
    <w:p>
      <w:pPr>
        <w:spacing w:after="0" w:line="12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On October 6, 2021, SNII entered into the Merger Agreement by and among Supernova, First Merger Sub, Second Merger Sub, and Legacy Rigetti. On March 2, 2022, the Business Combination was consummated. While the legal acquirer in the Merger Agreement was Supernova, for financial accounting and reporting purposes under United States generally accepted accounting principles (“U.S. GAAP”), Rigetti was the accounting acquirer and the Merger was accounted for as a “reverse recapitalization.” A reverse recapitalization does not result in a new basis of accounting, and financial statements of Rigetti represent the continuation of the financial statements of Legacy Rigetti in many respects. Under this method of accounting, Supernova was treated as the “acquired” company for financial reporting purposes. For accounting purposes, Rigetti was deemed to be the accounting acquirer in the transaction and, consequently, the transaction was treated as a recapitalization of Rigetti (i.e., a capital transaction involving the issuance of stock by Supernova for the stock of Rigetti).</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a result of the Business Combination, all of the shares of Legacy Rigetti Common Stock outstanding immediately prior to the Closing (including Legacy Rigetti Common Stock resulting from the Legacy Rigetti preferred stock conversion) were converted into the right to receive an aggregate of 78,959,579 shares of our Common Stock, par value $0.0001 per share (“Common Stock”). Additionally, each issued and outstanding share of Supernova Class A and Class B Common Stock held by Supernova automatically converted to 20,209,462 shares of Common Stock (of which 3,059,273 shares are subject to vesting under certain conditions). Upon consummation of the Business Combination, the most significant change in our reported financial position and results of operations was an increase in cash of $205.0 million (as compared to Rigetti’s balance sheet at December 31, 2021), including $225.6 million of proceeds from the Business Combination and PIPE Financing net against transaction costs incurred by us of $20.65 million.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Additional direct and incremental transaction costs were also incurred by Rigetti in connection with the Business Combination. Generally, costs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(e.g., SPAC shares) are recorded as a reduction to additional paid-in capital. Costs allocated to liability-classified instruments that are subsequently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measured at fair value through earnings (e.g., certain SPAC warrants) are expensed. Rigetti’s transaction costs totaled $20.65 million, of which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$19.75 million was allocated to equity-classified instruments and recorded as a reduction to additional paid-in capital, and the remaining $0.9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was allocated to liability-classified instruments that are subsequently measured at fair value through earnings and recognized as expense in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condensed consolidated statements of operations during the nine months ended September 30, 2022.</w:t>
      </w:r>
    </w:p>
    <w:p>
      <w:pPr>
        <w:spacing w:after="0" w:line="21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As a result of the Business Combination, we became subject to the reporting requirements under the Securities Exchange Act of 1934, as amended, and listing standards of the Nasdaq Capital Market, which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86" w:right="4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Our future results of consolidated operations and financial position may not be comparable to historical results as a result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Update and Other Events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COVID-19 pandemic and impacts resulting therefrom, including with respect to macroeconomic conditions and supply related issues, continue to evolve and we intend to continue to monitor it closely.</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evolution of the virus is unpredictable and any resurgence may slow down our ability to develop our quantum computing products and related services. The COVID-19 pandemic has limited and could further limit the ability of suppliers and business partners to perform, including third-party suppliers’ ability to provide components, services and materials. We have experienced and may experience further increases in the cost of raw materials.</w:t>
      </w:r>
    </w:p>
    <w:p>
      <w:pPr>
        <w:spacing w:after="0" w:line="149"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Following the recent invasion of Ukraine by Russia, the U.S. and global financial markets experienced volatility, which has led to disruptions to trade, commerce, pricing stability, credit availability, supply chain continuity and reduced access to liquidity globally. In response to the invasion, the United States, United Kingdom and European Union,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supply chain continuity and reduced access to liquidity on acceptable terms, in both Europe and globally, and has introduced significant uncertainty into global markets.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16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During the three and nine months ended September 30, 2022, we experienced supply chain challenges, which we largely attribute to the COVID-19 pandemic and the general disruptions resulting from the ongoing conflict between Ukraine and Russia and related sanctions, as well as increases in costs of component parts, labor and raw materials, which we largely attribute to rising inflation and high demand as a result of restricted supply. We expect these increased costs to remain high as the COVID-19 pandemic, the Ukraine-Russia conflict and their respective effects persist. As global economic conditions recover from the COVID-19 pandemic, the Ukraine-Russia conflict and the related sanctions, business activity may not recover as quickly as anticipated, and it is not possible at this time to estimate the long-term impact that these and related events could have on our business, as the impact will depend on future developments, which are highly uncertain and cannot be predicted. For instance, product demand may be reduced due to an economic recession, a decrease in corporate capital expenditures, prolonged unemployment, rising inflation and interest rates, labor shortages, reduction in consumer confidence, adverse geopolitical and macroeconomic events, or any similar negative economic condition. In addition, global economic conditions have been worsening, with disruptions to, and volatility and uncertainty in, the credit and financial markets in the U.S. and worldwide resulting from the effects of COVID-19 and increases in inflation and interest rates.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 other efforts. However, like many other companies, we are taking actions to monitor our operations to account for the increases in cost of capital. Specifically, this includes efforts to enhance our operational efficiency, maximize our R&amp;D spend through strategic collaborations, and being highly selective in hiring top-tier talent.</w:t>
      </w:r>
    </w:p>
    <w:p>
      <w:pPr>
        <w:spacing w:after="0" w:line="16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Impacts of the COVID-19 pandemic, geopolitical, and macroeconomic conditions, some of which we have already experienced, include those described throughout the “Risk Factors” included in this Quarterly Report on Form 10-Q, including the risk factor titled “</w:t>
      </w:r>
      <w:r>
        <w:rPr>
          <w:rFonts w:ascii="Arial" w:cs="Arial" w:eastAsia="Arial" w:hAnsi="Arial"/>
          <w:sz w:val="17"/>
          <w:szCs w:val="17"/>
          <w:i w:val="1"/>
          <w:iCs w:val="1"/>
          <w:color w:val="auto"/>
        </w:rPr>
        <w:t>We have been, and may in the</w:t>
      </w:r>
      <w:r>
        <w:rPr>
          <w:rFonts w:ascii="Arial" w:cs="Arial" w:eastAsia="Arial" w:hAnsi="Arial"/>
          <w:sz w:val="17"/>
          <w:szCs w:val="17"/>
          <w:color w:val="auto"/>
        </w:rPr>
        <w:t xml:space="preserve"> </w:t>
      </w:r>
      <w:r>
        <w:rPr>
          <w:rFonts w:ascii="Arial" w:cs="Arial" w:eastAsia="Arial" w:hAnsi="Arial"/>
          <w:sz w:val="17"/>
          <w:szCs w:val="17"/>
          <w:i w:val="1"/>
          <w:iCs w:val="1"/>
          <w:color w:val="auto"/>
        </w:rPr>
        <w:t>future be, adversely affected by the global COVID-19 pandemic, its various strains or future pandemics” and “Unfavorable conditions in our industry or the global economy, could limit our ability to grow our business and negatively affect our results of operations.”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86"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Fiscal Year</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October 2021, our board of directors approved a change to our fiscal year-end from January 31 to December 31, effective December 31, 2021. We believe the year-end change is important and useful to our financial statement users to allow for increased comparability with our industry peers. As a result of this change, our fiscal year now begins on January 1 and ends on December 31 of each year, starting on January 1, 2022. Year-over-year quarterly financial data has been and will continue to be recast to be comparative with the new fiscal quarter ends in the new fiscal year.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generate revenue through our development contracts, as well as from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 QCaaS revenue is recognized on a ratable basis over the contract term or on a usage basis, which generally ranges from three months to two years. Revenue related to development contracts and other services is recognized as the related milestones are completed or over time, as the work required to complete these milestones is completed. Revenue related to the sale of custom quantum computing components is recognized at a point in time upon acceptance by the customer.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Cost of revenue consists primarily of all direct and indirect cost associated with providing QCaaS offerings and development contracts and other services, including employee salaries and employee related costs, including compensation, bonuses, employee taxes and benefit costs of program management and personnel associated with the delivery of goods and services to customers and sub-contract costs for work performed by third parties. Cost of revenue also includes an allocation of facility costs, depreciation and amortization directly related to providing the QCaaS offerings and development contracts and other services. We expect cost of revenue to increase as we continue to expand on our operations, enhance our service offerings and expand our customer base.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operating expenses consist of sales and marketing, general and administrative and research and development expenses.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include compensation, employee benefits, stock-based compensation, outside consultant fees, allocation of facility costs, depreciation and amortization, materials and components purchased for research and development. We expect research and development expenses to increase as we invest in the enhancement of our product offerings. We do not currently capitalize any research and development expenditures.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Sales and marketing expenses consist primarily of compensation including stock-based compensation, employee benefits of sales and marketing employees, outside consultants’ fees, travel and marketing and promotion costs. We expect selling and marketing expenses to increase as we continue to expand on our operations, enhance our service offerings, expand our customer base, and implement new marketing strategies.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General and administrative expenses include compensation, employee benefits, stock-based compensation, legal, insurance, finance administration and human resources, an allocation of facility costs (including leases), bad debt costs, professional service fees, and an allocation of other general overhead costs including depreciation and amortization to support our operations, which consist of operations other than associated with providing QCaaS offerings and development contracts and other services. We expect our general and administrative expenses to increase as we continue to grow our business. We also expect to incur additional expenses as a result of operating as a public company.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and Nine Months Ended September 30, 2022 compared to Three and Nine Months Ended September 30,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our results of operations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8"/>
              </w:rPr>
              <w:t>2022 versus 2021</w:t>
            </w:r>
          </w:p>
        </w:tc>
        <w:tc>
          <w:tcPr>
            <w:tcW w:w="200" w:type="dxa"/>
            <w:vAlign w:val="bottom"/>
          </w:tcPr>
          <w:p>
            <w:pPr>
              <w:spacing w:after="0"/>
              <w:rPr>
                <w:sz w:val="14"/>
                <w:szCs w:val="14"/>
                <w:color w:val="auto"/>
              </w:rPr>
            </w:pPr>
          </w:p>
        </w:tc>
        <w:tc>
          <w:tcPr>
            <w:tcW w:w="15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Nine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8"/>
              </w:rPr>
              <w:t>2022 versus 2021</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3"/>
              </w:rPr>
              <w:t>Change</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3"/>
              </w:rPr>
              <w:t>Change</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color w:val="auto"/>
                <w:w w:val="94"/>
              </w:rPr>
              <w:t>( In thousands)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color w:val="auto"/>
                <w:w w:val="96"/>
              </w:rPr>
              <w:t>( In thousands)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w:t>
            </w:r>
          </w:p>
        </w:tc>
        <w:tc>
          <w:tcPr>
            <w:tcW w:w="1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98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  7,042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6,818</w:t>
            </w:r>
          </w:p>
        </w:tc>
        <w:tc>
          <w:tcPr>
            <w:tcW w:w="1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Cost of revenue</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330</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74%</w:t>
            </w:r>
          </w:p>
        </w:tc>
        <w:tc>
          <w:tcPr>
            <w:tcW w:w="980" w:type="dxa"/>
            <w:vAlign w:val="bottom"/>
            <w:gridSpan w:val="3"/>
          </w:tcPr>
          <w:p>
            <w:pPr>
              <w:jc w:val="right"/>
              <w:ind w:right="128"/>
              <w:spacing w:after="0"/>
              <w:rPr>
                <w:sz w:val="20"/>
                <w:szCs w:val="20"/>
                <w:color w:val="auto"/>
              </w:rPr>
            </w:pPr>
            <w:r>
              <w:rPr>
                <w:rFonts w:ascii="Arial" w:cs="Arial" w:eastAsia="Arial" w:hAnsi="Arial"/>
                <w:sz w:val="16"/>
                <w:szCs w:val="16"/>
                <w:color w:val="auto"/>
              </w:rPr>
              <w:t>2,063</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980</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gross profit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w:t>
            </w:r>
          </w:p>
        </w:tc>
        <w:tc>
          <w:tcPr>
            <w:tcW w:w="98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4,979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17,365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9,881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132%</w:t>
            </w:r>
          </w:p>
        </w:tc>
        <w:tc>
          <w:tcPr>
            <w:tcW w:w="98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44,040</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21,915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22,125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782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1,178</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151%</w:t>
            </w:r>
          </w:p>
        </w:tc>
        <w:tc>
          <w:tcPr>
            <w:tcW w:w="980" w:type="dxa"/>
            <w:vAlign w:val="bottom"/>
            <w:gridSpan w:val="3"/>
          </w:tcPr>
          <w:p>
            <w:pPr>
              <w:jc w:val="right"/>
              <w:ind w:right="128"/>
              <w:spacing w:after="0"/>
              <w:rPr>
                <w:sz w:val="20"/>
                <w:szCs w:val="20"/>
                <w:color w:val="auto"/>
              </w:rPr>
            </w:pPr>
            <w:r>
              <w:rPr>
                <w:rFonts w:ascii="Arial" w:cs="Arial" w:eastAsia="Arial" w:hAnsi="Arial"/>
                <w:sz w:val="16"/>
                <w:szCs w:val="16"/>
                <w:color w:val="auto"/>
              </w:rPr>
              <w:t>4,922</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1,738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3,184</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14,027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10,651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w:t>
            </w:r>
          </w:p>
        </w:tc>
        <w:tc>
          <w:tcPr>
            <w:tcW w:w="98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38,371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29,763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320"/>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186%</w:t>
            </w: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line="20" w:lineRule="exact"/>
              <w:rPr>
                <w:sz w:val="1"/>
                <w:szCs w:val="1"/>
                <w:color w:val="auto"/>
              </w:rPr>
            </w:pPr>
          </w:p>
        </w:tc>
      </w:tr>
      <w:tr>
        <w:trPr>
          <w:trHeight w:val="206"/>
        </w:trPr>
        <w:tc>
          <w:tcPr>
            <w:tcW w:w="4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33,352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11,642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21,710</w:t>
            </w:r>
          </w:p>
        </w:tc>
        <w:tc>
          <w:tcPr>
            <w:tcW w:w="1020" w:type="dxa"/>
            <w:vAlign w:val="bottom"/>
            <w:gridSpan w:val="2"/>
            <w:vMerge w:val="continue"/>
          </w:tcPr>
          <w:p>
            <w:pPr>
              <w:spacing w:after="0"/>
              <w:rPr>
                <w:sz w:val="17"/>
                <w:szCs w:val="17"/>
                <w:color w:val="auto"/>
              </w:rPr>
            </w:pPr>
          </w:p>
        </w:tc>
        <w:tc>
          <w:tcPr>
            <w:tcW w:w="980" w:type="dxa"/>
            <w:vAlign w:val="bottom"/>
            <w:gridSpan w:val="3"/>
          </w:tcPr>
          <w:p>
            <w:pPr>
              <w:jc w:val="right"/>
              <w:ind w:right="128"/>
              <w:spacing w:after="0"/>
              <w:rPr>
                <w:sz w:val="20"/>
                <w:szCs w:val="20"/>
                <w:color w:val="auto"/>
              </w:rPr>
            </w:pPr>
            <w:r>
              <w:rPr>
                <w:rFonts w:ascii="Arial" w:cs="Arial" w:eastAsia="Arial" w:hAnsi="Arial"/>
                <w:sz w:val="16"/>
                <w:szCs w:val="16"/>
                <w:color w:val="auto"/>
              </w:rPr>
              <w:t>87,333</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32,261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55,072</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(31,324)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(9,169)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0"/>
              </w:rPr>
              <w:t>(22,155)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242%</w:t>
            </w:r>
          </w:p>
        </w:tc>
        <w:tc>
          <w:tcPr>
            <w:tcW w:w="98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(82,354)</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(26,526)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0"/>
              </w:rPr>
              <w:t>(55,828)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6"/>
        </w:trPr>
        <w:tc>
          <w:tcPr>
            <w:tcW w:w="432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w:t>
            </w:r>
          </w:p>
        </w:tc>
        <w:tc>
          <w:tcPr>
            <w:tcW w:w="98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(3,811)</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(2,734)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1,040</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nm</w:t>
            </w:r>
          </w:p>
        </w:tc>
        <w:tc>
          <w:tcPr>
            <w:tcW w:w="980" w:type="dxa"/>
            <w:vAlign w:val="bottom"/>
            <w:gridSpan w:val="3"/>
          </w:tcPr>
          <w:p>
            <w:pPr>
              <w:jc w:val="right"/>
              <w:ind w:right="128"/>
              <w:spacing w:after="0"/>
              <w:rPr>
                <w:sz w:val="20"/>
                <w:szCs w:val="20"/>
                <w:color w:val="auto"/>
              </w:rPr>
            </w:pPr>
            <w:r>
              <w:rPr>
                <w:rFonts w:ascii="Arial" w:cs="Arial" w:eastAsia="Arial" w:hAnsi="Arial"/>
                <w:sz w:val="16"/>
                <w:szCs w:val="16"/>
                <w:color w:val="auto"/>
              </w:rPr>
              <w:t>1,172</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1,163</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of derivative warrant liabilities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8,103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nm</w:t>
            </w:r>
          </w:p>
        </w:tc>
        <w:tc>
          <w:tcPr>
            <w:tcW w:w="98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19,853</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19,853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2"/>
        </w:trPr>
        <w:tc>
          <w:tcPr>
            <w:tcW w:w="4320" w:type="dxa"/>
            <w:vAlign w:val="bottom"/>
          </w:tcPr>
          <w:p>
            <w:pPr>
              <w:ind w:left="320"/>
              <w:spacing w:after="0"/>
              <w:rPr>
                <w:sz w:val="20"/>
                <w:szCs w:val="20"/>
                <w:color w:val="auto"/>
              </w:rPr>
            </w:pPr>
            <w:r>
              <w:rPr>
                <w:rFonts w:ascii="Arial" w:cs="Arial" w:eastAsia="Arial" w:hAnsi="Arial"/>
                <w:sz w:val="16"/>
                <w:szCs w:val="16"/>
                <w:color w:val="auto"/>
              </w:rPr>
              <w:t>Change in fair value of earn-out liability</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4,860</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nm</w:t>
            </w:r>
          </w:p>
        </w:tc>
        <w:tc>
          <w:tcPr>
            <w:tcW w:w="980" w:type="dxa"/>
            <w:vAlign w:val="bottom"/>
            <w:gridSpan w:val="3"/>
          </w:tcPr>
          <w:p>
            <w:pPr>
              <w:jc w:val="right"/>
              <w:ind w:right="128"/>
              <w:spacing w:after="0"/>
              <w:rPr>
                <w:sz w:val="20"/>
                <w:szCs w:val="20"/>
                <w:color w:val="auto"/>
              </w:rPr>
            </w:pPr>
            <w:r>
              <w:rPr>
                <w:rFonts w:ascii="Arial" w:cs="Arial" w:eastAsia="Arial" w:hAnsi="Arial"/>
                <w:sz w:val="16"/>
                <w:szCs w:val="16"/>
                <w:color w:val="auto"/>
              </w:rPr>
              <w:t>17,418</w:t>
            </w:r>
          </w:p>
        </w:tc>
        <w:tc>
          <w:tcPr>
            <w:tcW w:w="8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17,418</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Transaction cost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nm</w:t>
            </w:r>
          </w:p>
        </w:tc>
        <w:tc>
          <w:tcPr>
            <w:tcW w:w="98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(927)</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23</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income (expense), net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12,569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13,156</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33,705</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34,796</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Net loss before provision for income taxes</w:t>
            </w: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0"/>
              </w:rPr>
              <w:t>(18,755)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(9,756)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(8,999)</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3"/>
          </w:tcPr>
          <w:p>
            <w:pPr>
              <w:jc w:val="right"/>
              <w:ind w:right="68"/>
              <w:spacing w:after="0"/>
              <w:rPr>
                <w:sz w:val="20"/>
                <w:szCs w:val="20"/>
                <w:color w:val="auto"/>
              </w:rPr>
            </w:pPr>
            <w:r>
              <w:rPr>
                <w:rFonts w:ascii="Arial" w:cs="Arial" w:eastAsia="Arial" w:hAnsi="Arial"/>
                <w:sz w:val="16"/>
                <w:szCs w:val="16"/>
                <w:color w:val="auto"/>
              </w:rPr>
              <w:t>(48,649)</w:t>
            </w: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(27,617)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(21,032)</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0"/>
              </w:rPr>
              <w:t>(18,755)</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(9,756)</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(8,999)</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3"/>
          </w:tcPr>
          <w:p>
            <w:pPr>
              <w:jc w:val="right"/>
              <w:ind w:right="68"/>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(48,649)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(27,617)</w:t>
            </w:r>
          </w:p>
        </w:tc>
        <w:tc>
          <w:tcPr>
            <w:tcW w:w="10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(21,032)</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Revenue decreased $0.1 million, or 4%, to $2.8 million for the three months ended September 30, 2022, down from $2.9 million for the three months ended September 30, 2021. The period over period change is attributable to a decrease in revenue of $2.0 million due to the completion of phase 1 of two government revenue contracts prior to July 2022, offset by a total $1.9 million increase in revenue from commencing phase 2 of a large government agency project of $0.4 million, a new fiscal year 2022 government agency project of $0.2 million, QCaaS usage from customers of $1.0 million, and revenue from other projects of $0.3 million during the three months ended September 30, 2022.</w:t>
      </w:r>
    </w:p>
    <w:p>
      <w:pPr>
        <w:spacing w:after="0" w:line="176"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Revenue increased $0.2 million, or 3%, to $7.0 million for the nine months ended September 30, 2022, up from $6.8 million for the nine months ended September 30, 2021. The period over period increase was primarily attributable to an increase in revenue of $0.9 million due to the start of two new government contracts, increase in revenue due to the expansion in scope of one U.S. commercial project of $0.4 million, increase in revenue for other projects for a total of $0.1 million, offset by a $0.6 million decrease in revenue related to a U.K. government agency project in the nine months ended September 30, 2022, and a $0.7 million decrease in revenue due to the delay in certain anticipated work on a U.S. government project initially expected to take place in the third quarter of 2022 and now expected to take place in fiscal year 2023.</w:t>
      </w:r>
    </w:p>
    <w:p>
      <w:pPr>
        <w:spacing w:after="0" w:line="16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These development contracts are fixed price milestone or cost share-based contracts and the timing and amounts of revenue recognized in each quarter will therefore vary based on the delivery of the associated milestones and/ or the work performed. We expect to continue to generate the majority of our revenue from development contracts over at least the next several years and that revenue will be variable in timing and size as we work to ramp up our QCaaS business for the longer term. In addition, as previously disclosed, we are negotiating contracts with a government entity that is also an existing customer and the contracting process has</w:t>
      </w:r>
    </w:p>
    <w:p>
      <w:pPr>
        <w:sectPr>
          <w:pgSz w:w="11900" w:h="16838" w:orient="portrait"/>
          <w:cols w:equalWidth="0" w:num="1">
            <w:col w:w="11140"/>
          </w:cols>
          <w:pgMar w:left="320" w:top="486" w:right="43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40"/>
          </w:cols>
          <w:pgMar w:left="320" w:top="486" w:right="4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taken longer than anticipated. Accordingly, there is a risk that some of the $4.0 million revenue we anticipate from these contracts would be deferred to later fiscal periods after the 2022 fiscal year if the contract negotiations are not completed, the contracts are not executed and we are unable to invoice for the full amount in 2022. Moreover, if negotiations result in contract terms that are less favorable than we anticipated, the total expected value of these contracts could decrease. Additionally, a portion of such anticipated revenue relates to work that has already been performed and costs that have already been incurred. While we have made progress in the negotiation and expect to complete the negotiation prior to the current fiscal year end, we cannot assure the execution of these contracts or receipt of payment by the end of the fiscal year. If the contracts are not ultimately executed, it would likely be very difficult to realize the expected revenue from this government entity and we may be unable to recoup all or a portion of costs already incurred.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Cost of revenue increased by $0.3 million, or 74%, to $0.8 million for the three months ended September 30, 2022, as compared to $0.4 million for the three months ended September 30, 2021. The increase was mainly attributable to an increase in subcontractor costs of $0.3 million associated with specific projects and collaborative development contract services work with government agencies.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Cost of revenue increased by $1.0 million, or 90%, to $2.1 million for the nine months ended September 30, 2022, as compared to $1.1 million for the nine months ended September 30, 2021. The increase was mainly attributable to an increase in employee-related costs of $0.2 million and subcontractor costs of $0.8 million associated with specific projects and collaborative development contract services work with government agencies.</w:t>
      </w:r>
    </w:p>
    <w:p>
      <w:pPr>
        <w:spacing w:after="0" w:line="149"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We expect these costs to increase as we expand headcount and increase third party subcontractor costs related to our collaborative development contract services work with government agencies. In addition, we have incurred and may continue to incur increased costs associated with equipment, system components and labor due to current global economic conditions, including inflation, labor shortages and supply conditions.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left="120" w:right="200" w:firstLine="440"/>
        <w:spacing w:after="0" w:line="277" w:lineRule="auto"/>
        <w:rPr>
          <w:sz w:val="20"/>
          <w:szCs w:val="20"/>
          <w:color w:val="auto"/>
        </w:rPr>
      </w:pPr>
      <w:r>
        <w:rPr>
          <w:rFonts w:ascii="Arial" w:cs="Arial" w:eastAsia="Arial" w:hAnsi="Arial"/>
          <w:sz w:val="18"/>
          <w:szCs w:val="18"/>
          <w:color w:val="auto"/>
        </w:rPr>
        <w:t>Research and development expenses increased by $9.9 million, or 132%, to $17.4 million for the three months ended September 30, 2022, from $7.5 million for the three months ended September 30, 2021. The increase was primarily attributable to:</w:t>
      </w:r>
    </w:p>
    <w:p>
      <w:pPr>
        <w:spacing w:after="0" w:line="76" w:lineRule="exact"/>
        <w:rPr>
          <w:sz w:val="20"/>
          <w:szCs w:val="20"/>
          <w:color w:val="auto"/>
        </w:rPr>
      </w:pPr>
    </w:p>
    <w:p>
      <w:pPr>
        <w:ind w:left="1080" w:right="4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$7.5 million increase in employee related costs in the three months ended September 30, 2022, due to an increase in headcount and related wage costs of $1.8 million, and a $5.7 million increase in stock compensation expense which includes annual refresh grants of restricted stock to employees of $4.6 million.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$2.4 million increase associated with the continued and expanded investment in research and development efforts, including a</w:t>
      </w:r>
    </w:p>
    <w:p>
      <w:pPr>
        <w:spacing w:after="0" w:line="34" w:lineRule="exact"/>
        <w:rPr>
          <w:rFonts w:ascii="Arial" w:cs="Arial" w:eastAsia="Arial" w:hAnsi="Arial"/>
          <w:sz w:val="17"/>
          <w:szCs w:val="17"/>
          <w:color w:val="auto"/>
        </w:rPr>
      </w:pPr>
    </w:p>
    <w:p>
      <w:pPr>
        <w:ind w:left="1080" w:right="580"/>
        <w:spacing w:after="0" w:line="260" w:lineRule="auto"/>
        <w:rPr>
          <w:rFonts w:ascii="Arial" w:cs="Arial" w:eastAsia="Arial" w:hAnsi="Arial"/>
          <w:sz w:val="17"/>
          <w:szCs w:val="17"/>
          <w:color w:val="auto"/>
        </w:rPr>
      </w:pPr>
      <w:r>
        <w:rPr>
          <w:rFonts w:ascii="Arial" w:cs="Arial" w:eastAsia="Arial" w:hAnsi="Arial"/>
          <w:sz w:val="18"/>
          <w:szCs w:val="18"/>
          <w:color w:val="auto"/>
        </w:rPr>
        <w:t>$1.5 million increase in software subscription and material costs, a $0.4 million increase in rent and utilities related to expansion of facilities, and a $0.5 million increase in associated depreciation from increased capital expenditures.</w:t>
      </w:r>
    </w:p>
    <w:p>
      <w:pPr>
        <w:spacing w:after="0" w:line="18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Research and development expenses increased by $22.1 million, or 101%, to $44.0 million for the nine months ended September 30, 2022, from $21.9 million for the nine months ended September 30, 2021. The increase was primarily attributable to:</w:t>
      </w:r>
    </w:p>
    <w:p>
      <w:pPr>
        <w:spacing w:after="0" w:line="76" w:lineRule="exact"/>
        <w:rPr>
          <w:sz w:val="20"/>
          <w:szCs w:val="20"/>
          <w:color w:val="auto"/>
        </w:rPr>
      </w:pPr>
    </w:p>
    <w:p>
      <w:pPr>
        <w:ind w:left="1080" w:right="60" w:hanging="424"/>
        <w:spacing w:after="0" w:line="272"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one-time correction during the nine months ended September 30, 2022 representing estimated electrical utility fees for a portion of the electrical usage at our Berkeley facility from February 2019 to December 30, 2021, which was an out-of-period adjustment. We have cumulatively recorded an accrual of $1.5 million for the three months ended March 31, 2022, and an additional $0.1 million to accrue for the three months ended June 30, 2022. For further detail on these additional expenses, see Note 1 to our unaudited condensed consolidated financial statements for the nine-month period ended September 30, 2022 included elsewhere in this Quarterly Report on Form 10-Q. The actual amount of fees that we may be required to pay to our electricity provider and any related costs, expenses or penalties may be higher or more significant than the estimates described above.</w:t>
      </w:r>
    </w:p>
    <w:p>
      <w:pPr>
        <w:spacing w:after="0" w:line="82" w:lineRule="exact"/>
        <w:rPr>
          <w:rFonts w:ascii="Arial" w:cs="Arial" w:eastAsia="Arial" w:hAnsi="Arial"/>
          <w:sz w:val="17"/>
          <w:szCs w:val="17"/>
          <w:color w:val="auto"/>
        </w:rPr>
      </w:pPr>
    </w:p>
    <w:p>
      <w:pPr>
        <w:ind w:left="1080" w:right="80" w:hanging="424"/>
        <w:spacing w:after="0" w:line="275"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$13.9 million increase in employee related costs for the nine months ended September 30, 2022 due to an increase in headcount and resulting wage costs of $4.3 million, a $9.6 million increase in stock compensation expense, which includes annual refresh grants of restricted stock to employees in the three months ended September 30, 2022 and a one-time cumulative recognition of previously deferred stock compensation expense of $1.6 million related to the satisfaction of the liquidity condition with respect to outstanding stock units recognized as a result of the close of the Business Combination in March 2022; and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$6.6 million increase associated with the ongoing and expanded investment in research and development efforts, including a $4.8 million increase in software subscription and material costs, a $0.8 million increase in rent and utilities, and a $1.0 million increase in depreciation.</w:t>
      </w:r>
    </w:p>
    <w:p>
      <w:pPr>
        <w:spacing w:after="0" w:line="12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expect research and development expenses to increase as we continue to invest in the enhancement of our product offerings, including with respect to the cost of building QPU fridges, quantum chip fabrication costs, expansion of facilities and general salaries and wages. In addition, we have incurred, and expect to continue to incur, increased research and development expenses due to increasing costs of labor, including expenses associated with stock compensation in order to attract and retain qualified personnel, including in connection with our search for a new president and chief executive officer; equipment and component costs impacted by the current macroeconomic environment including supply chain constraints; and labor shortages.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Sales and marketing increased by $1.2 million, or 151%, to $2.0 million for the three months ended September 30, 2022, from $0.8 million for the three months ended September 30, 2021. The increase was primarily driven by a $0.9 million increase in stock compensation and a $0.3 million increase in consultant and other spending on sales and development activities for the purpose of customer growth and acquisition.</w:t>
      </w:r>
    </w:p>
    <w:p>
      <w:pPr>
        <w:spacing w:after="0" w:line="16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Sales and marketing increased $3.2 million, or 183%, to $4.9 million for the nine months ended September 30, 2022, from $1.7 million for the nine months ended September 30, 2021. The increase was primarily driven by a $0.9 million increase in employee related costs, a $1.5 million increase in stock compensation of which $0.4 million was related to the satisfaction of the liquidity condition with respect to outstanding stock units recognized as a result of the close of the Business Combination in March 2022, and a $0.8 million increase in consultant and other spending on sales and development activities for the purpose of customer growth and acquisition.</w:t>
      </w:r>
    </w:p>
    <w:p>
      <w:pPr>
        <w:spacing w:after="0" w:line="18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We expect selling and marketing expenses to increase as we seek to expand and enhance our service offerings as well as expand our operations and customer base globally. In addition, we anticipate implementing new marketing strategies with respect to customer acquisition efforts and product marketing campaigns as our technology and product offerings expand.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General and administrative expenses increased by $10.6 million, or 315%, to $14.0 million for the three months ended September 30, 2022, from $3.4 million for the three months ended September 30, 2021. The increase was attributable to:</w:t>
      </w:r>
    </w:p>
    <w:p>
      <w:pPr>
        <w:spacing w:after="0" w:line="76" w:lineRule="exact"/>
        <w:rPr>
          <w:sz w:val="20"/>
          <w:szCs w:val="20"/>
          <w:color w:val="auto"/>
        </w:rPr>
      </w:pPr>
    </w:p>
    <w:p>
      <w:pPr>
        <w:ind w:left="1080" w:right="2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$1.3 million increase in legal and accounting costs related to enhanced public reporting requirements, investor relation costs and other software acquisition costs;</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$0.9 million increase in employee related costs as a result of operating as a public company, including higher executive salaries and increased headcount-related wages to build and upgrade the resources to operate as a public company and to build out our information security team;</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$8.0 million increase in RSU, grants, and stock compensation expense;</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$0.7 million increase in other costs including directors’ and officers’ insurance and other office expenses attributable to a return to in-office work;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$0.1 million increase in depreciation</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These costs were partially offset by the gain in change in fair value of our Forward Warrant Agreement of $0.4 million which was entered into with Ampere as part of our strategic collaboration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General and administrative expenses increased by $29.8 million, or 346%, to $38.4 million for the nine months ended September 30, 2022, from $8.6 million for the nine months ended September 30, 2021. The increase was attributable to:</w:t>
      </w:r>
    </w:p>
    <w:p>
      <w:pPr>
        <w:spacing w:after="0" w:line="76" w:lineRule="exact"/>
        <w:rPr>
          <w:sz w:val="20"/>
          <w:szCs w:val="20"/>
          <w:color w:val="auto"/>
        </w:rPr>
      </w:pPr>
    </w:p>
    <w:p>
      <w:pPr>
        <w:ind w:left="1080" w:right="22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$25.0 million increase in stock compensation expense; which includes a one-time cumulative recognition of previously deferred stock compensation expense of $6.9 million related to the satisfaction of the liquidity condition with respect to outstanding stock units recognized as a result of the closing of the Business Combination;</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$3.7 million increase in legal and accounting costs related to enhanced public reporting requirements, investor relation costs and other software acquisition costs;</w:t>
      </w:r>
    </w:p>
    <w:p>
      <w:pPr>
        <w:spacing w:after="0" w:line="75"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$2.9 million increase in employee related costs as a result of operating as a public company, including higher executive salaries and increased headcount-related wages to build and upgrade the resources to operate as a public company and to build out our information security team;</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One-time transaction bonuses awarded to employees in recognition of the closing of the Business Combination and associated taxes of $1.8 million;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$1.9 million increase in other costs including directors’ and officers’ insurance and other office expenses attributable to return to office work.</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These costs were partially offset by the gain in change in fair value of our Forward Warrant Agreement of $5.5 million which was entered into with Ampere as part of our strategic collaboration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general and administrative expenses to increase as we operate as a public company.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Interest expense was $1.4 million and $0.6 million for the three months ended September 30, 2022 and 2021, respectively. Interest expense was $3.8 million and $1.1 million for the nine months ended September 30, 2022 and 2021, respectively. The increase in expense was a result of the Loan Agreement we entered into with Trinity Capital Inc. (“Trinity”) in March 2021 (as amended from time to time, the “Loan Agreement”). The period over period increase was a combination of the Federal Reserve increasing interest rates in response to inflation and a longer interest period during the three and nine months ended September 2022. For the three months and nine months ended September 30, 2022, interest expense was based on the overall borrowings under the Loan Agreement of $32.0 million for a three-month and nine-month interest period with higher interest rates, while for the same period in 2021, interest expense was based on borrowings under the Loan Agreement within a range of $12.0 to $20.0 million for a shorter interest period of six months and 10 days based on lower interest rates.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Interest income was $1.0 million and $2 thousand for the three months ended September 30, 2022 and 2021, respectively. Interest income was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 million and $9 thousand for the nine months ended September 30, 2022 and 2021, respectively. The increase in interest income was a result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available-for-sales investments we hold and the increase in interest rates on deposits due to Federal Reserve rate increases. As of September 30, 2022,</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investment securities in our Trust Account consisted of $33.0 million in money market funds, $57.7 million in United States Treasury securities,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$3.6 million in corporate bonds and $25.9 million in commercial paper. We earned interest on such investments. We did not hold available-for-sales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investments and did not earn interest on such investments during the three and nine months ended September 30, 2021.</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discussion of change in fair value of warranty liabilities is included in Note 10 to our unaudited condensed consolidated financial statements for the nine-month period ended September 30, 2022, included elsewhere in this Quarterly Report on Form 10-Q.</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86" w:right="4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Fair Value of Earn-out Liability</w:t>
      </w:r>
    </w:p>
    <w:p>
      <w:pPr>
        <w:spacing w:after="0" w:line="117"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A discussion of change in fair value of earn-out liability is included in Note 2, Sponsor Earn-Out Liability, to our unaudited condensed consolidated financial statements for the nine-month period ended September 30, 2022, included elsewhere in this Quarterly Report on Form 10-Q.</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Transaction Costs</w:t>
      </w:r>
    </w:p>
    <w:p>
      <w:pPr>
        <w:spacing w:after="0" w:line="117" w:lineRule="exact"/>
        <w:rPr>
          <w:sz w:val="20"/>
          <w:szCs w:val="20"/>
          <w:color w:val="auto"/>
        </w:rPr>
      </w:pPr>
    </w:p>
    <w:p>
      <w:pPr>
        <w:jc w:val="both"/>
        <w:ind w:left="120" w:right="240" w:firstLine="440"/>
        <w:spacing w:after="0" w:line="301" w:lineRule="auto"/>
        <w:rPr>
          <w:sz w:val="20"/>
          <w:szCs w:val="20"/>
          <w:color w:val="auto"/>
        </w:rPr>
      </w:pPr>
      <w:r>
        <w:rPr>
          <w:rFonts w:ascii="Arial" w:cs="Arial" w:eastAsia="Arial" w:hAnsi="Arial"/>
          <w:sz w:val="16"/>
          <w:szCs w:val="16"/>
          <w:color w:val="auto"/>
        </w:rPr>
        <w:t>Transaction costs arose from the Business Combination allocated to liability-classified instruments that are subsequently measured at fair value through earnings must be expensed as incurred. We incurred total transaction costs of $0.9 million allocated to liability-classified instruments for the nine-month period ended September 30, 2022. We did not incur any transaction costs for the comparable nine months ended September 30, 2021. We did not incur any transaction costs as part of the results of operations for the three months ended September 30, 2022 and September 30, 2021.</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320" w:firstLine="440"/>
        <w:spacing w:after="0" w:line="287" w:lineRule="auto"/>
        <w:rPr>
          <w:sz w:val="20"/>
          <w:szCs w:val="20"/>
          <w:color w:val="auto"/>
        </w:rPr>
      </w:pPr>
      <w:r>
        <w:rPr>
          <w:rFonts w:ascii="Arial" w:cs="Arial" w:eastAsia="Arial" w:hAnsi="Arial"/>
          <w:sz w:val="16"/>
          <w:szCs w:val="16"/>
          <w:color w:val="auto"/>
        </w:rPr>
        <w:t>We have incurred net losses since inception, and experienced negative cash flows from operations. Prior to the Business Combination, we financed our operations primarily through the issuance of preferred stock, warrants, convertible notes, venture backed debt and revenues. During the nine months ended September 30, 2022, we incurred net losses of $48.6 million. As of September 30, 2022, we had an accumulated deficit of</w:t>
      </w:r>
    </w:p>
    <w:p>
      <w:pPr>
        <w:spacing w:after="0" w:line="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$255.8 million, and we expect to incur additional losses and higher operating expenses for the foreseeable future in line with our long-term business and investment strategy. In connection with the closing of the Business Combination on March 2, 2022, we received a total of $225.6 million from the Business Combination and PIPE Investment, net against transaction costs incurred by us. We believe that our existing cash and cash equivalents, including net proceeds from the Business Combination, should be sufficient to meet our anticipated operating cash needs for at least the next 12 months based on our current business plan and expectations and assumptions considering current macroeconomic conditions.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Quarterly Report on Form 10-Q. Global economic conditions have been worsening, with disruptions to, and volatility in, the credit and financial markets in the U.S. and worldwide resulting from the effects of COVID-19 and otherwise.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and/or other efforts. A recession or additional market corrections resulting from the impact of the evolving effects of the COVID-19 pandemic could materially affect our business and the value of our securities.</w:t>
      </w:r>
    </w:p>
    <w:p>
      <w:pPr>
        <w:spacing w:after="0" w:line="183" w:lineRule="exact"/>
        <w:rPr>
          <w:sz w:val="20"/>
          <w:szCs w:val="20"/>
          <w:color w:val="auto"/>
        </w:rPr>
      </w:pPr>
    </w:p>
    <w:p>
      <w:pPr>
        <w:ind w:left="120" w:right="740" w:firstLine="440"/>
        <w:spacing w:after="0" w:line="308" w:lineRule="auto"/>
        <w:rPr>
          <w:sz w:val="20"/>
          <w:szCs w:val="20"/>
          <w:color w:val="auto"/>
        </w:rPr>
      </w:pPr>
      <w:r>
        <w:rPr>
          <w:rFonts w:ascii="Arial" w:cs="Arial" w:eastAsia="Arial" w:hAnsi="Arial"/>
          <w:sz w:val="17"/>
          <w:szCs w:val="17"/>
          <w:color w:val="auto"/>
        </w:rPr>
        <w:t>Our short-term cash requirements include capital expenditures for materials and components for research and development and quantum computing fridges; working capital requirements; and strategic collaborative arrangements and investments.</w:t>
      </w:r>
    </w:p>
    <w:p>
      <w:pPr>
        <w:spacing w:after="0" w:line="146"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Our long-term requirements include expenditures for the planned expansion of our quantum chip fabrication facility; planned development of multiple generations of quantum processors; and anticipated additional investments to scale our QCaaS offering.</w:t>
      </w:r>
    </w:p>
    <w:p>
      <w:pPr>
        <w:spacing w:after="0" w:line="170"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We will require a significant amount of cash for expenditures as we invest in ongoing research and development and business operations. Until such time as we can generate significant revenue from sales of our development contracts and other services, including our QCaaS offering, we expect to finance our cash needs primarily through our Loan Agreement with Trinity, our arrangements with Ampere, our committed equity financing with B. Riley, and other equity or debt financings or other capital sources, including development contract revenue with government agencies and strategic partnerships. To the extent that we raise additional capital through the sale of equity or convertible debt securities, including through the use of our committed equity financing with B. Riley,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or substantially reduce our quantum computing development efforts. Our future capital requirements and the adequacy of available funds will depend on many factors, including those set forth in the section titled “Risk Factors” included in this Quarterly Report on Form 10-Q.</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actual sales, if any, of shares of our Common Stock to B. Riley pursuant to the committed equity financing will depend on a variety of factors to be determined by us from time to time, including, among other things, market conditions, the trading price of our Common Stock and determinations by us as to appropriate sources of funding for our business and operations. We cannot guarantee the extent to which we may utilize the committed equity financing.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On March 10, 2021, we entered into the Loan Agreement with Trinity for term loans with a principal amount of $12.0 million, bearing an interest rate of the greater of 7.5% plus the prime rate published by the Wall Street Journal or 11.0%. In addition, we are required to pay a final payment fee equal to 2.75% of the aggregate amount of all term loan advances. The term loans under the Loan Agreement are secured by all of our assets. The Loan Agreement contains customary representations, warranties and covenants, but does not include any financial covenants. The negative covenants include restrictions on the ability to incur indebtedness, pay dividends, execute fundamental change transactions, and other specified actions. In connection with entry into the Loan Agreement, we issued a warrant to purchase our shares of Common Stock to Trinity. The Guarantor of the loan is Rigetti Holdings, Inc. and the loan is secured by substantially all of our assets.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May 18, 2021, we entered into a first amendment to the Loan Agreement, which modified certain financial covenants, including an additional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good faith deposit of $20,000 and adding a tranche B to the Loan Agreement in an aggregate amount of $15.0 million, consisting of two advances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$8.0 million and $7.0 million each. In connection with such amendment, the maturity date was modified to be the date equal to 48 months from the first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payment date of each specific cash advance. In connection with such amendment, we cancelled the initial warrants and issued a warrant to purchase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995,099 shares of our Common Stock.</w:t>
      </w:r>
    </w:p>
    <w:p>
      <w:pPr>
        <w:spacing w:after="0" w:line="21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On October 21, 2021, we entered into a second amendment to the Loan Agreement, which modified the date requiring us to deliver evidence of completion of the PIPE transaction and execution of a definitive merger agreement with a special purpose acquisition company to October 31, 2021.</w:t>
      </w:r>
    </w:p>
    <w:p>
      <w:pPr>
        <w:spacing w:after="0" w:line="12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Pursuant to the second amendment, the maturity date was modified to be the date equal to 48 months from the first payment date of each specific cash advance. Subject to an interest only period of 18 months following each specific cash advance date, the term loan incurs interest at the greater of a variable interest rate based on prime rate or 11% per annum, payable monthly. Interest-only payments are due monthly immediately following an advance for a period of 18 months and, beginning on the 19th month, principal and interest payments are due monthly.</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January 2022, we entered into the third amendment to the Loan Agreement to increase the debt commitment by $5.0 million to $32.0 million. The amendment allows us to draw an additional $5.0 million immediately with an additional $8.0 million to be drawn at the sole discretion of the lender. We drew the additional $5.0 million upon signing the amendment. Other modifications per the amendment included an extension of the requirement to raise an additional $75.0 million of equity and a defined exit fee for the additional $5.0 million to be at 20% of the advanced funds under the amendment. In conjunction with the amendment, we also guaranteed payment of all monetary amounts owed and performance of all covenants, obligations and liabilities. As of September 30, 2022, the total principal amount outstanding under the Loan Agreement was approximately $32.0 million. We use borrowings under the Loan Agreement for working capital purposes.</w:t>
      </w:r>
    </w:p>
    <w:p>
      <w:pPr>
        <w:spacing w:after="0" w:line="17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Loan Agreement is secured by a first-priority security interest in substantially all of our assets. As of the date of this Quarterly Report on Form 10-Q, we are in compliance with all covenants under the Loan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cash commitments as of September 30, 2022 were primarily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4"/>
          </w:tcPr>
          <w:p>
            <w:pPr>
              <w:ind w:left="400"/>
              <w:spacing w:after="0"/>
              <w:rPr>
                <w:sz w:val="20"/>
                <w:szCs w:val="20"/>
                <w:color w:val="auto"/>
              </w:rPr>
            </w:pPr>
            <w:r>
              <w:rPr>
                <w:rFonts w:ascii="Arial" w:cs="Arial" w:eastAsia="Arial" w:hAnsi="Arial"/>
                <w:sz w:val="14"/>
                <w:szCs w:val="14"/>
                <w:b w:val="1"/>
                <w:bCs w:val="1"/>
                <w:color w:val="auto"/>
              </w:rPr>
              <w:t>Short-Term</w:t>
            </w:r>
          </w:p>
        </w:tc>
        <w:tc>
          <w:tcPr>
            <w:tcW w:w="920" w:type="dxa"/>
            <w:vAlign w:val="bottom"/>
            <w:gridSpan w:val="4"/>
          </w:tcPr>
          <w:p>
            <w:pPr>
              <w:ind w:left="160"/>
              <w:spacing w:after="0"/>
              <w:rPr>
                <w:sz w:val="20"/>
                <w:szCs w:val="20"/>
                <w:color w:val="auto"/>
              </w:rPr>
            </w:pPr>
            <w:r>
              <w:rPr>
                <w:rFonts w:ascii="Arial" w:cs="Arial" w:eastAsia="Arial" w:hAnsi="Arial"/>
                <w:sz w:val="14"/>
                <w:szCs w:val="14"/>
                <w:b w:val="1"/>
                <w:bCs w:val="1"/>
                <w:color w:val="auto"/>
              </w:rPr>
              <w:t>Long-Term</w:t>
            </w: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w w:val="81"/>
              </w:rPr>
              <w:t>(in thousands)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Financing obligations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26,026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41,660</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34,369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Financing obligations consist of payments related to the Loan and Security Agreement. Operating lease obligations consist of obligations under non-cancelable operating leases for our offices and facilities. The cash requirements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Historical 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260" w:type="dxa"/>
            <w:vAlign w:val="bottom"/>
            <w:gridSpan w:val="4"/>
          </w:tcPr>
          <w:p>
            <w:pPr>
              <w:jc w:val="center"/>
              <w:ind w:left="159"/>
              <w:spacing w:after="0"/>
              <w:rPr>
                <w:sz w:val="20"/>
                <w:szCs w:val="20"/>
                <w:color w:val="auto"/>
              </w:rPr>
            </w:pPr>
            <w:r>
              <w:rPr>
                <w:rFonts w:ascii="Arial" w:cs="Arial" w:eastAsia="Arial" w:hAnsi="Arial"/>
                <w:sz w:val="14"/>
                <w:szCs w:val="14"/>
                <w:b w:val="1"/>
                <w:bCs w:val="1"/>
                <w:color w:val="auto"/>
                <w:w w:val="93"/>
              </w:rPr>
              <w:t>Nine Months Ended</w:t>
            </w:r>
          </w:p>
        </w:tc>
        <w:tc>
          <w:tcPr>
            <w:tcW w:w="1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14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8"/>
              </w:rPr>
              <w:t>2022 versus 2021</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6"/>
              </w:rPr>
              <w:t>2022</w:t>
            </w: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9"/>
              </w:rPr>
              <w:t>2021</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4"/>
          </w:tcPr>
          <w:p>
            <w:pPr>
              <w:jc w:val="right"/>
              <w:ind w:right="20"/>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(48,482)</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(22,538)</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(25,944)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(106,480)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(5,789)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(100,691)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217,089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117"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Our cash flows from operating activities are significantly affected by our ability to achieve significant growth to offset expenditures related to research and development, sales and marketing, and general and administrative activities. Our operating cash flows are also affected by our working capital needs to support growth in personnel-related expenditures and fluctuations in accounts payable and other current assets and liabilities.</w:t>
      </w:r>
    </w:p>
    <w:p>
      <w:pPr>
        <w:spacing w:after="0" w:line="14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Net cash used in operating activities increased by $25.9 million, or 115%, when comparing the nine months ended September 30, 2022 to the same period in 2021. The increase in spending was primarily due to:</w:t>
      </w:r>
    </w:p>
    <w:p>
      <w:pPr>
        <w:spacing w:after="0" w:line="76" w:lineRule="exact"/>
        <w:rPr>
          <w:sz w:val="20"/>
          <w:szCs w:val="20"/>
          <w:color w:val="auto"/>
        </w:rPr>
      </w:pPr>
    </w:p>
    <w:p>
      <w:pPr>
        <w:ind w:left="1080" w:right="2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headcount and payroll related costs of $10.7 million as a result of investments in research and development efforts combined with upgrading internal and external resources to operate as a public company including a one-time bonus related to the business combination of $2.1 million;</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$8.1 million increase in legal and accounting costs related to enhanced public reporting requirements, investor relation costs, and other software acquisition costs;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prepayment of insurance premium for directors and officers of $3.3 million;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$2.8 million in additional interest costs related to increased borrowing amounts associated with the Loan Agreement;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transaction costs of $1.0 million incurred in connection with the closing of the Business Combination.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used in operating activities during the nine months ended September 30, 2022 was $48.5 million, resulting primarily from a net loss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$48.6 million, adjusted for non-cash charges of $4.8 million in depreciation; $37.6 million in stock-based compensation; $19.9 million gain from change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fair value of derivative warrant liabilities related to the Loan Agreement, Private Warrants (as defined below), and Public Warrants (as defined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below); $5.5 million gain from change in fair value of the forward warrant agreement with Ampere; $17.4 million gain from change in fair value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contingent earn-out liabilities; $1.1 million in amortization of debt financing costs and $0.4 million in accretion of available-for-sale securities. These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non-cash charges were partially offset by adjustments for changes in operating assets and liabilities seen during the period. Changes in operating assets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liabilities accounted for $0.2 million of cash used in operations. The changes primarily consisted of an increase in accounts receivable of</w:t>
      </w:r>
    </w:p>
    <w:p>
      <w:pPr>
        <w:spacing w:after="0" w:line="21"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$0.8 million; an increase in prepaid and current assets of $2.3 million; a decrease in accounts payable of $0.7 million; offset by an increase in accrued expenses and other current liabilities of $3.6 million.</w:t>
      </w:r>
    </w:p>
    <w:p>
      <w:pPr>
        <w:spacing w:after="0" w:line="18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Net cash used in operating activities during the nine months ended September 30, 2021 was $22.5 million, resulting primarily from a net loss of $27.6 million, adjusted for non-cash charges of $3.6 million in depreciation and $1.6 million in stock-based compensation. Changes in operating assets and liabilities was $0.2 million of cash used in operations, which primarily consisted of an increase in prepaid and current assets of $0.6 million; a decrease in deferred revenue of $0.6 million, a decrease in other liabilities of $0.2 million; offset by an increase in accounts payable, accrued expenses and other liabilities of $1.2 million. We expect to incur increased electrical utility expenses in the future. We also expect to incur costs related to our management transition, including with respect to the resignation of Dr. Chad Rigetti, the appointment of Mr. Rick Danis as our Interim President and Chief Executive Officer and in connection with the ongoing search for and anticipated appointment of a new chief executive officer, in addition to additional legal and consulting fees related to the pending restatement of our first and second quarter 2022 financial statements.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Flows Used in Investing Activities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Net cash used in investing activities during the nine months ended September 30, 2022 was $106.5 million, resulting from the addition of $19.3 million in property and equipment and the addition of $87.2 million in available-for-sale securities. Investments made into property and equipment during this period relate primarily to process computing equipment, quantum computing fridges, and development tools for our chip fabrication facility. Investments in available-for-sale securities consist of U.S Treasury securities, commercial paper, and corporate bonds that have a maturity of one year or less. Net cash used in investing activities during the nine months ended September 30, 2022, increased by $100.7 million compared to the nine months ended September 30, 2021, largely as a result of increased investment in available-for-sale securities and research and development infrastructure. We are continuing to invest in the expansion of our Fab 1 facility and expect to make additional investments with respect to electricity upgrades. Thus, we foresee an increase in cash used for capital expenditures in the future.</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2021 was $5.8 million, representing additions of $5.8 million to property and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Flows provided by Financing Activities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Net cash provided by financing activities during the nine months ended September 30, 2022 was $217.1 million, reflecting $225.6 million from the Business Combination and PIPE Investment net against SNII transaction costs, offset by transaction costs paid directly by Rigetti of $18.4 million; the additional proceeds from the issuance of debt and warrants of $5.0 million associated with the Loan Agreement, less cash payments for debt issuance costs and exit fees totaling $1.1 million; and proceeds from issuance of Common Stock upon exercise of stock options and warrants of $6.0 million.</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For the nine months ended September 30, 2021, net cash provided by financing activities was $20.3 million, mainly reflecting proceeds from the issuance of debt for a total amount of $20.0 million and proceeds from issuance of Common Stock upon exercise of stock options and warrants for a total $0.3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unaudited condensed consolidated financial statements included in this Quarterly Report on Form 10-Q, which have been prepared in accordance with U.S. GAAP. Preparation of these financial statements requires us to make estimates and assumptions that affect the reported amounts of assets and liabilities and the disclosure of contingent assets and liabilities. We also make estimates and assumptions on revenue generated and reported expenses incurred during the reporting periods. Our estimates are based on its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the Notes to our unaudited condensed consolidated financial statements for the three and nine-month period ended September 30, 2022, included elsewhere in this Quarterly Report on Form 10-Q, we believe the following critical accounting policies are most important to understanding and evaluating our reported financial results.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and Private Warrants</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Prior to the Business Combination, Supernova issued 4,450,000 private placement warrants (“Private Warrants”) and 8,625,000 public warrants (“Public Warrants” and collectively, “Warrants”). Each whole warrant entitles the holder to purchase one share of our Common Stock at a price of $11.50 per share, subject to adjustments and will expire five years after the Merger or earlier upon redemption or liquidation.</w:t>
      </w:r>
    </w:p>
    <w:p>
      <w:pPr>
        <w:spacing w:after="0" w:line="16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Private Warrants do not meet the derivative scope exception and are accounted for as derivative liabilities. Specifically, the Private Warrants contain provisions that cause the settlement amounts dependent upon the characteristics of the holder of the warrant which is not an input into the pricing of a fixed-for-fixed option on equity shares. Therefore, the Private Warrants are not considered indexed to our stock and should be classified as a liability. Since the Private Warrants meet the definition of a derivative, we recorded the Private Warrants as liabilities on the condensed consolidated balance sheet at fair value upon the closing of the Business Combination, with subsequent changes in the fair value recognized in the condensed consolidated statements of operations at each reporting date. The fair value of the Private Warrants was measured using the Black-Scholes option-pricing model at each measurement date. The Public Warrants also fail to meet the indexation guidance in ASC 815 and are accounted for as liabilities as the Public Warrants include a provision whereby in a scenario on which there is not an effective registration statement, the warrant holders have a cap, 0.361 Common Stock per warrant (subject to adjustment), on the issuable number of shares in a cashless exercise.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Subsequent to the separate listing and trading of the Public Warrants, the fair value of the Public Warrants has been measured based on the observable listed prices for such warrants and the fair value of the Private Warrants are measured using a Monte Carlo Pricing Model.</w:t>
      </w:r>
    </w:p>
    <w:p>
      <w:pPr>
        <w:spacing w:after="0" w:line="12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On the consummation of the Business Combination, we recorded a liability related to the Private Warrants of $9.6 million, with an offsetting entry to additional paid-in capital. On September 30, 2022, the fair value of the Private Warrants decreased to $2.2 million, with the gain on the change in fair value of derivative warrant liabilities recorded in the condensed consolidated statements of operations for the nine months ended September 30, 2022.</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Similarly, on the consummation of the Business Combination, we recorded a liability related to the Public Warrants of $16.3 million, with an offsetting entry to additional paid-in capital. On September 30, 2022, the fair value of the Public Warrants decreased to $1.9 million with the gain on the change in fair value of derivative warrant liabilities recorded in the condensed consolidated statements of operations for the nine months ended September 30, 2022.</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Derivative Warrant Liabilities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currently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815, “Derivatives and Hedging” (“ASC 815”) at the initial recognition.</w:t>
      </w:r>
    </w:p>
    <w:p>
      <w:pPr>
        <w:spacing w:after="0" w:line="184"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Other than the Public and Private Warrants noted above, we also issued a total of 783,129 Common Stock warrants in conjunction with the Loan Agreement in 2021. Such derivative warrant liabilities are classified as non-current as their liquidation is not reasonably expected to require the use of current assets or require the creation of current liabilities. We utilized Black-Scholes model to determine grant fair value of the warrants which was approximately $2.7 million which was recorded as part of Debt Issuance Cost. The outstanding Common Stock warrants were recognized as liabilities on the consolidated balance sheet and were measured at their inception date fair value using the Black-Scholes model and were subsequently remeasured at each reporting period with change recorded as a component of other income in the Company’s consolidated statements of operations.</w:t>
      </w:r>
    </w:p>
    <w:p>
      <w:pPr>
        <w:spacing w:after="0" w:line="16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warrant liability balance was $6.4 million as of June 2, 2022, at which time all outstanding Trinity Warrants of 783,129 were exercised into shares of the Company’s Common Stock and the warrant liability was reclassified to equity upon such exercise. The fair value of the warrant liability of $6.4 million was reclassified to equity upon such exercise. We recorded a total loss of $0 and $2.2 million to Change in Fair Value of Warrant Liability as a component of other income in the condensed consolidated statements of operations for the three and nine months ended September 30, 2022,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Earn-Out Liability</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At Business Combination Closing, the Sponsor subjected certain shares (“Sponsor Vesting Shares”) of Common Stock held by the Sponsor Holders to forfeiture and vesting as of the Closing if thresholds related to the weighted average price of Common Stock are not met for the duration of various specified consecutive day trading periods during the five-year period following the Closing (the “Earn-out Triggering Events”). Any such shares held by the Sponsor Holders that remain unvested after the fifth anniversary of the Closing will be forfeited.</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Sponsor Vesting Shares issued in related to the Business Combination are accounted for as liability classified instruments because the Earn-Out Triggering Events that determine the number of Sponsor Vesting Shares to be earned back by the Sponsor include outcomes that are not solely indexed to our Common Stock. The aggregate fair value of the Sponsor Vesting Shares on the Business Combination Closing was estimated using a Monte Carlo simulation model and was determined to be $20.4 million at Closing.</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As of September 30, 2022, the Earn-Out Triggering Events were not achieved for any of the tranches, and as such, the Company adjusted the carrying amount of the liability to its estimated fair value of $3.0 million. The change in the fair value of $4.9 million and $17.4 million is included in gain on fair value change, net in the condensed consolidated statements of operations for the three and nine months ended September 30, 2022, respectively.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86"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Warrant Agreement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connection with the execution of the Merger Agreement in October 2021, we entered into the Forward Warrant Agreement with Ampere for the purchase of a warrant for an aggregate purchase price (including amounts from exercise) of $10.0 million. The Forward Warrant Agreement provides for the issuance of a warrant for the purchase of an aggregate of 1,000,000 shares of Common Stock at an exercise price of $0.0001. The purchase of the warrant was conditioned upon, among other things, the consummation of the Business Combination and the entry into a collaboration agreement between Ampere and us. The collaboration agreement was entered into in January 2022. Ampere was required to pay $5.0 million to us no later than the later of (i) the Closing and (ii) June 30, 2022.</w:t>
      </w:r>
    </w:p>
    <w:p>
      <w:pPr>
        <w:spacing w:after="0" w:line="19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On June 30, 2022, pursuant to the Warrant Subscription Agreement, we issued the warrant to Ampere upon receipt of an aggregate of $5.0 million (including the exercise price), and upon such payment and issuance, 500,000 shares of our Common Stock vested under the warrant and were immediately exercised by Ampere pursuant to the terms of the warrant. Ampere is required to pay an additional $5.0 million to us no later than the closing date of the listing of Ampere’s capital stock, provided that if the listing has not occurred by the second anniversary of the warrant subscription agreement, Ampere is not obligated to make the additional payment and we are not obligated to issue the warrants. The warrant subscription agreement further provides that we will use commercially reasonable efforts to file a registration statement to register the resale of the shares issued or issuable pursuant to the warrant and upon such payment the warrant will vest and be exercisable by Ampere with respect to 500,000 shares of Common Stock pursuant to the terms of the warrant. We filed such registration statement and it became effective in the three months ended September 30, 2022.</w:t>
      </w:r>
    </w:p>
    <w:p>
      <w:pPr>
        <w:spacing w:after="0" w:line="165"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We evaluated the Forward Warrant Agreement as a derivative in conjunction with the guidance of ASC 480, “Distinguishing Liabilities from Equity”. We calculated fair value of the Forward Warrant Agreement by using the Forward Contract Pricing methodology at inception and at the end of September 30, 2022. The fair value of the Forward Warrant Agreement was estimated based on the following key inputs and assumptions 1) Assumed holding period 2) Related risk-free rate and 3) Likelihood of the outcome of the various contingencies outlined below. Based on these inputs and assumption, we calculated the fair value of the Forward Warrant Agreement to be a $1.9 million derivative asset at September 30, 2022 and a</w:t>
      </w:r>
    </w:p>
    <w:p>
      <w:pPr>
        <w:spacing w:after="0" w:line="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$0.2 million derivative liability at December 31, 2021, respectively. We have included the derivative asset separately as a forward contract asset on the balance sheet line and the derivative liability in other liabilities (current) in the accompanying consolidated balance sheets as of September 30, 2022 and December 31, 2021, respectively. The change in fair value is recorded as part of the general and administrative operating activities in our condensed consolidated statements of operations.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Revenue consists primarily of our contracts that provide access to Rigetti quantum computing systems, collaborative research services, professional services, and the sale of custom quantum computing components. Access to Rigetti quantum computing systems can be purchased as a quantum computing subscription, or on a usage basis for a specified quantity of hours. Revenue related to subscription-based access to Rigetti quantum computing systems (i.e., quantum computing subscriptions) is recognized on a ratable basis over the subscription term, which can range from three months to two years. Revenue related to usage-based access to Rigetti quantum computing systems is recognized over time as the systems are accessed using an output method based on compute credit hours expended. Revenue related to collaborative research services and professional services is recognized over time as the services are provided using an input measure based on actual labor hours incurred to date relative to total estimated labor hours needed to complete the program or total contracted hours over the program period. Revenue related to the sale of custom quantum computing components is recognized at a point in time upon acceptance by the customer.</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fixed fee development contracts vary in term from one to five years, with the majority of such contracts having a term of 18 months to two years. When establishing the pricing for our fixed fee arrangements, we determine the pricing based on estimated costs to complete and expected margins taking into account the scope of work outlined within the contract being evaluated and our historical experience with similar services and contracts. Actual costs incurred over the period in which these contracts are fulfilled could vary from these estimates and therefore, these estimates are subject to uncertainty. On a quarterly basis, management reviews the progress with respect to each contract and its related milestones and evaluates whether any changes in estimates exists. As a result of the quarterly reviews, revisions in the estimated effort to complete the contract are reflected in the period in which the change is identified. These revisions may impact the overall progress related to transfer of control and therefore, result in either increases or decreases in revenues as well as increase or decreases in fulfillment costs and contract margins. In accordance, with ASC No. 250, Accounting Changes and Error Corrections, any changes in estimates are reflected in our consolidated statements of operations in the period in which the circumstances that give rise to the revision become known to the management. To date, we have not experienced any changes in estimates that have had a material impact on our results from operations or financial position.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6"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When our contracts with customers contain multiple performance obligations, the transaction price is allocated on a relative standalone selling price basis to each performance obligation. We typically determine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we will reallocate the total transaction price to each performance obligation based on the relative standalone selling price of each.</w:t>
      </w:r>
    </w:p>
    <w:p>
      <w:pPr>
        <w:spacing w:after="0" w:line="19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transaction price is the amount of consideration to which we expect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spacing w:after="0" w:line="17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Our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our assessment of standalone selling prices, we determined that there were no significant material rights provided to our customers requiring separate recognition.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share-based compensation awards are all equity-classified and consist of stock options and restricted stock units (“RSU”). Stock options have service vesting conditions ranging from 1 to 5 years. RSUs granted pursuant to our prior equity incentive plan adopted in 2013 have a 4-year service vesting condition and a performance condition linked to the occurrence of a liquidity event defined as a change-in-control event, successful initial public offering or successful merger with a special purpose acquisition company, which was satisfied by the Closing. RSUs outstanding under the 2022 Plan have a service vesting condition only.</w:t>
      </w:r>
    </w:p>
    <w:p>
      <w:pPr>
        <w:spacing w:after="0" w:line="188"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Compensation expenses are based on the grant-date fair value of the awards and recognized over the requisite service period using a straight-line method for stock options and RSUs granted under 2022 Plan. Compensation expense for RSUs granted under the 2013 Plan are recognized using a graded vesting method. We have elected to account for forfeitures of employee stock awards as they occur.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of our unaudited condensed consolidated financial statements for the nine months ended September 30, 2022 included elsewhere in this Quarterly Report on Form 10-Q.</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w:t>
      </w:r>
    </w:p>
    <w:p>
      <w:pPr>
        <w:spacing w:after="0" w:line="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Following the Business Combination, we still qualify as an emerging growth company and plans to take advantage of the benefits of the extended transition period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spacing w:after="0" w:line="193"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will remain an emerging growth company under the JOBS Act until the earliest of (a) the last day of our first fiscal year following the fifth anniversary of the completion of SNII’s initial public offering, (b) the last date of our fiscal year in which we have total annual gross revenue of at least $1.24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(as defined in Rules 13a-15(e) and 15d-15(e) under the Securities Exchange Act) as of September 30, 2022. Based on the evaluation of our disclosure controls and procedures, our management concluded that, as of September 30, 2022, our disclosure controls and procedures were not effective due to the material weakness described below. This material weakness in our internal control over financial reporting relates to the lack of effective review controls over the accounting for complex financial instruments as described further below. We are adding additional controls over the review of complex financial instrument valuations as well as technical accounting resources, which are still being designed and implemented. The material weakness will not be considered remediated until such time as management designs and implements effective controls that operate for a sufficient period of time and has concluded, through testing, that these controls are effective.</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84"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After giving full consideration to this material weakness and the additional procedures that we performed, management has concluded that the unaudited condensed consolidated financial statements contained in this Quarterly Report on Form 10-Q fairly present, in all material respects, our financial condition, results of operations and cash flows for the periods presented in conformity with U.S. GAAP; however, it could have resulted in a misstatement of account balances or disclosures that would be considered material to the annual or interim consolidated financial statements, and it did result in errors in the financial statements and related disclosures for the quarters ended March 31, 2022 and June 30, 2022, which we are restating as described in Note 1 to the notes to unaudited condensed consolidated financial statements included elsewhere in this Quarterly Report on Form 10-Q.</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Weakness</w:t>
      </w:r>
    </w:p>
    <w:p>
      <w:pPr>
        <w:spacing w:after="0" w:line="121"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As previously disclosed, in connection with our unaudited condensed consolidated financial statements for the nine months ended October 31, 2021, we identified a material weakness in our internal control over financial reporting related to the lack of effective review controls over the accounting for complex financial instruments. Specifically, the controls failed to identify an error in the accounting for complex warrant instruments. The error related to the Company not properly accounting for the liability associated with the warrants to purchase common stock issued to Trinity Capital Inc. that was subsequently cancelled and reissued for a new warrant in connection with an amendment to the Loan Agreement.</w:t>
      </w:r>
    </w:p>
    <w:p>
      <w:pPr>
        <w:spacing w:after="0" w:line="16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addition, in connection with the preparation of the financial statements for the second quarter of 2022, we also identified and corrected an immaterial error related to the revaluation of the liability associated with the same warrants issued to Trinity Capital.</w:t>
      </w:r>
    </w:p>
    <w:p>
      <w:pPr>
        <w:spacing w:after="0" w:line="170"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In connection with the preparation of the financial statements for the third quarter of 2022, we discovered that the previously identified material weakness led to additional material errors related to the valuation of the Earn-out liability and the Private Warrant liability that affected the previously issued unaudited condensed consolidated financial statements as of and for the periods ended March 31, 2022 and June 30, 2022. These errors will be corrected in the unaudited condensed consolidated financial statements as of and for the periods ended March 31, 2022 and June 30, 2022 through a restatement of previously filed financial statements for such periods. See Note 1 to the unaudited condensed consolidated financial statements included elsewhere in this Quarterly Report on Form 10-Q for further detail on the impact to previously filed financial statements.</w:t>
      </w:r>
    </w:p>
    <w:p>
      <w:pPr>
        <w:spacing w:after="0" w:line="16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management previously concluded that this material weakness in our internal control over financial reporting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these complex instruments. Our design and implementation of controls to evaluate and monitor the accounting for these complex financial instrument liabilities were still not adequate as of September 30, 2022 due to the reasons described above.</w:t>
      </w:r>
    </w:p>
    <w:p>
      <w:pPr>
        <w:sectPr>
          <w:pgSz w:w="11900" w:h="16838" w:orient="portrait"/>
          <w:cols w:equalWidth="0" w:num="1">
            <w:col w:w="11120"/>
          </w:cols>
          <w:pgMar w:left="320" w:top="486" w:right="459" w:bottom="1440" w:gutter="0" w:footer="0" w:header="0"/>
        </w:sectPr>
      </w:pP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86" w:right="4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Remediation Plan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remediation plan related to the material weakness includes:</w:t>
      </w:r>
    </w:p>
    <w:p>
      <w:pPr>
        <w:spacing w:after="0" w:line="131" w:lineRule="exact"/>
        <w:rPr>
          <w:sz w:val="20"/>
          <w:szCs w:val="20"/>
          <w:color w:val="auto"/>
        </w:rPr>
      </w:pPr>
    </w:p>
    <w:p>
      <w:pPr>
        <w:ind w:left="1080" w:right="54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incorporating additional controls and procedures over the review of complex financial instrument valuations as well as technical accounting resources to identify the inventory of complex accounting and financial instruments that require accounting analysis and evaluation;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enhancing the precision of review controls over complex financial instruments;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augmenting the review process relating to the valuation analyses performed by the third-party valuation experts and accounting firms that are utilized by the Company.</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elements of our remediation plan can only be accomplished over time, and we can offer no assurance that these initiatives will ultimately have the intended effects. As management continues to evaluate and work to improve our internal control over financial reporting, management may determine it is necessary to take additional measures to address the material weakness. The material weakness will not be considered remediated unless and until such time as management designs and implements effective controls that operate for a sufficient period of time and concludes, through testing, that these controls are effective. Until the controls have been operating for a sufficient period of time and management has concluded, through testing, that these controls are operating effectively, the material weakness described above will continue to exist. Management will monitor the progress of the remediation plan and report regularly to the audit committee of the board of directors on the progress and results of the remediation plan, including the identification, status and resolution of internal control deficiencies. We can provide no assurance that the measures we have taken and plan to take in the future will remediate the material weakness identified or that any additional material weakness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these controls and procedures may not be adequate to prevent or identify irregularities or errors or to facilitate the fair presentation of our financial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Other than the material weakness and remediation efforts described above, there have been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86"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of the other information contained in this Quarterly Report on Form 10-Q before deciding to invest in our securities. If any of the events or developments described below were to occur, our business, prospects, operating results and financial condition could suffer materially, the trading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Condition and Status as an Early-Stage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are in our early stages and have a limited operating history, which makes it difficult to forecast our future results of operations.</w:t>
      </w:r>
    </w:p>
    <w:p>
      <w:pPr>
        <w:spacing w:after="0" w:line="12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Legacy Rigetti was founded in 2013 and has operated quantum computers over the cloud since 2017. As a result of our limited operating history, our ability to accurately forecast the future results of operations is limited and subject to a number of uncertainties, including our ability to plan for and model future growth. Our ability to generate revenues will largely be dependent on our ability to develop and produce quantum computers with increasing numbers of quantum bits (“qubits”). As of September 30, 2022, the highest number of qubits we have deployed is a quantum computer with 80 qubits. As a result, our scalable business model has not been formed and our technical roadmap may not be realized as quickly as hoped, or even at all. We have in the past failed to meet publicly announced milestones and may fail to meet projected technological milestones in the future. For example, in 2018, we announced that we planned to build and deploy a 128-qubit system over the subsequent twelve months, but have not to date built a</w:t>
      </w:r>
    </w:p>
    <w:p>
      <w:pPr>
        <w:spacing w:after="0" w:line="2"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128-qubit system. In addition, this year we updated our technical roadmap, including anticipated timing for the 84Q Ankaa system, the 336Q Lyra system, 1,000+ qubit system, 4,000+ qubit system and incremental milestones relating to applications, access and production, Quantum Cloud Services (“Quantum Cloud Services” or “QCS”), quantum processing units and chip fabrication. We may further update the technical roadmap in the future, including anticipated milestones and anticipated timeline for milestones. Furthermore, we may be unable to achieve the milestones in our technical roadmap on their announced anticipated timeline or at all. The development of our scalable business model will likely require the incurrence of a substantially higher level of costs than incurred to date, while our revenues will not substantially increase unless and until more powerful, scalable computers are produced, which requires a number of technological advancements which may not occur on the currently anticipated timetable or at all. As a result, our historical results should not be considered indicative of our future performance. Further, in future periods, our growth could slow or decline for a number of reasons, including but not limited to slowing demand for our Quantum Cloud Services (“Quantum Cloud Services” or “QCS”), increased competition, changes to technology, inability to scale up our technology, a decrease in the growth of the market, or our failure, for any reason, to continue to take advantage of growth opportunities.</w:t>
      </w:r>
    </w:p>
    <w:p>
      <w:pPr>
        <w:spacing w:after="0" w:line="18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There is no certainty these research and development milestones will be achieved as quickly as hoped, or even at all.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86"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b w:val="1"/>
          <w:bCs w:val="1"/>
          <w:i w:val="1"/>
          <w:iCs w:val="1"/>
          <w:color w:val="auto"/>
        </w:rPr>
        <w:t>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spacing w:after="0" w:line="4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Our business and future plans for expansion are capital-intensive, and the specific timing of cash inflows and outflows may fluctuate substantially from period to period. We will require a significant amount of cash for expenditures as we invest in ongoing research and development and business operations. For example, in addition to our continuing investment in our technical roadmap we are continuing to invest in the expansion of our Fab-1 facility and expect to make additional investments with respect to electricity upgrades in addition to increased electrical utility fees going forward, and we may be required to pay additional amounts in taxes, penalties or otherwise related to the electrical utility fees that were unpaid and unrecognized in prior periods as discussed in “Management’s Discussion and Analysis of Financial Condition and Results of Operations”. In addition, we expect to incur costs related to, among other things, our management transition, including with respect to the resignation of Dr. Chad Rigetti, the appointment of Mr. Rick Danis as our Interim President and Chief Executive Officer and the ongoing search for and anticipated appointment of a new chief executive officer, in addition to additional legal and consulting fees related to the pending restatement of our first and second quarter 2022 financial statements and remediation of our material weakness in internal controls over financial reporting. The actual amounts we may be required to spend on these and other matters may be greater and more significant than our expectations. Our operating plan may change because of factors currently unknown, and we may need to seek additional funds sooner than planned, through public or private equity or debt financings or other sources, such as strategic collaborations. In addition, we may seek additional capital even if we believe that we have sufficient funds for current or future operating plans. Such financings may result in dilution to stockholders, issuance of securities with priority as to liquidation and dividend and other rights more favorable than common stock, imposition of debt covenants and repayment obligations or other restrictions that may adversely affect our business. Any funds we raise may not be sufficient to enable us to continue to implement our long-term business strategy. Further, our ability to raise additional capital may be adversely impacted by worsening global economic conditions and the recent disruptions to and volatility in the credit and financial markets in the United States and worldwide resulting from the ongoing COVID-19 pandemic and military conflict with Russia and Ukraine and the related sanctions imposed against Russia. 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our business plans. In addition, there is a risk that our current or future suppliers, service providers, manufacturers or other partners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There can be no assurance that financing will be available to us on favorable terms, or at all. The inability to obtain financing when needed may make it more difficult for us to operate our business or implement our growth plans and we may be required to delay, limit or substantially reduce our quantum computing development efforts.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 at terms that are acceptable to us or at all.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operating losses and expect to incur significant expenses and continuing losses for the foreseeable future.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incurred net losses of $48.6 million and $27.6 million for the nine months ended September 30, 2022 and 2021, respectively, and</w:t>
      </w:r>
    </w:p>
    <w:p>
      <w:pPr>
        <w:spacing w:after="0" w:line="35" w:lineRule="exact"/>
        <w:rPr>
          <w:sz w:val="20"/>
          <w:szCs w:val="20"/>
          <w:color w:val="auto"/>
        </w:rPr>
      </w:pPr>
    </w:p>
    <w:p>
      <w:pPr>
        <w:ind w:left="120" w:right="60"/>
        <w:spacing w:after="0" w:line="302" w:lineRule="auto"/>
        <w:rPr>
          <w:sz w:val="20"/>
          <w:szCs w:val="20"/>
          <w:color w:val="auto"/>
        </w:rPr>
      </w:pPr>
      <w:r>
        <w:rPr>
          <w:rFonts w:ascii="Arial" w:cs="Arial" w:eastAsia="Arial" w:hAnsi="Arial"/>
          <w:sz w:val="16"/>
          <w:szCs w:val="16"/>
          <w:color w:val="auto"/>
        </w:rPr>
        <w:t>$38.2 million for the eleven months ended December 31, 2021. As of September 30, 2022, we had an accumulated deficit of $255.8 million. We believe that we will continue to incur operating and net losses each quarter until at least the time we begin generating significant revenue from our narrow or broad quantum advantage quantum computers, which may never occur. Even with significant production, our services may never become profitable.</w:t>
      </w:r>
    </w:p>
    <w:p>
      <w:pPr>
        <w:spacing w:after="0" w:line="15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expect the rate at which we will incur losses to be significantly higher in future periods as we, among other things, continue to incur significant expenses in connection with the design, development and manufacturing of our quantum computers; and as we expand our research and development activities; invest in manufacturing capabilities; build up inventories of components for our quantum computers; increase our sales and marketing activities; develop our infrastructure; and increase our general and administrative functions to support our growing operations and our being a public company. We may find that these efforts are more expensive than we currently anticipate or that these efforts may not result in revenues, which would further increase our losses. If we are unable to achieve and/or sustain profitability, or if we are unable to achieve the growth that we expect from these investments, it could have a material effect on our business, financial condition or results of operations. Our business model is unproven and may never allow us to cover our costs.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operating results may be adversely affected by unfavorable economic and market conditions.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An adverse change in market conditions, including a sustained decline in our stock price, negative changes to the Company’s position in the market, or lack of growth in demand for our products and services could be considered to be an impairment triggering event. Such changes in the future could impact valuation assumptions relating to the recoverability of assets and may result in impairment charges to our goodwill or long-lived asset balances, which would negatively impact our operating results and harm our business.</w:t>
      </w:r>
    </w:p>
    <w:p>
      <w:pPr>
        <w:sectPr>
          <w:pgSz w:w="11900" w:h="16838" w:orient="portrait"/>
          <w:cols w:equalWidth="0" w:num="1">
            <w:col w:w="11120"/>
          </w:cols>
          <w:pgMar w:left="320" w:top="486" w:right="459" w:bottom="1440" w:gutter="0" w:footer="0" w:header="0"/>
        </w:sectPr>
      </w:pP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20"/>
          </w:cols>
          <w:pgMar w:left="320" w:top="486" w:right="4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we determine that our goodwill and long-lived assets have become impaired, we may incur impairment charges, which would negatively impact our operating results.</w:t>
      </w:r>
    </w:p>
    <w:p>
      <w:pPr>
        <w:spacing w:after="0" w:line="27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customer and market demand, which could result in lower profitability or cause us to fail to execute on our business strategies.</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order to grow our business, we will need to continually evolve and scale our business and operations to meet customer and market demand. Quantum computing technology has never been sold at large-scale commercial levels. Evolving and scaling our business and operations places increased demands on our management as well as our financial and operational resources to:</w:t>
      </w:r>
    </w:p>
    <w:p>
      <w:pPr>
        <w:spacing w:after="0" w:line="8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new customers and grow our customer base;</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and increase the rates at which existing customers use our platform, sell additional products and services to our existing customers, and reduce customer churn;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 in our platform and product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effectively manage organizational 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accelerate and/or refocus research and development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manufacturing and supply chain capacity;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sales and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broaden customer-support and services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or increase operational efficiencies;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 appropriate operational and financial systems;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and maintain effective financial disclosure controls and procedures and remediate material weaknesses thereof.</w:t>
      </w:r>
    </w:p>
    <w:p>
      <w:pPr>
        <w:spacing w:after="0" w:line="22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Commercial traction of quantum computing technology may never occur. As noted above, there are significant technological challenges associated with developing, producing, marketing and selling services in the advanced technology industry, including our services, and we may not be able to resolve all of the difficulties that may arise in a timely or cost-effective manner, or at all. We may not be able to cost effectively manage production at a scale or quality consistent with customer demand in a timely or economical manner.</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ability to scale is dependent also upon components we must source from multiple industries including: from the electronics industry with low-noise microwave components, CPUs, GPUs, FPGAs; cryogenic industry with dilution refrigerators and associated helium gas products; and from the semiconductor industry with silicon wafers and other specialty materials, tooling and measurement equipment. Shortages or supply interruptions in any of these components will adversely impact our ability to deliver revenues.</w:t>
      </w:r>
    </w:p>
    <w:p>
      <w:pPr>
        <w:spacing w:after="0" w:line="18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If large-scale development of our quantum computers commences, our computers may contain defects in design and manufacture that may cause them to not perform as expected or that may require repair and design changes. Our quantum computers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computers. There can be no assurance that we will be able to detect and fix any defects in our quantum computers in a timely manner that does not disrupt our services to our customers. 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Even if the market in which we compete achieves its anticipated growth levels, our business could fail to grow at similar rates, if at all.</w:t>
      </w:r>
    </w:p>
    <w:p>
      <w:pPr>
        <w:spacing w:after="0" w:line="129"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Our success will depend upon our ability to expand, scale our operations, and increase our sales and support capability. Even if the market in which we compete meets the size estimates and growth forecasted, our business could fail to grow at similar rates, if at all.</w:t>
      </w:r>
    </w:p>
    <w:p>
      <w:pPr>
        <w:spacing w:after="0" w:line="14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growth is dependent upon our ability to successfully expand our solutions and services, retain customers, bring in new customers and retain critical talent. Unforeseen issues associated with scaling up and constructing quantum computing technology at commercially viable levels could negatively impact our business, financial condition and results of operations.</w:t>
      </w:r>
    </w:p>
    <w:p>
      <w:pPr>
        <w:spacing w:after="0" w:line="184"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Our growth is dependent upon our ability to successfully market and sell our quantum computing services and solutions. We do not have experience with the large-scale production and sale of quantum computing technology. Our growth and long-term success will depend upon the development of our sales and retention capabilities.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Moreover, because of our unique technology, our customers will require particular support and service functions, some of which are not currently available, and may never be available. If we experience delays in adding such support capacity or servicing our customers efficiently, or experiences unforeseen issues with the reliability of our technology, we could overburden our servicing and support capabilities. Similarly, increasing the number of our products and services would require us to rapidly increase the availability of these services. Failure to adequately support and service our customers may inhibit our growth and ability to expand.</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There is no assurance that we will be able to ramp our business to meet our sales, manufacturing, installation, servicing and quantum computing targets globally, that expected growth levels will prove accurate or that the pace of growth or coverage of our customer infrastructure network will meet customer expectations. For example, our competitors may achieve certain narrow and/or broad quantum milestones faster than us, which may negatively impact our business and prospects. Failure to grow at rates similar to that of the quantum computing industry may adversely affect our operating results and ability to effectively compete within the industry.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manage growth effectively.</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For example, the expansion of our Fab 1 facility is ongoing and we may not complete the expansion on terms originally anticipated, in a timely manner or at all, which could have a material impact on our business, financial condition or results of operations. Expansion will require significant cash investments and management resources and there is no guarantee that they will generate additional sales of our products or services, or that we will be able to avoid cost overruns or be able to hire additional personnel to support us. In addition, we will also need to ensure our compliance with regulatory requirements in various jurisdictions applicable to the sale, installation and servicing of our products. To manage the growth of our operations and personnel, we must establish appropriate and scalable operational and financial systems, procedures and controls and establish and maintain a qualified finance, administrative and operations staff. We may be unable to acquire the necessary capabilities and personnel required to manage growth or to identify, manage and exploit potential strategic relationships and market opportunities.</w:t>
      </w:r>
    </w:p>
    <w:p>
      <w:pPr>
        <w:spacing w:after="0" w:line="27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We have a credit facility secured by substantially all of our assets under which we have borrowed and may in the future borrow additional amounts; any indebtedness thereunder could adversely affect our financial position and our ability to raise additional capital and prevent us from fulfilling our obligations.</w:t>
      </w:r>
    </w:p>
    <w:p>
      <w:pPr>
        <w:spacing w:after="0" w:line="7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March 10, 2021, we entered into a Loan and Security Agreement (as amended from time to time, the “Loan Agreement”) with Trinity Capital Inc. (“Trinity”). The credit facility has an available borrowing capacity of $32.0 million. As of September 30, 2022, we had total outstanding indebtedness of approximately $32 million consisting of outstanding borrowings under the Loan Agreement. This and future indebtedness incurred under the Loan Agreement may:</w:t>
      </w:r>
    </w:p>
    <w:p>
      <w:pPr>
        <w:spacing w:after="0" w:line="92" w:lineRule="exact"/>
        <w:rPr>
          <w:sz w:val="20"/>
          <w:szCs w:val="20"/>
          <w:color w:val="auto"/>
        </w:rPr>
      </w:pPr>
    </w:p>
    <w:p>
      <w:pPr>
        <w:ind w:left="5540" w:right="400" w:hanging="4884"/>
        <w:spacing w:after="0" w:line="449" w:lineRule="auto"/>
        <w:tabs>
          <w:tab w:leader="none" w:pos="10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 62</w:t>
      </w:r>
    </w:p>
    <w:p>
      <w:pPr>
        <w:sectPr>
          <w:pgSz w:w="11900" w:h="16838" w:orient="portrait"/>
          <w:cols w:equalWidth="0" w:num="1">
            <w:col w:w="11100"/>
          </w:cols>
          <w:pgMar w:left="320" w:top="486"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require us to use a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29"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following the consummation of our initial public offering borrowings under the Loan Agreement are subject to interest at the greater of (i) a floating per annum rate equal to 7.5% above the prime rate, or (ii) a fixed per annum rate equal to 11.0%, also paid on a monthly basis;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competitive and industry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credit facility is secured by substantially all of our assets. In addition, the Loan Agreement contains, and the agreements governing our future indebtedness may contain, restrictive covenants that may limit our ability to engage in activities that may be in our long-term best interest. These restrictive covenants include, among others, financial reporting requirements and limitations on indebtedness, liens, mergers, consolidations, liquidations and dissolutions, sales of assets, dividends and other restricted payments, investments (including acquisitions) and transactions with affiliates. Our failure to comply with those covenants could result in an event of default which, if not cured or waived, could result in the acceleration of substantially all of our debt and potentially the foreclosure on our assets in the event we are unable to repay all amounts owed.</w:t>
      </w:r>
    </w:p>
    <w:p>
      <w:pPr>
        <w:spacing w:after="0" w:line="27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62"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have incurred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2021 we had U.S. federal net operating loss carryforwards of approximately $190.9 million.</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current law,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current law.</w:t>
      </w:r>
    </w:p>
    <w:p>
      <w:pPr>
        <w:spacing w:after="0" w:line="184"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In addition, our net operating loss carryforwards are subject to review and possible adjustment by the IRS, and state tax authorities. Under Sections 382 and 383 of the Internal Revenue Code of 1986, as amended (the “Code”), our federal net operating loss carryforwards and other tax attributes may become subject to an annual limitation in the event of certain cumulative changes in the ownership of the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net operating loss carryforwards and other tax attributes to offset future taxable income or tax liabilities may be limited as a result of ownership changes, including potential changes in connection with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net operating loss carryforwards and other tax attributes.</w:t>
      </w:r>
    </w:p>
    <w:p>
      <w:pPr>
        <w:spacing w:after="0" w:line="16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we earn taxable income, such limitations could result in increased future income tax liability and our future cash flows could be adversely affected. We have recorded a valuation allowance related to our net operating loss carryforwards and other deferred tax assets due to the uncertainty of the ultimate realization of the future benefits of those assets.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86"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We have not produced quantum computers with high qubit counts or at volume and we face significant barriers in our attempts to produce quantum computers, including the need to invent and develop new technology. If we cannot successfully overcome those barriers, our business will be negatively impacted and could fail.</w:t>
      </w:r>
    </w:p>
    <w:p>
      <w:pPr>
        <w:spacing w:after="0" w:line="7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Producing quantum computers is a difficult undertaking. There are significant engineering challenges that we must overcome to build our quantum computers. We are still in the development stage and face significant challenges in completing development of our quantum computers and in producing quantum computers in sufficient volumes. Some of the development challenges that could prevent the introduction of our quantum computers include, but are not limited to, failure to find scalable ways to manipulate qubits, failure to reduce error rates, failure to transition quantum systems to leverage low-cost components, and failure to realize multi-chip quantum computer technology.</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Even if we complete development and achieve volume production of our quantum computers, if the cost, accuracy, performance characteristics or other specifications of the quantum computer fall short of our expectations, our business, financial condition and results of operations would be adversely affected.</w:t>
      </w:r>
    </w:p>
    <w:p>
      <w:pPr>
        <w:spacing w:after="0" w:line="292"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Any future generations of hardware and software developed to demonstrate narrow quantum advantage and broad quantum advantage, and the anticipated release of an 84 qubit system, 336 qubit system, 1,000+ qubit system and 4,000+ qubit system, each of which is an important anticipated milestone for our technical roadmap and commercialization, may not occur on our anticipated timeline or at all.</w:t>
      </w:r>
    </w:p>
    <w:p>
      <w:pPr>
        <w:spacing w:after="0" w:line="4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Our successful execution of our technical roadmap is based on the development of multiple generations of quantum computing systems, including hardware that demonstrates narrow quantum advantage and broad quantum advantage, and the release of an 84 qubit system, 336 qubit system, 1,000+ qubit system and 4,000+ qubit system in addition to other anticipated milestones. The future success of our technical roadmap will depend upon our ability to continue to increase the number of qubits and decrease error rates in each subsequent generation of our quantum computer. If we are unable to achieve the increase in the number of qubits or decrease in error rates on the timeframe that we anticipate, the availability of future generations of quantum computer systems may be materially delayed, or may never occur. In the past we have failed to meet publicly announced milestones and may fail to meet projected milestones in the future. For example, we earlier this year announced an update in our anticipated timing with respect to certain anticipated milestones in our technical roadmap, including with respect to our anticipated 1,000+ qubit system and 4,000+ qubit system. If our technical roadmap is delayed or never achieved, this would have a material impact on our business, financial condition or results of operations.</w:t>
      </w:r>
    </w:p>
    <w:p>
      <w:pPr>
        <w:spacing w:after="0" w:line="27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We may expend our resources to pursue particular products, designs, sectors or investments and we may fail to capitalize on such products, designs, sectors or investments and/or forego other products, designs, sectors or investments that may have been more profitable or for which there may have been a greater likelihood of success.</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Because we have limited financial and operational resources, we must prioritize our research and development for use of quantum computing within certain products, designs, sectors or investments. Correctly prioritizing our research and development activities is particularly important for us due to the breadth of companies building or seeking to build universal, gate-model quantum computing systems that can meet the requirements for solving commercial problems. As a result, we may forego or delay pursuit of opportunities in other products, designs, sectors or investments that later prove to have greater commercial potential and ability to achieve quantum advantage. For example, although we currently believe that quantum machine learning for finance is poised to be an early domain of quantum advantage through rapid value capture from quick integration, the risks associated with developing a product that can compute algorithms that scale efficiently to real-world size applications and will be applicable to multiple use cases and competition in creating such a product, among others, could outweigh the benefits. We may fail to capitalize on the products, designs, sectors, or investments we choose to pursue, and our resource allocation decisions may cause us to or forego viable or more profitable products, designs, sectors or investments, which would have an adverse effect on our business, prospects and financial results.</w:t>
      </w:r>
    </w:p>
    <w:p>
      <w:pPr>
        <w:spacing w:after="0" w:line="276"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The quantum computing industry is competitive on a global scale and we may not be successful in competing in this industry or establishing and maintaining confidence in our long-term business prospects among current and future partners and customers.</w:t>
      </w:r>
    </w:p>
    <w:p>
      <w:pPr>
        <w:spacing w:after="0" w:line="3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markets in which we operate are rapidly evolving and highly competitive. As the marketplace continues to mature and new technologies and competitors enter, we expect competition to intensify. Our current competitors include:</w:t>
      </w:r>
    </w:p>
    <w:p>
      <w:pPr>
        <w:spacing w:after="0" w:line="76" w:lineRule="exact"/>
        <w:rPr>
          <w:sz w:val="20"/>
          <w:szCs w:val="20"/>
          <w:color w:val="auto"/>
        </w:rPr>
      </w:pPr>
    </w:p>
    <w:p>
      <w:pPr>
        <w:ind w:left="1080" w:right="2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large, well-established tech companies that generally compete across our products, including Quantinuum, Google, Microsoft, Amazon, Intel and IBM;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6"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large research organizations funded by sovereign nations such as China, Russia, Canada, Australia and the United Kingdom, and those in the European Union as of the date of this Quarterly Report on Form 10-Q and we believe additional countries in the future;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less-established public and private companies with competing technology, including companies located outside the United States;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or emerging entrants seeking to develop competing technologies.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compete based on various factors, including technology, performance, multi-cloud availability, brand recognition and reputation, customer support and differentiated capabilities, including ease of administration and use, scalability and reliability, data governance and security. Many of our competitors have substantially greater brand recognition, customer relationships, and financial, technical and other resources, including an experienced sales force and sophisticated supply chain management. They may be able to respond more effectively than us to new or changing opportunities, technologies, standards, customer requirements and buying practices. In addition, many countries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might be able to compete with us by bundling their other products in a way that does not allow us to offer a competitive solution.</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Additionally, we must be able to achieve our objectives in a timely manner lest quantum computing lose ground to competitors, including competing technologies. For example, our competitors may achieve certain narrow and/or broad quantum milestones faster than us, which may negatively impact our business and prospects. Because there are a large number of market participants, including certain sovereign nations,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w:t>
      </w:r>
    </w:p>
    <w:p>
      <w:pPr>
        <w:spacing w:after="0" w:line="192"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For all of these reasons, competition may negatively impact our ability to maintain and grow consumption of our platform or put downward pressure on our prices and gross margins, any of which could materially harm our reputation, business, results of operations, and financial condition.</w:t>
      </w:r>
    </w:p>
    <w:p>
      <w:pPr>
        <w:spacing w:after="0" w:line="23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for a significant percentage of our revenue and the loss or temporary loss of a major customer for any reason could harm our financial condition.</w:t>
      </w:r>
    </w:p>
    <w:p>
      <w:pPr>
        <w:spacing w:after="0" w:line="62"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We have historically generated most of our revenue from a limited number of customers. Our three largest customers, which differed by period, collectively accounted for 66% of our revenue for the fiscal year ended December 31, 2021, 64% of our revenue for the nine months ended September 30, 2022 and 64% of our revenue for the nine months ended September 30, 2021. As a consequence of the concentrated nature of our customer base, our quarterly revenue and results of operations may fluctuate from quarter to quarter and are difficult to estimate, and any delay, reduction or cancellation of orders or services rendered or any acceleration or delay in anticipated purchases or grants and awards by our larger customers could materially affect our revenue and results of operations in any quarterly period. For further information regarding our customer concentration, refer to Note 2 to the notes to our unaudited condensed consolidated financial statements for the nine months ended September 30, 2022, included elsewhere in this Quarterly Report on Form 10-Q and Note 2 to the notes to our audited consolidated financial statements for the fiscal year ended December 31, 2021, included in our Current Report on Form 8-K filed with the SEC on March 7, 2022.</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may be unable to sustain or increase our revenue from our larger customers, grow revenues with new or other existing customers at the rate we anticipate or at all, or offset the discontinuation of concentrated purchases by our larger customers with purchases by new or existing customers. These larger customers could also reduce or discontinue their purchases of our products and services in the event they transition to internally developed products and services or determine to divide their purchases of our products and services between us and a second source. We expect that such concentrated purchases will continue to contribute materially to our revenue for the foreseeable future and that our results of operations may fluctuate materially as a result of such larger customers’ buying patterns or funding cycles. The loss or temporary loss of such customers, or a significant delay or reduction in their purchases, could materially harm our business, financial condition, results of operations and prospects.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86"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375" w:lineRule="auto"/>
        <w:rPr>
          <w:sz w:val="20"/>
          <w:szCs w:val="20"/>
          <w:color w:val="auto"/>
        </w:rPr>
      </w:pPr>
      <w:r>
        <w:rPr>
          <w:rFonts w:ascii="Arial" w:cs="Arial" w:eastAsia="Arial" w:hAnsi="Arial"/>
          <w:sz w:val="15"/>
          <w:szCs w:val="15"/>
          <w:b w:val="1"/>
          <w:bCs w:val="1"/>
          <w:i w:val="1"/>
          <w:iCs w:val="1"/>
          <w:color w:val="auto"/>
        </w:rPr>
        <w:t>A significant portion of our revenue currently depends on contracts with the public sector, and our failure to receive and maintain government contracts or changes in the contracting or fiscal policies of the public sector could have a material adverse effect on our business.</w:t>
      </w:r>
    </w:p>
    <w:p>
      <w:pPr>
        <w:spacing w:after="0" w:line="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derive a significant portion of our revenue from contracts with U.S. federal and foreign governments and government agencies, and we believe that the success and growth of our business will continue to depend on our successful procurement of government contracts. We have historically derived, and expect to continue to derive, a significant portion of our revenue from contracts with agencies of the U.S. federal and foreign governments, either directly by us or through other government contractors. In the eleven months ended December 31, 2021 and the year ended January 31, 2021, sales to government entities comprised 51.0% and 59.6% of our total revenue, respectively. In the nine months ended September 30, 2022 and 2021, sales to government entities comprised 74.1% and 79.6% of our total revenue, respectively.</w:t>
      </w:r>
    </w:p>
    <w:p>
      <w:pPr>
        <w:spacing w:after="0" w:line="17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Contracts with government agencies are subject to a number of challenges and risks. The bidding process for government contracts can be highly competitive, expensive, and time-consuming, often requiring significant upfront time and expense without any assurance that these efforts will generate revenue. We also must comply with laws and regulations relating to the formation, administration, and performance of contracts, which provide public sector customers rights, many of which are not typically found in commercial contracts. In addition, our perceived relationship with the U.S. government could adversely affect our business prospects in certain non-U.S. geographies or with certain non-U.S. governments.</w:t>
      </w:r>
    </w:p>
    <w:p>
      <w:pPr>
        <w:spacing w:after="0" w:line="16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Accordingly, our business, financial condition, results of operations, and growth prospects may be adversely affected by certain events or activities, including, but not limited to:</w:t>
      </w:r>
    </w:p>
    <w:p>
      <w:pPr>
        <w:spacing w:after="0" w:line="76" w:lineRule="exact"/>
        <w:rPr>
          <w:sz w:val="20"/>
          <w:szCs w:val="20"/>
          <w:color w:val="auto"/>
        </w:rPr>
      </w:pPr>
    </w:p>
    <w:p>
      <w:pPr>
        <w:ind w:left="1080" w:right="5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government fiscal or procurement policies, or decreases in government funding available for procurement of goods and services generally, or for our federal government contracts specifically;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government programs or applicable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in the grant of personnel security clearances to our employees;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maintain facility clearances required to perform on classified contracts for U.S. federal government and foreign government agencies;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political environment, including before or after a change to the leadership within the government administration, and any resulting uncertainty or changes in policy or priorities and resultant funding;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government’s attitude towards the capabilities that we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government’s attitude towards us as a company or our platforms;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Appeals, disputes, or litigation relating to government procurement, including but not limited to bid protests by unsuccessful bidders on potential or actual awards of contracts to us or our partners by the government;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Budgetary constraints, including automatic reductions as a result of “sequestration” or similar measures and constraints imposed by any lapses in appropriations for the federal government or certain of its departments and agencies;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Influence by, or competition from, third parties with respect to pending, new, or existing contracts with government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or data privacy issues;</w:t>
      </w:r>
    </w:p>
    <w:p>
      <w:pPr>
        <w:spacing w:after="0" w:line="130" w:lineRule="exact"/>
        <w:rPr>
          <w:rFonts w:ascii="Arial" w:cs="Arial" w:eastAsia="Arial" w:hAnsi="Arial"/>
          <w:sz w:val="18"/>
          <w:szCs w:val="18"/>
          <w:color w:val="auto"/>
        </w:rPr>
      </w:pPr>
    </w:p>
    <w:p>
      <w:pPr>
        <w:ind w:left="1080" w:right="600" w:hanging="424"/>
        <w:spacing w:after="0" w:line="34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 delays or changes in the government appropriations or procurement processes, including as a result of events such as war, incidents of terrorism, natural disasters, and public health concerns or epidemics, such as the coronavirus pandemic;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or unexpected costs or unanticipated delays caused by other factors outside of our control.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86"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For example, following the second quarter 2022, we announced that we anticipate lower-than-expected new government contract opportunities and what we believe to be slower than anticipated timing of government funding and appropriations with respect to relevant projects in 2022. In addition, as previously disclosed, we are negotiating contracts with a government entity that is also an existing customer and the contracting process has taken longer than anticipated. Accordingly, there is a risk that some of the $4.0 million revenue we anticipate from these contracts would be deferred to later fiscal periods after the 2022 fiscal year if the contract negotiations are not completed, the contracts are not executed and we are unable to invoice for the full amount in 2022. Moreover, if negotiations result in contract terms that are less favorable than we anticipated, the total expected value of these contracts could decrease. Additionally, a portion of such anticipated revenue relates to work that has already been performed and costs that have already been incurred. While we have made progress in the negotiation and expect to complete the negotiation prior to the current fiscal year end, we cannot assure the execution of these contracts or receipt of payment by the end of the fiscal year. If the contracts are not ultimately executed, it would likely be very difficult to realize the expected revenue from this government entity and we may be unable to recoup all or a portion of costs already incurred.</w:t>
      </w:r>
    </w:p>
    <w:p>
      <w:pPr>
        <w:spacing w:after="0" w:line="18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such of the foregoing events or activities, among others, could cause governments and governmental agencies to delay or refrain entering into contracts with us and/or purchasing our computers in the future, reduce the size or timing of payment with respect to our services to or purchases from existing or new government customers, or otherwise have an adverse effect on our business, results of operations, financial condition, and growth prospects.</w:t>
      </w:r>
    </w:p>
    <w:p>
      <w:pPr>
        <w:spacing w:after="0" w:line="29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business is currently dependent upon our relationship with our cloud providers. There are no assurances that we will be able to commercialize quantum computers from our relationships with cloud providers.</w:t>
      </w:r>
    </w:p>
    <w:p>
      <w:pPr>
        <w:spacing w:after="0" w:line="6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currently offer access to quantum computing as a service (“Quantum Computing as a Service” or “QCaaS”), both directly to our end users with our own Quantum Cloud Services and indirectly to end users through public cloud providers such as Amazon Braket and Microsoft Azure Quantum who integrate our QCS into their own quantum computing platforms. These public cloud partners operate a service in direct competition with our providing direct access to QCS. Currently, a majority of our QCaaS business is run through the AWS service, and we intend to partner with additional partners to provide access to our QCaaS. Cloud computing partnerships could be terminated, or not scale as anticipated, or even at all.</w:t>
      </w:r>
    </w:p>
    <w:p>
      <w:pPr>
        <w:spacing w:after="0" w:line="16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There is risk that one or more of the public cloud providers, such as AWS and Azure, could use their respective control of their public clouds to control market pricing of the services, restrict access, embed innovations or privileged interoperating capabilities in competing products, bundle competing products and leverage their public cloud customer relationships to exclude us from opportunities.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w:t>
      </w:r>
    </w:p>
    <w:p>
      <w:pPr>
        <w:spacing w:after="0" w:line="16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Currently, our customer agreement with AWS remains in effect until (i) terminated for convenience, which we may do for any reason by providing AWS notice and closing our account and which AWS may do for any reason by providing us at least 30 days’ notice or (ii) terminated for cause, which either party may do if the other party has an uncured material breach and which AWS may do immediately upon notice. Although alternative data center providers could host our business on a substantially similar basis to AWS, transitioning the cloud infrastructure currently hosted by AWS to alternative providers could potentially be disruptive, and we could incur significant one-time costs. If we are unable to renew our agreement with AWS on commercially acceptable terms, our agreement with AWS is prematurely terminated, or it adds additional infrastructure providers, we may experience costs or downtime in connection with the transfer to, or the addition of, new data center providers. If AWS or other infrastructure providers increase the costs of their services, our business, financial condition, or results of operations could be materially and adversely affected.</w:t>
      </w:r>
    </w:p>
    <w:p>
      <w:pPr>
        <w:spacing w:after="0" w:line="16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Any material change in our contractual and other business relationships with our partners, could result in reduced use of our systems, increased expenses, including service credit obligations, and harm to our brand and reputation, any of which could have a material adverse effect on our business,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86"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We rely on access to high performance third party classical computing through public clouds, high performance computing centers and on-premises computing infrastructure to deliver performant quantum solutions to customers. We may not be able to maintain high quality relationships and connectivity with these resources which could make it harder for us to reach customers or deliver solutions in a cost-effective manner.</w:t>
      </w:r>
    </w:p>
    <w:p>
      <w:pPr>
        <w:spacing w:after="0" w:line="23"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QCS incorporates high performance classical computing through public clouds to provide services to end users and our partners. These services are predominantly on AWS.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Any material change in our contractual and other business relationships with AWS or other cloud provider, could result in reduced use of our systems, increased expenses, including service credit obligations, and harm our brand and reputation, any of which could have a material adverse effect on our business, financial condition and results of operations.</w:t>
      </w:r>
    </w:p>
    <w:p>
      <w:pPr>
        <w:spacing w:after="0" w:line="184"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spacing w:after="0" w:line="295"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p>
      <w:pPr>
        <w:spacing w:after="0" w:line="1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buy our products and supplies from suppliers that manufacture and source products from the United States and abroad. We enter into agreements with many of our suppliers that provide us with exclusive or restrictive distribution rights, limiting our competitors’ ability to source materials from such suppliers. Our ability to identify and develop relationships with qualified suppliers and enter into exclusive or restrictive distribution rights agreements with suppliers who can satisfy our standards for quality and our need to access products and supplies in a timely and efficient manner is a significant challenge. Any failure to maintain our relationship with any of our top ten largest suppliers, or a failure to replace any such supplier that is lost, could have a material adverse effect on our business, financial position, results of operations and cash flows.</w:t>
      </w:r>
    </w:p>
    <w:p>
      <w:pPr>
        <w:spacing w:after="0" w:line="164"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We may be required to replace a supplier if their products do not meet our quality or safety standards. In addition, our suppliers could discontinue selling products at any time for reasons that may or may not be in our control or the suppliers’ control, including shortages of raw materials, environmental and social supply chain issues, pandemic, labor disputes or weather conditions. Disruptions in transportation lines or the ongoing military conflict involving Russia and Ukraine may also cause global supply chain issues that affect us or our suppliers. We generally have multiple sources of supply, however, in some cases, materials are provided by a single supplier. For example, our small and mid-size cryogenic refrigerators have been provided by a single supplier and we have begun to source from a second supplier. In addition, we expect that larger cryogenic refrigerators required in connection with the potential development of systems greater than 100 qubits will be provided by a single supplier, at least for an initial period of time. We cannot assure that any of our suppliers or potential suppliers will have the capacity to supply larger cryogenic refrigerators on the terms, timing or scale that we expect. The loss of, or substantial decrease in the availability of, products from our suppliers, or the loss of a key supplier, temporarily or permanently, could result in a material shortage of products, which could lead to price escalations that we may be unable to offset by our prices to our customers. When supply chain issues are later resolved and prices return to normal levels, we may be required to reduce the prices at which we sell our products to our customers in order to remain competitive. In addition, even where these risks do not materialize, we may incur costs as we prepare contingency plans to address such risks. Our operating results and inventory levels could suffer if we are unable to promptly replace a supplier who is unwilling or unable to satisfy our requirements with a supplier providing similar products. In addition, our suppliers’ ability to deliver products may also be affected by raw material and commodity cost volatility or financing constraints caused by credit market conditions, which could materially and negatively impact our net sales and operating costs, at least until alternate sources of supply are arranged. Any delay or unavailability of key products required for our development activities could delay or prevent us from further developing our systems and applications on our expected timelines or at all.</w:t>
      </w:r>
    </w:p>
    <w:p>
      <w:pPr>
        <w:spacing w:after="0" w:line="19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Additionally, our business, financial position, results of operations and cash flows could be materially and adversely affected by our inability to continue sourcing products from our suppliers. Although we seek to have alternate sources and recover increases in input costs through price increases in our products, shortages, supply chain interruptions or regulatory changes or other governmental actions could result in the need to change suppliers or incur cost increases that cannot, in the short term, or in some cases even in the long-term, be offset by our prices.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86"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may face unknown supply chain issues that could delay the development or introduction of our products and negatively impact our business and operating results.</w:t>
      </w:r>
    </w:p>
    <w:p>
      <w:pPr>
        <w:spacing w:after="0" w:line="62"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are reliant on third-party suppliers for components necessary to develop and manufacture our quantum computing solutions. Any of the following factors (and others) could have an adverse impact on the availability of these components:</w:t>
      </w:r>
    </w:p>
    <w:p>
      <w:pPr>
        <w:spacing w:after="0" w:line="76"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enter into agreements with suppliers on commercially reasonable terms, or at all;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of suppliers ramping up their supply of materials to meet our requirements;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increase in the price of one or more components, including due to industry consolidation occurring within one or more component supplier markets or as a result of decreased production capacity at manufacturers;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reductions or interruption in supply, including disruptions on our global supply chain as a result of the COVID-19</w:t>
      </w:r>
    </w:p>
    <w:p>
      <w:pPr>
        <w:spacing w:after="0" w:line="130" w:lineRule="exact"/>
        <w:rPr>
          <w:rFonts w:ascii="Arial" w:cs="Arial" w:eastAsia="Arial" w:hAnsi="Arial"/>
          <w:sz w:val="18"/>
          <w:szCs w:val="18"/>
          <w:color w:val="auto"/>
        </w:rPr>
      </w:pPr>
    </w:p>
    <w:p>
      <w:pPr>
        <w:jc w:val="both"/>
        <w:ind w:left="1080" w:right="60" w:hanging="424"/>
        <w:spacing w:after="0" w:line="31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pandemic, which we have experienced, and may in the future experience or as a result of the ongoing military conflict between Russia and Ukraine and the related sanctions imposed against Russia (including as a result of disruptions of global shipping, the transport of products, energy supply, cybersecurity incidents and banking systems as well as of our ability to control input costs) or otherwise;</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problems of either manufacturers or component suppliers;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significantly increased freight charges, or raw material costs and other expenses associated with our business;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factors beyond our control or which we do not presently anticipate, could also affect our suppliers’ ability to deliver components to us on a timely basis;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failure to develop our supply chain management capabilities and recruit and retain qualified professionals;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failure to adequately authorize procurement of inventory by our contract manufacturers;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failure to appropriately cancel, reschedule or adjust our requirements based on our business needs.</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any of the aforementioned factors were to materialize, it could cause us to halt production of our quantum computing solutions and/or entail higher manufacturing costs, any of which could materially adversely affect our business, operating results, and financial condition and could materially damage customer relationships.</w:t>
      </w:r>
    </w:p>
    <w:p>
      <w:pPr>
        <w:spacing w:after="0" w:line="292"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Our systems depend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p>
      <w:pPr>
        <w:spacing w:after="0" w:line="4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There are limited suppliers to sources of materials which may be necessary for the production of our technology. We are currently reliant on a single or small number of suppliers for certain resources. While we are currently looking to engage additional suppliers, there is no guarantee we will be able to establish or maintain relationships with such additional suppliers on terms satisfactory to us. Reliance on any single supplier increases the risks associated with being unable to obtain the necessary components because the supplier may have manufacturing constraints, can be subject to unanticipated shutdowns and/or may be affected by natural disasters and other catastrophic events. Some of these factors may be completely out of our and our suppliers’ control. Failure to acquire sufficient quantities of the necessary components in a timely or cost-effective manner could materially harm our business.</w:t>
      </w:r>
    </w:p>
    <w:p>
      <w:pPr>
        <w:spacing w:after="0" w:line="303" w:lineRule="exact"/>
        <w:rPr>
          <w:sz w:val="20"/>
          <w:szCs w:val="20"/>
          <w:color w:val="auto"/>
        </w:rPr>
      </w:pPr>
    </w:p>
    <w:p>
      <w:pPr>
        <w:ind w:left="120" w:right="900"/>
        <w:spacing w:after="0" w:line="342" w:lineRule="auto"/>
        <w:rPr>
          <w:sz w:val="20"/>
          <w:szCs w:val="20"/>
          <w:color w:val="auto"/>
        </w:rPr>
      </w:pPr>
      <w:r>
        <w:rPr>
          <w:rFonts w:ascii="Arial" w:cs="Arial" w:eastAsia="Arial" w:hAnsi="Arial"/>
          <w:sz w:val="16"/>
          <w:szCs w:val="16"/>
          <w:b w:val="1"/>
          <w:bCs w:val="1"/>
          <w:i w:val="1"/>
          <w:iCs w:val="1"/>
          <w:color w:val="auto"/>
        </w:rPr>
        <w:t>Even if we are successful in developing quantum computing systems and executing our strategy, competitors in the industry may achieve technological breakthroughs which render our quantum computing systems obsolete or inferior to other products.</w:t>
      </w:r>
    </w:p>
    <w:p>
      <w:pPr>
        <w:spacing w:after="0" w:line="1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continued growth and success depend on our ability to innovate and develop quantum computing technology in a timely manner and effectively market these products. Without timely innovation and development, our quantum computing solutions could be rendered obsolete or less competitive by changing customer preferences or because of the introduction of a competitor’s newer technologies. We believe that many competing technologies will require a technological breakthrough in one or more problems related to science, fundamental physics or manufacturing. While it is uncertain whether such technological breakthroughs will occur in the next several years that does not preclude the possibility that such technological breakthroughs could eventually occur. Any technological breakthroughs which render our technology obsolete or inferior to other products, could have a material effect on our business, financial condition or results of operations.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86"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be unable to reduce the cost of developing our quantum computers, which may prevent us from pricing our quantum systems competitively.</w:t>
      </w:r>
    </w:p>
    <w:p>
      <w:pPr>
        <w:spacing w:after="0" w:line="15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success of our business is dependent upon the cost per qubit decreasing over the next several years as our quantum computers advance, which is based on achieving anticipated economies of scale related to demand for our computer systems, technological innovation and negotiations with third-party parts suppliers. If we do not achieve economies of scale or if the anticipated cost savings do not materialize, we may be unable to achieve a lower cost per qubit, which would make our quantum computing solution less competitive than those produced by our competitors and could have a material adverse effect on our business, financial condition or results of operations. Due to macroeconomic headwinds, we have experienced and may continue to experience increased costs, including with respect to labor and products.</w:t>
      </w:r>
    </w:p>
    <w:p>
      <w:pPr>
        <w:spacing w:after="0" w:line="28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w:t>
      </w:r>
    </w:p>
    <w:p>
      <w:pPr>
        <w:spacing w:after="0" w:line="7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nascent market for quantum computers is still rapidly evolving, characterized by rapidly changing technologies, competitive pricing and competitive factors, evolving government regulation and industry standards, and changing customer demands and behaviors. If demand for quantum computers in general does not develop as expected, or develops more slowly than expected, our business, prospects, financial condition and operating results could be harmed.</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our growth and future demand for our products is highly dependent upon the adoption by developers and customers of quantum computers, as well as on our ability to demonstrate the value of quantum computing to our customers. Delays in future generations of our quantum computers or technical failures at other quantum computing companies could limit acceptance of our solution. Negative publicity concerning our solution or the quantum computing industry as a whole could limit acceptance of our solution. We believe quantum computing will solve many large-scale problems. However, such problems may never be solvable by quantum computing technology. If our clients and partners do not perceive the benefits of our solution, or if our solution does not drive member engagement, then demand for our products may not develop at all, or it may develop slower than we expect. If any of these events occur, it could have a material adverse effect on our business, financial condition or results of operations. If progress towards quantum advantage ever slows relative to expectations, it could adversely impact revenues and customer confidence to continue to pay for testing, access and “quantum readiness.” This would harm or even eliminate revenues in the period before quantum advantage.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our computers fail to achieve quantum advantage, our business, financial condition and future prospects may be harmed.</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Quantum advantage refers to the moment when a quantum computer can compute faster than traditional computers, while quantum supremacy is achieved once quantum computers are powerful enough to complete calculations that traditional supercomputers cannot perform at all. Broad quantum advantage is when quantum advantage is seen in many applications and developers prefer quantum computers to a traditional computer. No current quantum computers, including our quantum hardware, have reached a broad quantum advantage, and may never reach such advantage. Achieving a broad quantum advantage will be critical to the success of any quantum computing company, including ours. However, achieving quantum advantage would not necessarily lead to commercial viability of the technology that accomplished such advantage, nor would it mean that such system could outperform classical computers in tasks other than the one used to determine a quantum advantage. Quantum computing technology, including broad quantum advantage, may take decades to be realized, if ever. If we cannot develop quantum computers that have quantum advantage, customers may not continue to purchase our products and services. If other companies’ quantum computers reach a broad quantum advantage prior to the time we reach such capabilities, it could lead to a loss of customers. If any of these events occur, it could have a material adverse effect on our business, financial condition or results of operations.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We could suffer disruptions, outages, defects and other performance and quality problems with our quantum computing systems, our production technology partners or with the public cloud, data centers and internet infrastructure on which we rely.</w:t>
      </w:r>
    </w:p>
    <w:p>
      <w:pPr>
        <w:spacing w:after="0" w:line="38"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Our business depends on our quantum computing systems being available. We have experienced, and may in the future further experience, disruptions, outages, defects and other performance and quality problems with our systems. We have also experienced, and may in the future further experience, disruptions, outages, defects and other performance and quality problems with the public cloud and internet infrastructure on which our systems rely. These problems can be caused by a variety of factors, including failed introductions of new functionality, vulnerabilities and defects in proprietary and open-source software, hardware components, human error or misconduct, capacity constraints, design limitations or denial of service attacks or other security-related incidents. We do not have a contractual right with our public cloud providers that compensates us for any losses due to availability interruptions in the public cloud.</w:t>
      </w:r>
    </w:p>
    <w:p>
      <w:pPr>
        <w:spacing w:after="0" w:line="17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Any disruptions, outages, defects and other performance and quality problems with our quantum computing system or with the public cloud and internet infrastructure on which we rely, could result in reduced use of our systems, increased expenses, including service credit obligations, and harm to our brand and reputation, any of which could have a material adverse effect on our business, financial condition and results of operations.</w:t>
      </w:r>
    </w:p>
    <w:p>
      <w:pPr>
        <w:spacing w:after="0" w:line="257" w:lineRule="exact"/>
        <w:rPr>
          <w:sz w:val="20"/>
          <w:szCs w:val="20"/>
          <w:color w:val="auto"/>
        </w:rPr>
      </w:pPr>
    </w:p>
    <w:p>
      <w:pPr>
        <w:ind w:left="120" w:right="620"/>
        <w:spacing w:after="0" w:line="375" w:lineRule="auto"/>
        <w:rPr>
          <w:sz w:val="20"/>
          <w:szCs w:val="20"/>
          <w:color w:val="auto"/>
        </w:rPr>
      </w:pPr>
      <w:r>
        <w:rPr>
          <w:rFonts w:ascii="Arial" w:cs="Arial" w:eastAsia="Arial" w:hAnsi="Arial"/>
          <w:sz w:val="15"/>
          <w:szCs w:val="15"/>
          <w:b w:val="1"/>
          <w:bCs w:val="1"/>
          <w:i w:val="1"/>
          <w:iCs w:val="1"/>
          <w:color w:val="auto"/>
        </w:rPr>
        <w:t>If we cannot successfully execute on our strategy, including in response to changing customer needs and new technologies and other market requirements, or achieve our objectives in a timely manner, our business, financial condition and results of operations could be harmed.</w:t>
      </w:r>
    </w:p>
    <w:p>
      <w:pPr>
        <w:spacing w:after="0" w:line="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 quantum computing market is characterized by rapid technological change, changing user requirements, uncertain product lifecycles and evolving industry standards. We believe that the pace of innovation will continue to accelerate as technology changes and different approaches to quantum computing mature on a broad range of factors, including system architecture, error correction, performance and scale, ease of programming, user experience, markets addressed, types of data processed, and data governance and regulatory compliance. Our future success depends on our ability to continue to innovate and increase customer adoption of our quantum solutions. If we are unable to enhance our quantum computing system to keep pace with these rapidly evolving customer requirements, or if new technologies emerge that are able to deliver competitive products at lower prices, more efficiently, with better functionality, more conveniently, or more securely than our platform, our business, financial condition and results of operations could be adversely affected.</w:t>
      </w:r>
    </w:p>
    <w:p>
      <w:pPr>
        <w:spacing w:after="0" w:line="286" w:lineRule="exact"/>
        <w:rPr>
          <w:sz w:val="20"/>
          <w:szCs w:val="20"/>
          <w:color w:val="auto"/>
        </w:rPr>
      </w:pPr>
    </w:p>
    <w:p>
      <w:pPr>
        <w:ind w:left="120" w:right="560"/>
        <w:spacing w:after="0" w:line="340" w:lineRule="auto"/>
        <w:rPr>
          <w:sz w:val="20"/>
          <w:szCs w:val="20"/>
          <w:color w:val="auto"/>
        </w:rPr>
      </w:pPr>
      <w:r>
        <w:rPr>
          <w:rFonts w:ascii="Arial" w:cs="Arial" w:eastAsia="Arial" w:hAnsi="Arial"/>
          <w:sz w:val="15"/>
          <w:szCs w:val="15"/>
          <w:b w:val="1"/>
          <w:bCs w:val="1"/>
          <w:i w:val="1"/>
          <w:iCs w:val="1"/>
          <w:color w:val="auto"/>
        </w:rPr>
        <w:t>We are highly dependent on our ability to attract and retain senior executive leadership and other key employees, such as quantum physicists, software engineers and other key technical employees, which is critical to our success. If we fail to retain talented, highly qualified senior management, engineers and other key employees or attract them when needed, such failure could negatively impact our business.</w:t>
      </w:r>
    </w:p>
    <w:p>
      <w:pPr>
        <w:spacing w:after="0" w:line="23"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future success is highly dependent on our ability to attract and retain our executive officers, key employees and other qualified personnel. As we build our brand and become more well known, there is increased risk that competitors or other companies may seek to hire our personnel. The loss of the services provided by these individuals will adversely impact the achievement of our business strategy. These individuals could leave our employment at any time, as they are “at will” employees. A loss of a member of senior management, or an engineer or other key employee particularly to a competitor, could also place us at a competitive disadvantage. Effective succession planning is also important to our long-term success. Failure to ensure effective transfer of knowledge and smooth transitions involving key employees could hinder our strategic planning and execution. For example, we recently announced the resignation of Dr. Chad Rigetti, our prior president and chief executive officer. The board of directors appointed Rick Danis as interim president and chief executive officer while the Company conducts a search for a more permanent successor. An inadequate transition to a permanent successor may cause disruption to our business due to, among other things, diverting management’s attention away from the operations of the business or causing a deterioration in morale. Further, failure to attract and retain a qualified candidate to serve as our president and chief executive officer in a timely manner could negatively impact our business, the morale of our employees, our reputation and results of operations.</w:t>
      </w:r>
    </w:p>
    <w:p>
      <w:pPr>
        <w:spacing w:after="0" w:line="17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future success also depends on our continuing ability to attract, develop, motivate, and retain highly qualified and skilled employees. The market for highly skilled workers and leaders in the quantum computing industry is extremely competitive. In particular, hiring qualified personnel specializing in supply chain management, engineering and sales, as well as other technical staff and research and development personnel is critical to our business and the development of our quantum computing systems.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computing technologies, the commercialization of our quantum computing technologies and the effective operation of our managerial and operating systems all depend upon our ability to attract, train and retain qualified personnel in the aforementioned specialties. 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be otherwise unable to develop and grow our business as projected, or even at all.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86"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growth and success depends on our ability to sell effectively to government entities and large enterprises.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potential customers tend to be government agencies and large enterprises. Therefore, our future success will depend on our ability to effectively sell our products to such customers. Sales to these end-customers involve risks that may not be present (or that are present to a lesser extent) with sales to non-governmental agencies or smaller customers. These risks include, but are not limited to, (i) increased purchasing power and leverage held by such customers in negotiating contractual arrangements with us and (ii) longer sales cycles and the associated risk that substantial time and resources may be spent on a potential end-customer that elects not to purchase our solutions. Sales to government agencies are typically under fixed fee development contracts, which involve additional risks. See “—</w:t>
      </w:r>
      <w:r>
        <w:rPr>
          <w:rFonts w:ascii="Arial" w:cs="Arial" w:eastAsia="Arial" w:hAnsi="Arial"/>
          <w:sz w:val="17"/>
          <w:szCs w:val="17"/>
          <w:i w:val="1"/>
          <w:iCs w:val="1"/>
          <w:color w:val="auto"/>
        </w:rPr>
        <w:t>If our cost and time estimates for fixed fee arrangements do not accurately anticipate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of servicing those arrangements, we could experience losses on these arrangements or our profitability could be reduced. </w:t>
      </w:r>
      <w:r>
        <w:rPr>
          <w:rFonts w:ascii="Arial" w:cs="Arial" w:eastAsia="Arial" w:hAnsi="Arial"/>
          <w:sz w:val="17"/>
          <w:szCs w:val="17"/>
          <w:color w:val="auto"/>
        </w:rPr>
        <w:t>” In addition,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generally include the ability of government agencies to terminate early which, if exercised, would result in a lower contract value and lower than anticipated revenues generated by such arrangement. See “—</w:t>
      </w:r>
      <w:r>
        <w:rPr>
          <w:rFonts w:ascii="Arial" w:cs="Arial" w:eastAsia="Arial" w:hAnsi="Arial"/>
          <w:sz w:val="17"/>
          <w:szCs w:val="17"/>
          <w:i w:val="1"/>
          <w:iCs w:val="1"/>
          <w:color w:val="auto"/>
        </w:rPr>
        <w:t>Contracts with U.S. government entities subject us to risks including early</w:t>
      </w:r>
      <w:r>
        <w:rPr>
          <w:rFonts w:ascii="Arial" w:cs="Arial" w:eastAsia="Arial" w:hAnsi="Arial"/>
          <w:sz w:val="17"/>
          <w:szCs w:val="17"/>
          <w:color w:val="auto"/>
        </w:rPr>
        <w:t xml:space="preserve"> </w:t>
      </w:r>
      <w:r>
        <w:rPr>
          <w:rFonts w:ascii="Arial" w:cs="Arial" w:eastAsia="Arial" w:hAnsi="Arial"/>
          <w:sz w:val="17"/>
          <w:szCs w:val="17"/>
          <w:i w:val="1"/>
          <w:iCs w:val="1"/>
          <w:color w:val="auto"/>
        </w:rPr>
        <w:t>termination, audits, investigations, sanctions and penalties</w:t>
      </w:r>
      <w:r>
        <w:rPr>
          <w:rFonts w:ascii="Arial" w:cs="Arial" w:eastAsia="Arial" w:hAnsi="Arial"/>
          <w:sz w:val="17"/>
          <w:szCs w:val="17"/>
          <w:color w:val="auto"/>
        </w:rPr>
        <w:t>.”</w:t>
      </w:r>
    </w:p>
    <w:p>
      <w:pPr>
        <w:spacing w:after="0" w:line="18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Government agencies and large organizations often undertake a significant evaluation process that results in a lengthy sales cycle. Our contracts with government agencies are typically structured in phases, with each phase subject to satisfaction of certain conditions. As a result, the actual scope of work performed pursuant to any such contracts, in addition to related contract revenue, could be less than total contract value. In addition, product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results than originally anticipated.</w:t>
      </w:r>
    </w:p>
    <w:p>
      <w:pPr>
        <w:spacing w:after="0" w:line="28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We may not be able to accurately estimate the future supply and demand for our quantum computers, which could result in a variety of inefficiencies in our business and hinder our ability to generate revenue. If we fail to accurately predict our manufacturing requirements, it could incur additional costs or experience delays.</w:t>
      </w:r>
    </w:p>
    <w:p>
      <w:pPr>
        <w:spacing w:after="0" w:line="76"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It is difficult to predict our future revenues and appropriately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computers or our ability to develop, manufacture, and deliver quantum computers, or our profitability, if any,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quantum computers and related compute time to our potential customers could be delayed, which would harm our business, financial condition and operating results.</w:t>
      </w:r>
    </w:p>
    <w:p>
      <w:pPr>
        <w:spacing w:after="0" w:line="302"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Because our success depends, in part, on our ability to expand sales internationally, our business will be susceptible to risks associated with international operations.</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currently maintain offices and have sales personnel in the United States, the United Kingdom, Australia and Canada, and we intend to expand our international operations by developing a sales presence in other international markets. In the nine months ended September 30, 2022 and the eleven months ended December 31, 2021, our non-U.S. revenue was approximately 18.0% and 29% of our total revenue, respectively. We expect to continue to expand our international operations, which may include opening offices in new jurisdictions and providing our solutions in additional languages. Any additional international expansion efforts that we are undertaking and may undertake may not be successful. In addition, conducting international operations subjects us to new risks, some of which we have not generally faced in the United States or other countries where we currently operate. These risks include, among other things:</w:t>
      </w:r>
    </w:p>
    <w:p>
      <w:pPr>
        <w:spacing w:after="0" w:line="100" w:lineRule="exact"/>
        <w:rPr>
          <w:sz w:val="20"/>
          <w:szCs w:val="20"/>
          <w:color w:val="auto"/>
        </w:rPr>
      </w:pPr>
    </w:p>
    <w:p>
      <w:pPr>
        <w:ind w:left="1080" w:right="2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unexpected costs and errors in the localization of our platform and solutions, including translation into foreign languages and adaptation for local culture, practices and regulatory requirements;</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lack of familiarity and burdens of complying with foreign laws, legal standards, privacy and cybersecurity standards, regulatory requirements, tariffs and other barriers, and the risk of penalties to our customers and individual members of management or employees if our practices are deemed to not be in compliance;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86" w:right="4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practical difficulties of enforcing intellectual property rights in countries with varying laws and standards and reduced or varied protection for intellectual property rights in some countries;</w:t>
      </w:r>
    </w:p>
    <w:p>
      <w:pPr>
        <w:spacing w:after="0" w:line="75"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evolving legal framework and additional legal or regulatory requirements for data privacy and cybersecurity, which may necessitate the establishment of systems to maintain data in local markets, requiring us to invest in additional data centers and network infrastructure, and the implementation of additional employee data privacy documentation (including locally-compliant data privacy notice and policies), all of which may involve substantial expense and may cause us to need to divert resources from other aspects of our business, all of which may adversely affect our business;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unexpected changes in regulatory requirements, taxes, trade laws, tariffs, export quotas, custom duties or other trade restrictions;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managing systems integrators and technology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longer accounts receivable payment cycles and difficulties in collecting accounts receivable;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including the proper classification of independent contractors and other contingent workers, differing employer/employee relationships and local employment laws;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costs involved with recruiting and retaining an expanded employee population outside the United States through cash and equity-based incentive programs and unexpected legal costs and regulatory restrictions in issuing our shares to employees outside the United States;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global political and regulatory changes that may lead to restrictions on immigration and travel for our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exchange rates that may decrease the value of our foreign-based revenue;</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(or other tax) systems, restrictions on the repatriation of earnings, and transfer pricing requirements; and</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permanent establishment risks and complexities in connection with international payroll, tax and social security requirements for international employees.</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w:t>
      </w:r>
    </w:p>
    <w:p>
      <w:pPr>
        <w:spacing w:after="0" w:line="12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Compliance with laws and regulations applicable to our global operations also substantially increases our cost of doing business in foreign jurisdictions. We have limited experience in marketing, selling and supporting our platform outside of the United States.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financial condition, revenues, results of operations or cash flows will suffer. We may be unable to keep current with changes in government requirements as they change from time to time. Failure to comply with these regulations could harm our business. In many countries, it is common for others to engage in business practices that are prohibited by our internal policies and procedures or other regulations applicable to us. Although we have implemented policies and procedures designed to ensure compliance with these laws and policies, there can be no assurance that all of our employees, contractors, partners and agents will comply with these laws and policies. 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86"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Our international sales and operations subject us to additional risks and costs, including the ability to engage with customers in new geographies, exposure to foreign currency exchange rate fluctuations, that can adversely affect our business, financial condition, revenues, results of operations or cash flows.</w:t>
      </w:r>
    </w:p>
    <w:p>
      <w:pPr>
        <w:spacing w:after="0" w:line="7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derive a significant portion of revenue from our customers in the United States. We are continuing to expand our international operations as part of our growth strategy. However, there are a variety of risks and costs associated with our international sales and operations, which include making investments prior to the proven adoption of our solutions, the cost of conducting our business internationally and hiring and training international employees and the costs associated with complying with local law. Furthermore, we cannot predict the rate at which our platform and solutions will be accepted in international markets by potential customers. We currently have sales, customer support and engineering personnel outside the United States in the United Kingdom, Australia and Canada, and have started the process of establishing a sales presence in Germany; however, our sales, support and engineering organization outside the United States is substantially smaller than our U.S. sales organization. We believe our ability to attract new customers to subscribe to our platform or to attract existing customers to renew or expand their use of our platform is directly correlated to the level of engagement we obtain with the customer. To the extent we are unable to effectively engage with non-U.S. customers due to our limited sales force capacity, we may be unable to effectively grow in international markets.</w:t>
      </w:r>
    </w:p>
    <w:p>
      <w:pPr>
        <w:spacing w:after="0" w:line="185"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As our international operations expand, our exposure to the effects of fluctuations in currency exchange rates grows. While we has primarily transacted with customers in U.S. dollars, historically, we expect to continue to expand the number of transactions with our customers that are denominated in foreign currencies in the future. Additionally, fluctuations in the value of the U.S. dollar and foreign currencies may make our subscriptions more expensive for international customers, which could harm our business. Additionally, we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international operations may subject us to greater than anticipated tax liabilities.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amount of taxes we pay in different jurisdictions depends on the application of the tax laws of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29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quantum computing systems may not be compatible with some or all industry-standard software and hardware in the future, which could harm our business.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focused our efforts on creating quantum computing hardware, the operating system for such hardware, a suite of low-level software programs that optimize execution of quantum algorithms on our hardware, application programing interfaces (“APIs”) to access our systems, software development kits (“SDKs”) for system and application developers, and quantum programming languages for low- and high-level application developers. The industry is rapidly evolving, and customers have many choices for programming languages, application libraries, APIs, and SDKs, some of which may not be compatible with our own languages, APIs or SDKs. Our quantum computing solutions are designed today to be compatible with most major quantum software development kits, including Qiskit, Cirq, and Open QASM, all of which are open source. If a proprietary (not open source) software toolset became the standard for quantum application development in the future by a competitor, usage of our hardware might be limited as a result which would have a negative impact on the Company. Similarly, if a piece of hardware became a necessary component for quantum computing (for instance, quantum networking) and we cannot integrate with, the result might have a negative impact on the Company.</w:t>
      </w:r>
    </w:p>
    <w:p>
      <w:pPr>
        <w:spacing w:after="0" w:line="16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If our customers are unable to achieve compatibility between other software and hardware and our hardware, it could impact our relationships with such customers or with customers, generally, if the incompatibility is more widespread. 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86"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rely heavily on future collaborative partners and third parties to develop key, relevant algorithms and programming to make our quantum systems commercially viable.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entered into, and may enter into, strategic partnerships to develop and commercialize our current and future research and development programs with other companies to accomplish one or more of the following:</w:t>
      </w:r>
    </w:p>
    <w:p>
      <w:pPr>
        <w:spacing w:after="0" w:line="76"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expertise;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sales and marketing services or support;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equipment and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 relationships with potential future customers;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generate revenue.</w:t>
      </w:r>
    </w:p>
    <w:p>
      <w:pPr>
        <w:spacing w:after="0" w:line="225"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We may not be successful in establishing or maintaining suitable partnerships, and we may not be able to negotiate collaboration agreements having terms satisfactory to the Company, or at all. Failure to make or maintain these arrangements or a delay or failure in a collaborative partner’s performance under any such arrangements could harm our business and financial condition.</w:t>
      </w:r>
    </w:p>
    <w:p>
      <w:pPr>
        <w:spacing w:after="0" w:line="27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System security and data protection breaches, as well as cyber-attacks, including state-sponsored attacks, could disrupt our operations, which may damage our reputation and adversely affect our business.</w:t>
      </w:r>
    </w:p>
    <w:p>
      <w:pPr>
        <w:spacing w:after="0" w:line="6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Cyber-attacks, denial-of-service attacks, ransomware attacks, business email compromises, computer malware, viruses, and social engineering (including phishing) are prevalent in the technology industry and our customers’ industries. In addition, we may experience attacks, unavailable systems, unauthorized access or disclosure due to employee theft or misuse, denial-of-service attacks, sophisticated nation-state and nation-state supported actors, and advanced persistent threat intrusions. The techniques may be used to sabotage or to obtain unauthorized access to our platform, systems, networks, or physical facilities where our quantum computers are stored, and we may be unable to implement adequate preventative measures or stop security breaches while they are occurring. U.S. law enforcement agencies have indicated to us that quantum computing technology is of particular interest to certain malicious cyber threat actors. In addition, our cybersecurity risk could be increased as a result of the ongoing military conflict between Russia and Ukraine and the related sanctions imposed against Russia.</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platform is built to be accessed through third-party public cloud providers such as AWS. These providers may also experience breaches and attacks to their products which may impact our systems. Data security breaches may also result from non-technical means, such as actions by an employee with access to our systems. While we and our third-party cloud providers have implemented security measures designed to protect against security breaches, these measures could fail or may be insufficient, resulting in the unauthorized disclosure, modification, misuse, destruction, or loss of sensitive or confidential information.</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Actual or perceived breaches of our security measures or the accidental loss, inadvertent disclosure or unapproved dissemination of proprietary information or sensitive or confidential data about the Company, our partners, our customers or third parties could expose we and the parties affected to a risk of loss or misuse of this information, resulting in litigation and potential liability, paying damages, regulatory inquiries or actions, damage to our brand and reputation or other harm to our business. Our efforts to prevent and overcome these challenges could increase our expenses and may not be successful. If we fail to detect or remediate a security breach in a timely manner, or a breach otherwise affects our customers, or if we suffers a cyber-attack that impacts our ability to operate our platform, we may suffer material damage to our reputation, business, financial condition and results of operations.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86" w:right="5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could limit our ability to grow our business and negatively affect our results of operations.</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international trade relations, pandemics (such as the COVID-19 pandemic), political turmoil, natural catastrophes, warfare, and terrorist attacks on the United States or elsewhere, could cause a decrease in business investments, including the progress on development of quantum technologies, and negatively affect the growth of our business. In addition, in challenging economic times, our current or potential future customers may experience cash flow problems and as a result may modify, delay or cancel plans to purchase our products and services. Additionally, if our customers are not successful in generating sufficient revenue or are unable to secure financing, they may not be able to pay, or may delay payment of, accounts receivable due to it. Moreover, our key suppliers may reduce their output or become insolvent, thereby adversely impacting our ability to manufacture our products.</w:t>
      </w:r>
    </w:p>
    <w:p>
      <w:pPr>
        <w:spacing w:after="0" w:line="18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Furthermore, uncertain economic conditions may make it more difficult for us to raise funds through borrowings or private or public sales of debt or equity securities. We cannot predict the timing, strength or duration of any economic slowdown, instability or recovery, generally or within any particular industry.</w:t>
      </w:r>
    </w:p>
    <w:p>
      <w:pPr>
        <w:spacing w:after="0" w:line="18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Government actions and regulations, such as tariffs and trade protection measures, may limit our ability to obtain products from our suppliers or sell our products and services to customers. Political challenges between the United States and countries in which our suppliers are located, and changes to trade policies, including tariff rates and customs duties, trade relations between the United States and those countries and other macroeconomic issues could adversely impact our business. The United States administration has announced tariffs on certain products imported into the United States, and some countries have imposed tariffs in response to the actions of the United States. There is also a possibility of future tariffs, trade protection measures or other restrictions imposed on our products or on our customers by the United States or other countries that could have a material adverse effect on our business. Our technology may be deemed a matter of national security and as such our customer base may be tightly restricted. We may accept government grants that place restrictions on the business’ ability to operate.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Unstable market and economic conditions may have serious adverse consequences on our business, financial condition and share price.</w:t>
      </w:r>
    </w:p>
    <w:p>
      <w:pPr>
        <w:spacing w:after="0" w:line="14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Similarly, the ongoing military conflict between Russia and Ukraine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and we could be forced to delay, reduce or eliminate its research and development programs and other efforts. Increased inflation rates have and are expected to adversely affect us by increasing our costs, including labor and employee benefit costs, and costs for equipment and system components associated with system development. In addition, higher inflation could also increase our customers’ operating costs, which could result in reduced budgets for our customers and potentially less demand for our systems. Any significant increases in inflation and related increase in interest rates could have a material adverse effect on our business, results of operations and financial condition.</w:t>
      </w:r>
    </w:p>
    <w:p>
      <w:pPr>
        <w:spacing w:after="0" w:line="29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our cost and time estimates for fixed fee arrangements do not accurately anticipate the cost of servicing those arrangements, we could experience losses on these arrangements and our profitability could be reduced.</w:t>
      </w:r>
    </w:p>
    <w:p>
      <w:pPr>
        <w:spacing w:after="0" w:line="6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development contracts are typically fixed fee arrangements invoiced on a milestone basis. If we underestimate the amount of effort required to deliver on a contract and/or the period of time required to achieve the milestone, our profitability could be reduced. If the actual costs of completing the contract exceed the agreed upon fixed price, we would incur a loss on the arrangement.</w:t>
      </w:r>
    </w:p>
    <w:p>
      <w:pPr>
        <w:spacing w:after="0" w:line="292"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This material weakness has resulted in errors in financial statements for prior periods and if we fail to remediate this material weakness or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p>
      <w:pPr>
        <w:spacing w:after="0" w:line="80"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ectPr>
          <w:pgSz w:w="11900" w:h="16838" w:orient="portrait"/>
          <w:cols w:equalWidth="0" w:num="1">
            <w:col w:w="11120"/>
          </w:cols>
          <w:pgMar w:left="320" w:top="486" w:right="459" w:bottom="1440" w:gutter="0" w:footer="0" w:header="0"/>
        </w:sectPr>
      </w:pP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20"/>
          </w:cols>
          <w:pgMar w:left="320" w:top="486" w:right="45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As previously disclosed, in connection with our unaudited condensed consolidated financial statements for the nine months ended October 31, 2021, we identified a material weakness in our internal control over financial reporting related to the lack of effective review controls over the accounting for complex financial instruments. Specifically, the controls failed to identify an error in the accounting for complex warrant instruments. The error related to the Company not properly accounting for the liability associated with the warrants to purchase common stock issued to Trinity Capital Inc. that was subsequently cancelled and reissued for a new warrant in connection with an amendment to the Loan Agreement.</w:t>
      </w:r>
    </w:p>
    <w:p>
      <w:pPr>
        <w:spacing w:after="0" w:line="16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addition, in connection with the preparation of the financial statements for the second quarter of 2022, we also identified and corrected an immaterial error related to the revaluation of the liability associated with the same warrants issued to Trinity Capital. The error was made in the previously issued unaudited condensed consolidated financial statements as of and for the period ended March 31, 2022 as disclosed in Note 10 to the unaudited condensed consolidated financial statements included elsewhere in this Quarterly Report on Form 10-Q. We corrected the immaterial error in our condensed consolidated financial statements as of and for the period ended June 30, 2022. However, as part of our restatement of the financial statements for the quarters ended March 31, 2022 and June 30, 2022, we are reversing such prior correction and instead reflecting such correction in the restated financial statements for the quarter ended March 31, 2022.</w:t>
      </w:r>
    </w:p>
    <w:p>
      <w:pPr>
        <w:spacing w:after="0" w:line="17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In connection with the preparation of the financial statements for the third quarter of 2022, we discovered that the previously identified material weakness led to additional material errors related to the valuation of the Earn-out liability and the Private Warrant liability that affected the previously issued unaudited condensed consolidated financial statements as of and for the periods ended March 31, 2022 and June 30, 2022. These errors will be corrected in the unaudited condensed consolidated financial statements as of and for the periods ended March 31, 2022 and June 30, 2022 through a restatement of previously filed financial statements for such periods. See Note 1 to the unaudited condensed consolidated financial statements included elsewhere in this Quarterly Report on Form 10-Q for further detail on the impact to previously filed financial statements.</w:t>
      </w:r>
    </w:p>
    <w:p>
      <w:pPr>
        <w:spacing w:after="0" w:line="16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management previously concluded that this material weakness in our internal control over financial reporting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these complex instruments. Our design and implementation of controls to evaluate and monitor the accounting for complex financial instrument liabilities were still not adequate as of September 30, 2022 due to the reasons described above.</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result of the foregoing, management concluded that our disclosure controls and procedures were not effective at the reasonable assurance level as of the end of the quarterly periods ended March 31, 2022, June 30, 2022 and September 30, 2022. Our management is in the process of undertaking a remediation plan and is taking steps to remediate the material weakness. The material weakness will not be considered remediated until such time as management designs and implements effective controls that operate for a sufficient period of time and concludes, through testing, that these controls are effective.</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management will continue to monitor the effectiveness of our remediation plan and will make the changes it determines to be appropriate. Although we intend to complete this remediation process as quickly as practicable, we cannot at this time estimate how long it will take, and our initiatives may not prove to be successful in remediating the material weakness. Furthermore, we cannot ensure that the measures we have taken to date, and actions we may take in the future, will be sufficient to remediate in a timely manner or at all the control deficiencies that led to our material weakness in our internal controls over financial reporting or that they will prevent or avoid potential future material weaknesses due to a failure to implement and maintain adequate internal control over financial reporting or circumvention of these controls. In addition, even if we are successful in strengthening our controls and procedures, in the future these controls and procedures may not be adequate to prevent or identify irregularities or errors or to facilitate the fair presentation of our financial statements.</w:t>
      </w:r>
    </w:p>
    <w:p>
      <w:pPr>
        <w:spacing w:after="0" w:line="178"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Any failure to remediate the material weakness or otherwise develop or maintain effective controls or any difficulties encountered in their implementation or improvement could limit our ability to prevent or detect a misstatement of our accounts or disclosures that could result in additional material misstatements of our annual or interim financial statements. In such case, we may be unable to maintain compliance with securities law requirements regarding timely filing of periodic reports in addition to the listing requirements of the Nasdaq. For example, in connection with the identification of the material weakness described above, we were unable to file this Quarterly Report on Form 10-Q by the original prescribed deadline and required an extension to file. Additionally, investors may lose confidence in our financial reporting and our stock price may decline as a result. Further, B. Riley has the right to terminate the Purchase Agreement under specified circumstances, including if the related registration statement is unavailable for a specified period of time, including as a result of errors or missing information in our SEC filings. If we fail to timely file amendments to our Form 10-Qs for the quarters ended March 31, 2022 and June 30, 2022 to restate the financial statements therein, or if we fail to make timely and complete filings with the SEC in the future, B. Riley may terminate the Purchase Agreement under specified circumstances. As a result, our ability to obtain any additional financing, or additional financing on favorable terms, could be materially and adversely affected, which in turn, could materially and adversely affect our business, financial condition and the market value of our common stock and require us to incur additional costs to improve our internal control systems and procedures. In addition, perceptions of the Company among customers, suppliers, lenders, investors, securities analysts and others could also be adversely affected.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Acquisitions, divestitures, strategic investments and strategic partnerships could disrupt our business and harm our financial condition and operating results.</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may pursue growth opportunities by acquiring complementary businesses, solutions or technologies through strategic transactions, investments or partnerships. The identification of suitable acquisition, strategic investment or strategic partnership candidates can be costly and time consuming and can distract our management team from our current operations. If such strategic transactions require us to seek additional debt or equity financing, we may not be able to obtain such financing on terms favorable to us or at all, and such transactions may adversely affect our liquidity and capital structure. Any strategic transaction might not strengthen our competitive position, may increase some of our risks, and may be viewed negatively by our customers, partners or investors. Even if we successfully complete a strategic transaction, we may not be able to effectively integrate the acquired business, technology, systems, control environment, solutions, personnel or operations into our business. We may experience unexpected changes in how we are required to account for strategic transactions pursuant to U.S. GAAP and may not achieve the anticipated benefits of any strategic transaction. We may incur unexpected costs, claims or liabilities that we incur during the strategic transaction or that we assume from the acquired company, or we may discover adverse conditions post acquisition for which we have limited or no recourse.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been, and may in the future be, adversely affected by the global COVID-19 pandemic, its various strains or future pandemics.</w:t>
      </w:r>
    </w:p>
    <w:p>
      <w:pPr>
        <w:spacing w:after="0" w:line="1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face various risks related to epidemics, pandemics, and other outbreaks, including the recent COVID-19 pandemic, including newly discovered strains of the virus. In response to the COVID-19 pandemic, governments have implemented significant measures, including, but not limited to, business closures, quarantines, travel restrictions, shelter-in-place, stay-at-home and other social distancing directives, intended to control the spread of the virus. Companies have also taken precautions, such as requiring employees to work remotely, imposing travel restrictions and temporarily closing businesses. To the extent that these restrictions remain in place, additional prevention and mitigation measures are implemented in the future, or there is uncertainty about the effectiveness of these or any other measures to contain or treat COVID-19 or future pandemics, there is likely to be an adverse impact on our potential customers, our employees and global economic conditions, and consumer confidence and spending, which could materially and adversely affect our operations and demand for our products.</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spread of COVID-19 has and may continue to impact our suppliers by disrupting the manufacturing, delivery and the overall supply chain of parts required to manufacture our quantum computers. In addition, various aspects of our business cannot be conducted remotely, such as the fabrication of quantum processors and the assembly of our quantum computers. These measures by government authorities may remain in place for a significant period of time and they are likely to continue to adversely affect our future manufacturing plans, sales and marketing activities, business and results of operations. We may take further actions as may be required by government authorities or that we determine are in the best interests of our employees, suppliers, vendors and business partners.</w:t>
      </w:r>
    </w:p>
    <w:p>
      <w:pPr>
        <w:spacing w:after="0" w:line="192"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Due to the fluid nature of the COVID-19 pandemic, uncertainties regarding the related economic impact are likely to result in sustained market turmoil, which could also negatively impact our business, financial condition and cash flows. During 2020, we scaled back our recruiting efforts to control costs and experienced weeklong onsite work stoppages due to quarantining related to the COVID-19 pandemic. The extent of COVID-19’s effect on our operational and financial performance will depend on future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86"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developments, including the duration, spread and intensity of the pandemic,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could negatively impact our business, financial condition results of operations and cash flows, and may also have the effect of heightening many of the other risks described in this “Risk Factors” section.</w:t>
      </w:r>
    </w:p>
    <w:p>
      <w:pPr>
        <w:spacing w:after="0" w:line="17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Even after the COVID-19 pandemic has subsided, we may continue to experience an adverse impact to our business as a result of COVID-19’s global economic impact, including any recession that has occurred or may occur in the future.</w:t>
      </w:r>
    </w:p>
    <w:p>
      <w:pPr>
        <w:spacing w:after="0" w:line="27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facilities or operations could be damaged or adversely affected as a result of prolonged power outages, natural disasters and other catastrophic events.</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facilities or operations could be adversely affected by power outages as well as events outside of our control, such as natural disasters and other calamities. We cannot assure you that any backup systems will be adequate to protect us from the effects of fire, floods, typhoons, earthquakes, power loss resulting from such natural disasters, telecommunications failures, break-ins, war, riots, terrorist attacks or similar events. Any of the foregoing events may give rise to interruptions, breakdowns, system failures, technology platform failures or internet failures, which could cause delays in development and fabrication, the loss or corruption of data or malfunctions of software or hardware as well as adversely affect our ability to provide services. A significant power outage may disrupt our operations and could have a material adverse impact on our business, financial condition, results of operations and cash flows</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Further, the British National Grid recently warned that the United Kingdom, where we have significant operations, could face planned power cuts to homes and businesses throughout the winter of 2022 and 2023 if the country is unable to import electricity from Europe and it struggles to attract enough gas imports to fuel its gas-fired power plants. A significant power outage could have a material adverse impact on our business, financial condition, results of operations and cash flows.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Litigation and Government Regulation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the California Consumer Privacy Act (“CCPA”), which enhances consumer protection and privacy rights by granting consumers resident in California new rights with respect to the collection of their personal data and imposing new operational requirements on businesses,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 Foreign governments are raising similar privacy and data security concerns. In particular, the European Union enacted a General Data Protection Regulation.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harm our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Contracts with U.S. government entities subject us to risks including early termination, audits, investigations, sanctions and penalties.</w:t>
      </w:r>
    </w:p>
    <w:p>
      <w:pPr>
        <w:spacing w:after="0" w:line="1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several contracts with various government entities, including contracts with NASA, the Defense Advanced Research Project Agency, and the Department of Energy, among others, and we may enter into additional contracts with U.S. government entities in the future, which subjects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for any extra costs incurred by the government in procuring undelivered items from another source.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86"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government contracts normally contain additional requirements that may increase our costs of doing business, reduce our profits, and expose us to liability for failure to comply with these terms and conditions. These requirements include, for example:</w:t>
      </w:r>
    </w:p>
    <w:p>
      <w:pPr>
        <w:spacing w:after="0" w:line="76"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specialized disclosure and accounting requirements unique to government contracts;</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 disclosures of certain contract and company information;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mandatory socioeconomic compliance requirements, including labor requirements, non-discrimination and affirmative action programs and environmental compliance requirements.</w:t>
      </w:r>
    </w:p>
    <w:p>
      <w:pPr>
        <w:spacing w:after="0" w:line="170"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(including treble damages and other penalties), or criminal law. In particular, the False Claims Act’s “whistleblower” provisions also allow private individuals, including present and former employees, to sue on behalf of the U.S. government. Any penalties, damages, fines, suspension, or damages could adversely affect our ability to operate our business and our financial results.</w:t>
      </w:r>
    </w:p>
    <w:p>
      <w:pPr>
        <w:spacing w:after="0" w:line="27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anti-bribery and similar laws, and non-compliance with such laws can subject us to criminal or civil liability and harm our business.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subject to the U.S. Foreign Corrupt Practices Act of 1977, as amended, the U.S. domestic bribery statute contained in 18 U.S.C. § 201, the U.S. Travel Act, and other anti-bribery, and anti-corruption laws in countries in which we conduct activities. Anti-corruption and anti-bribery laws have been enforced aggressively in recent years and are interpreted broadly to generally prohibit companies, their employees, and their third-party intermediaries from authorizing, promising, offering, providing, soliciting, or accepting, directly or indirectly, improper payments or benefits to or from any person whether in the public or private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w:t>
      </w:r>
    </w:p>
    <w:p>
      <w:pPr>
        <w:spacing w:after="0" w:line="185"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w:t>
      </w:r>
    </w:p>
    <w:p>
      <w:pPr>
        <w:spacing w:after="0" w:line="26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Our products and technologies are subject to U.S. export control and import laws and regulations, including the U.S. Export Administration Regulations, U.S. Customs regulations, and various economic and trade sanctions regulations administered by the U.S. Treasury Department’s Office of Foreign Assets Controls. U.S. export control and economic sanctions laws include restrictions or prohibitions on the sale or supply of certain products, technologies, and services to U.S. Government embargoed or sanctioned countries, governments, persons and entities. In addition, certain products and technology may be subject to export licensing or approval requirements. Exports of our products and technology must be made in compliance with export control and sanctions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86"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In addition, changes in our products or technologies or changes in applicable export or import laws and regulations may create delays in the introduction and sale of our products and technologies in international markets or, in some cases, prevent the export or import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export or sell our products and technologies to existing or potential customers. Any decreased use of our products and technologies or limitation on our ability to export or sell our products and technologies would likely adversely affect our business, financial condition and results of operations.</w:t>
      </w:r>
    </w:p>
    <w:p>
      <w:pPr>
        <w:spacing w:after="0" w:line="17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expect to incur significant costs in complying with these regulations. Regulations related to quantum computing are currently evolving and we face risks associated with changes to these regulations.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exposed to risks associated with litigation, investigations and regulatory proceedings.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may in the future face legal, administrative and regulatory proceedings, claims, demands and/or investigations involving stockholder, consumer, competition and/or other issues relating to our business on a global basis.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w:t>
      </w:r>
    </w:p>
    <w:p>
      <w:pPr>
        <w:spacing w:after="0" w:line="16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9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62"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may become subject to product liability claims, even those without merit, which could harm our business prospects, operating results, and financial condition. We may face inherent risk of exposure to claims in the event our quantum computers do not perform as expected or malfunction. A successful product liability claim against us could require us to pay a substantial monetary award. Moreover, a product liability claim could generate substantial negative publicity about our quantum computers and business and inhibit or prevent 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spacing w:after="0" w:line="28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are subject to requirements relating to environmental and safety regulations and environmental remediation matters which could adversely affect our business, results of operations and reputation.</w:t>
      </w:r>
    </w:p>
    <w:p>
      <w:pPr>
        <w:spacing w:after="0" w:line="6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86" w:right="4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manufacturing process will have hazards such as but not limited to hazardous materials, machines with moving parts, and high voltage and/or high current electrical systems typical of large manufacturing equipment and related safety incidents.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our brand, finances, or ability to operate.</w:t>
      </w:r>
    </w:p>
    <w:p>
      <w:pPr>
        <w:spacing w:after="0" w:line="296"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New tax laws, statutes, rules, regulations, or ordinances could be enacted at any time. For instance, the recently enacted Inflation Reduction Act imposes, among other rules, a 15% minimum tax on the book income of certain large corporations and a 1% excise tax on certain corporate stock repurchases. Further, existing tax laws, statutes, rules, regulations, or ordinances could be interpreted differently, changed, repealed, or modified at any time. Any such enactment, interpretation, change, repeal, or modification could adversely affect us, possibly with retroactive effect. In particular, changes in corporate tax rates, the realization of our net deferred tax assets, the taxation of foreign earnings, and the deductibility of expenses under the Tax Cuts and Jobs Act, as amended by the Coronavirus Aid, Relief, and Economic Security Act or any future tax reform legislation, could have a material impact on the value of our deferred tax assets, result in significant one-time charges, and increase our future tax expenses.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failure to obtain, maintain and protect our intellectual property rights could impair our ability to protect and commercialize our proprietary products and technology and cause us to lose our competitive advantage.</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success depends, in significant part, on our ability to obtain, maintain, enforce and defend our intellectual property rights, including patents and trade secrets. We rely upon a combination of the intellectual property protections afforded by patent, copyright,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6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However, we may not be able to prevent unauthorized use of our intellectual property. Our trade secrets may also be compromised, which could cause us to lose our competitive advantage. Third parties may attempt to copy or otherwise obtain, use or infringe our intellectual property.</w:t>
      </w:r>
    </w:p>
    <w:p>
      <w:pPr>
        <w:spacing w:after="0" w:line="12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Monitoring and detecting unauthorized use of our intellectual property is difficult and costly, and the steps we have taken or will take to prevent infringement or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and third parties may develop competitive offerings in a manner that leaves us with limited means to enforce our intellectual property rights against them.</w:t>
      </w:r>
    </w:p>
    <w:p>
      <w:pPr>
        <w:spacing w:after="0" w:line="16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Patent, copyright, trademark and trade secret laws vary significantly throughout the world.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outside of the United States.</w:t>
      </w:r>
    </w:p>
    <w:p>
      <w:pPr>
        <w:spacing w:after="0" w:line="18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86" w:right="49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Our inability to secure patent protection or enforce our patent rights could have a material adverse effect on our ability to prevent others from commercializing similar products or technology.</w:t>
      </w:r>
    </w:p>
    <w:p>
      <w:pPr>
        <w:spacing w:after="0" w:line="6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application and registration of patents involves complex legal and factual questions. As a result, we cannot be certain that the patent applications that we files will result in patents being issued, or that our patents and any future patents that do issue will afford protection against competitors with similar technology. Numerous patents and pending patent applications owned by others exist in the fields in which we have developed and are developing our technology, and this may make it difficult for us to obtain certain patent coverage on our own.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7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Even if our patent applications succeed, it is still uncertain whether these patents will be contested, circumvented, invalidated or limited in scope in the future. The rights granted under any issued patents may not provide us with meaningful protection or competitive advantages. The intellectual property rights of others could bar us from licensing and exploiting any patents that issue from our pending applications, and the claims under any patents that issue from our patent applications may not be broad enough to prevent others from developing technologies that are similar or that achieve results similar to ours. In addition, patents issued to us may be infringed upon or designed around by others and others may obtain patents that it needs to license or design around, either of which would increase costs and may adversely affect our business, prospects, financial condition and operating results.</w:t>
      </w:r>
    </w:p>
    <w:p>
      <w:pPr>
        <w:spacing w:after="0" w:line="303"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We may face patent infringement and other intellectual property claims that could be costly to defend, result in injunctions and significant damage awards, or limit our ability to use certain key technologies in the future, all of which could harm our business.</w:t>
      </w:r>
    </w:p>
    <w:p>
      <w:pPr>
        <w:spacing w:after="0" w:line="38"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For example, there may be issued patents of which we are unaware, held by third parties that, if found to be valid and enforceable, could be alleged to be infringed by our current or future products, services or technologies. Also,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The strength of our defenses will depend on the rights asserted, the interpretation of these rights, and our ability to invalidate the asserted rights. However, we could be unsuccessful in advancing non-infringement and/or invalidity arguments in our defense.</w:t>
      </w:r>
    </w:p>
    <w:p>
      <w:pPr>
        <w:spacing w:after="0" w:line="19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third-party claims against their use. In addition, as compared to us, many companies have the capability to dedicate substantially greater resources to enforce their intellectual property rights and to defend claims that may be brought against them. If a third party is able to obtain an injunction preventing us from using or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Even if the claims do not result in litigation or are resolved in our favor, these claims, and the time and resources necessary to resolve them, could divert the resources of our management and harm our business and operating results. Further, there could be public announcements of the intellectual property litigation, and if securities analysts, investors or others perceive the potential impact to be negative or risks to be substantial, it could have an adverse effect on the price of our Common Stock.</w:t>
      </w:r>
    </w:p>
    <w:p>
      <w:pPr>
        <w:spacing w:after="0" w:line="73" w:lineRule="exact"/>
        <w:rPr>
          <w:sz w:val="20"/>
          <w:szCs w:val="20"/>
          <w:color w:val="auto"/>
        </w:rPr>
      </w:pPr>
    </w:p>
    <w:p>
      <w:pPr>
        <w:ind w:left="1080" w:right="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intellectual property litigation to which we might become a party, or for which we are required to provide indemnification, regardless of the merit of the claim or our defenses, may require us to do one or more of the following:</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cease selling or using solutions or services that incorporate the intellectual property rights that allegedly infringe, misappropriate or violate the intellectual property of a third party;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86"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redesign the allegedly infringing solutions to avoid infringement, misappropriation or violation, which could be costly, time-consuming or impossible;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indemnify third parties using our products or services.</w:t>
      </w:r>
    </w:p>
    <w:p>
      <w:pPr>
        <w:spacing w:after="0" w:line="225"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occurrence of infringement claims may grow as the market for our products, services and technologies grows. Accordingly, our exposure to damages resulting from infringement claims could increase and this could further exhaust our financial and management resources.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rely on certain open-source software in our quantum systems. If licensing terms change, our business may be adversely affected.</w:t>
      </w:r>
    </w:p>
    <w:p>
      <w:pPr>
        <w:spacing w:after="0" w:line="12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platform utilizes software licensed to us by third-party authors under “open-source” licenses and we expect to continue to utilize open-source software in the future. The use of open-source software may entail greater risks than the use of third-party commercial software, as open-source licensors generally do not provide warranties or other contractual protections regarding infringement claims or the quality of the code. To the extent that our platform depends upon the successful operation of the open-source software we use, any undetected errors or defects in this open-source software could prevent the deployment or impair the functionality of our platform, delay new solution introductions, result in a failure of our platform and injure our reputation. For example, undetected errors or defects in open-source software could render us vulnerable to breaches or security attacks, and, in conjunction, make our systems more vulnerable to data breaches.</w:t>
      </w:r>
    </w:p>
    <w:p>
      <w:pPr>
        <w:spacing w:after="0" w:line="17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Furthermore, some open-source licenses require the release of proprietary source code combined with, linked to or distributed with such open-source software to be released to the public. If we combine, link or distribute our proprietary software with open-source software in a specific manner, we could, under some open-source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Although we monitor our use of open-source software to avoid subjecting our platform to conditions we do not intend to attach to such platform or our proprietary code, we cannot assure you that our processes for controlling such use will be effective. If we are held to have breached the terms of an open-source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 This could allow our competitors to create similar solutions with lower development effort and time and ultimately put us at a competitive disadvantage.</w:t>
      </w:r>
    </w:p>
    <w:p>
      <w:pPr>
        <w:spacing w:after="0" w:line="286" w:lineRule="exact"/>
        <w:rPr>
          <w:sz w:val="20"/>
          <w:szCs w:val="20"/>
          <w:color w:val="auto"/>
        </w:rPr>
      </w:pPr>
    </w:p>
    <w:p>
      <w:pPr>
        <w:ind w:left="120" w:right="320"/>
        <w:spacing w:after="0" w:line="301" w:lineRule="auto"/>
        <w:rPr>
          <w:sz w:val="20"/>
          <w:szCs w:val="20"/>
          <w:color w:val="auto"/>
        </w:rPr>
      </w:pPr>
      <w:r>
        <w:rPr>
          <w:rFonts w:ascii="Arial" w:cs="Arial" w:eastAsia="Arial" w:hAnsi="Arial"/>
          <w:sz w:val="16"/>
          <w:szCs w:val="16"/>
          <w:b w:val="1"/>
          <w:bCs w:val="1"/>
          <w:i w:val="1"/>
          <w:iCs w:val="1"/>
          <w:color w:val="auto"/>
        </w:rPr>
        <w:t>Some of our intellectual property has been or may be conceived or developed through government-funded research and thus may be subject to federal regulations providing for certain rights for the U.S. government or imposing certain obligations on us, such as a license to the U.S. government under such intellectual property, “march-in” rights, certain reporting requirements and a preference for U.S.-based companies, and compliance with such regulations may limit our exclusive rights and our ability to contract with non-U.S. manufacturers.</w:t>
      </w:r>
    </w:p>
    <w:p>
      <w:pPr>
        <w:spacing w:after="0" w:line="4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As a result, the U.S. government may have certain rights to intellectual property embodied in our current or future product candidates pursuant to the Bayh-Dole Act of 1980, or the Patent and Trademark Law Amendments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some of our license agreements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86"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require that we comply with this requirement.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Risks Related to Ownership of Our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Common Stock and Public Warrants has been and may continue to be volatile.</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price of our Common Stock and Public Warrants has been and may continue to be volatile. From March 2, 2022, the date our Common Stock and Public Warrants began trading on Nasdaq, through November 18, 2022, our stock price fluctuated from a high of $11.3679 to a low of $0.981, and the price of our Public Warrants fluctuated from a high of $2.20 to a low of $0.1098. As a result of this volatility, investors in our common stock may not be able to sell their shares at or above the prices they paid. Further, as a result of this volatility it may be difficult for us to attract new investments, including additional offerings of our securities, on terms we consider reasonable, or at all. The price of our Common Stock and Public Warrants may fluctuate due to a variety of factors, including, without limitation:</w:t>
      </w:r>
    </w:p>
    <w:p>
      <w:pPr>
        <w:spacing w:after="0" w:line="83"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meet our technological milestones, including any delays;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industries in which we and our customers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material and adverse impact of the COVID-19</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pandemic or the ongoing military conflict between Russia and Ukraine and the related sanctions imposed against Russia on the markets and the broader global economy;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including the significant percentage of shares of our Common Stock that may be offered for resale;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42"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 including with respect to our technical roadmap;</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60"/>
          </w:cols>
          <w:pgMar w:left="320" w:top="486" w:right="5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actions by institutional or activist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 and</w:t>
      </w:r>
    </w:p>
    <w:p>
      <w:pPr>
        <w:spacing w:after="0" w:line="130"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events or factors, including recessions, increases in inflation and interest rates, foreign currency fluctuations, international tariffs, social, political and economic risks, natural disasters, acts of war (including the conflict involving Russia and Ukraine), terrorism or responses to such events.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These market and industry factors may materially reduce the market price of our Common Stock and our Public Warrants regardless of the operating performance of the Company. In the past, following periods of market volatility, stockholders have instituted securities class action litigation. If we are involved in securities litigation, it could have a substantial cost and divert resources and the attention of executive management from our business regardless of the outcome of such litigation.</w:t>
      </w:r>
    </w:p>
    <w:p>
      <w:pPr>
        <w:spacing w:after="0" w:line="29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may fail to comply with the rules that apply to public companies, including Section 404 of the Sarbanes-Oxley Act, which could result in sanctions or other penalties that would adversely impact our business.</w:t>
      </w:r>
    </w:p>
    <w:p>
      <w:pPr>
        <w:spacing w:after="0" w:line="62"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including costs resulting from public company reporting obligations under the Securities Act or the Exchange Act, and regulations regarding corporate governance practices. The Sarbanes-Oxley Act, the Dodd-Frank Wall Street Reform and Consumer Protection Act, the rules of the SEC, the listing requirements of the Nasdaq, and other applicable securities rules and regulations impose various requirements on public companies, including establishment and maintenance of effective disclosure and financial controls and corporate governance practices. We have begun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recently becoming a public company or the timing of such costs.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90"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Pursuant to Sarbanes-Oxley Act Section 404, we will be required to furnish a report by our management on our internal control over financial reporting in our Annual Reports on Form 10-K with the SEC. In order to continue to maintain effective internal controls to support growth and public company requirements, we will need additional financial personnel, systems and resources. However, while we remain an emerging growth company, we are not be required to include an attestation report on internal control over financial reporting issued by our independent registered public accounting firm. To achieve compliance with Sarbanes-Oxley Act Section 404 within the prescribed period, we will be engaged in a process to enhance our documentation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Sarbanes-Oxley Act Section 404. We previously have identified a material weakness. See </w:t>
      </w:r>
      <w:r>
        <w:rPr>
          <w:rFonts w:ascii="Arial" w:cs="Arial" w:eastAsia="Arial" w:hAnsi="Arial"/>
          <w:sz w:val="17"/>
          <w:szCs w:val="17"/>
          <w:i w:val="1"/>
          <w:iCs w:val="1"/>
          <w:color w:val="auto"/>
        </w:rPr>
        <w:t>“—We have identified a material weakness in 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internal control over financial reporting and may identify additional material weaknesses in the future. This material weakness has resulted in errors in financial statements for prior periods and if we fail to remediate this material weakness or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 </w:t>
      </w:r>
      <w:r>
        <w:rPr>
          <w:rFonts w:ascii="Arial" w:cs="Arial" w:eastAsia="Arial" w:hAnsi="Arial"/>
          <w:sz w:val="17"/>
          <w:szCs w:val="17"/>
          <w:color w:val="auto"/>
        </w:rPr>
        <w:t>If we identify</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material weaknesses in the future, they could result in an adverse reaction in the financial markets due to a loss of confidence in the reliability of our financial statements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86"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have incurred and will continue to incur substantial costs as a result of operating as a public company, and our management will continue to devote substantial time to new compliance initiatives. In addition, key members of our management team have limited experience managing a public company.</w:t>
      </w:r>
    </w:p>
    <w:p>
      <w:pPr>
        <w:spacing w:after="0" w:line="7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a public company, we incur substantial legal, accounting, and other expenses that we did not incur as a private company. For example, we are subject to the reporting requirements of the Exchange Act, the applicable requirements of the Sarbanes-Oxley Act, the Dodd-Frank Wall Street Reform and Consumer Protection Act, the rules and regulations of the SEC and the listing standards of Nasdaq. The Exchange Act requires, among other things, that we file annual, quarterly, and current reports with respect to our business, financial condition and results of operations. Compliance with these rules and regulations increase our legal and financial compliance costs and increase demand on our systems, particularly after we are no longer an emerging growth company. In addition, as a public company, we may be subject to shareholder activism, which can lead to additional substantial costs, distract management and impact the manner in which we operate our business in ways we cannot currently anticipate. As a result of disclosure of information in this Quarterly Report on Form 10-Q and in filings required of a public company, our business and financial condition are more visible, which may result in threatened or actual litigation, including by competitors.</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Certain members of our management team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the business, which could adversely affect our business, financial condition, and results of operations.</w:t>
      </w:r>
    </w:p>
    <w:p>
      <w:pPr>
        <w:spacing w:after="0" w:line="30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executive officers, directors and their respective affiliates may limit other stockholders’ ability to influence corporate matters and delay or prevent a third party from acquiring control over us.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current executive officers and directors and their respective affiliates beneficially own, in the aggregate, approximately 24.6% of outstanding Common Stock as of November 18, 2022. This significant concentration of ownership may have a negative impact on the trading price for our Common Stock because investors often perceive disadvantages in owning stock in companies where there is a concentration of ownership in a small number of stockholders. In addition, these stockholders will be able to exercise influence over all matters requiring stockholder approval, including the election of directors and approval of corporate transactions, such as a merger or other sale of us or our assets. This concentration of ownership could limit other stockholders’ ability to influence corporate matters and may have the effect of delaying or preventing a change in control, including a merger, consolidation or other business combination, or discouraging a potential acquirer from making a tender offer or otherwise attempting to obtain control, even if that change in control would benefit the other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currently intend to retain future earnings, if any, to finance the further development and expansion of our business and does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295" w:lineRule="exact"/>
        <w:rPr>
          <w:sz w:val="20"/>
          <w:szCs w:val="20"/>
          <w:color w:val="auto"/>
        </w:rPr>
      </w:pPr>
    </w:p>
    <w:p>
      <w:pPr>
        <w:ind w:left="120" w:right="740"/>
        <w:spacing w:after="0" w:line="308"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and could fall below the expectations of securities analysts and investors due to seasonality and other factors, some of which are beyond our control, resulting in a decline in our stock price.</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quarterly operating results may fluctuate significantly because of several factors, including:</w:t>
      </w:r>
    </w:p>
    <w:p>
      <w:pPr>
        <w:spacing w:after="0" w:line="131"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labor availability and costs for hourly and management personnel;</w:t>
      </w:r>
    </w:p>
    <w:p>
      <w:pPr>
        <w:spacing w:after="0" w:line="130" w:lineRule="exact"/>
        <w:rPr>
          <w:rFonts w:ascii="Arial" w:cs="Arial" w:eastAsia="Arial" w:hAnsi="Arial"/>
          <w:sz w:val="18"/>
          <w:szCs w:val="18"/>
          <w:color w:val="auto"/>
        </w:rPr>
      </w:pPr>
    </w:p>
    <w:p>
      <w:pPr>
        <w:ind w:left="5540" w:right="3660" w:hanging="4884"/>
        <w:spacing w:after="0" w:line="449" w:lineRule="auto"/>
        <w:tabs>
          <w:tab w:leader="none" w:pos="10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profitability of our products, especially in new markets and due to seasonal fluctuations; 87</w:t>
      </w:r>
    </w:p>
    <w:p>
      <w:pPr>
        <w:sectPr>
          <w:pgSz w:w="11900" w:h="16838" w:orient="portrait"/>
          <w:cols w:equalWidth="0" w:num="1">
            <w:col w:w="11100"/>
          </w:cols>
          <w:pgMar w:left="320" w:top="486" w:right="4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negative publicity relating to products we serve;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expansion to new markets.</w:t>
      </w:r>
    </w:p>
    <w:p>
      <w:pPr>
        <w:spacing w:after="0" w:line="33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securities.</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Securities research analysts have and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If analysts cease coverage of us, the market price and volume for our securities could be adversely affected.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we fail to satisfy the continued listing requirements of Nasdaq such as the corporate governance requirements, the minimum share price requirement or failure to be timely with our SEC filings,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74" w:lineRule="exact"/>
        <w:rPr>
          <w:sz w:val="20"/>
          <w:szCs w:val="20"/>
          <w:color w:val="auto"/>
        </w:rPr>
      </w:pPr>
    </w:p>
    <w:p>
      <w:pPr>
        <w:ind w:left="120" w:right="240"/>
        <w:spacing w:after="0" w:line="375" w:lineRule="auto"/>
        <w:rPr>
          <w:sz w:val="20"/>
          <w:szCs w:val="20"/>
          <w:color w:val="auto"/>
        </w:rPr>
      </w:pPr>
      <w:r>
        <w:rPr>
          <w:rFonts w:ascii="Arial" w:cs="Arial" w:eastAsia="Arial" w:hAnsi="Arial"/>
          <w:sz w:val="15"/>
          <w:szCs w:val="15"/>
          <w:b w:val="1"/>
          <w:bCs w:val="1"/>
          <w:i w:val="1"/>
          <w:iCs w:val="1"/>
          <w:color w:val="auto"/>
        </w:rPr>
        <w:t>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w:t>
      </w:r>
    </w:p>
    <w:p>
      <w:pPr>
        <w:spacing w:after="0" w:line="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at a price that it deems appropriate. Resales of our securities may cause the market price of our securities to drop significantly, even if our business is doing well.</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market price of our Common Stock could decline if holders of our shares sell them, including pursuant to the resale registration statements, or are perceived by the market as intending to sell them.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86"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registration rights we have with certain holders of our securities, we filed a resale shelf registration statement covering the resale of up</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an aggregate of 96,941,181 shares of our Common Stock, which was declared effective on June 1, 2022. We have also agreed to register the resale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1,000,000 shares of our Common Stock issued or issuable upon exercise of the Ampere Warrant. As of November 18, 2022, the number of shares of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that have been registered for resale by holders represented approximately 61.58% of our shares outstanding (after giving effect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issuance of shares upon exercise of outstanding Public Warrants, Private Warrants, the exercise or settlement of outstanding warrants, options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restricted stock units of Legacy Rigetti assumed in the Business Combination and exercise of the Ampere Warrant in full). In addition, on August 11,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2022, we entered into a Common Stock Purchase Agreement (the “Purchase Agreement”) and a Registration Rights Agreement (the “Registration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Rights Agreement”) with B. Riley Principal Capital II, LLC (“B. Riley”). Pursuant to the Purchase Agreement, subject to the satisfaction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conditions set forth in the Purchase Agreement, we have the right to sell shares of our common stock in an aggregate amount up to the lesser of (i)</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$75.0 million and (ii) an amount not to exceed approximately 23,648,889 shares of our common stock , subject to certain limitations and conditions.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filed a registration statement on Form S-1 under the Securities Act to register the resale of shares of common stock sold pursuant to the Purchase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which became effective on September 14, 2022. Given this substantial number of shares available for resale, the sale of shares by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holders, or the perception in the market that holders of a large number of shares intend to sell shares, could increase the volatility of the market price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or result in a significant decline in the public trading price of our common stock. Even if our trading price is significantly below</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$10.00, the offering price for the units offered in Supernova’s IPO, certain holders of our securities may still have an incentive to sell shares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because they purchased the shares at prices lower than the public investors or the current trading price of our common stock. Further,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price for the shares that we may sell to B. Riley under our committed equity financing will fluctuate based on the price of our common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Depending on market liquidity at the time, sales of such shares may cause the trading price of our common stock to fall. If and when we do sell shares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 Riley, after B. Riley has acquired the shares, B. Riley may resell all, some, or none of those shares at any time or from time to time in its discretion.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Therefore, sales to B. Riley by us could result in substantial dilution to the interests of other holders of our common stock. Additionally, the sale of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substantial number of shares of our common stock to B. Riley, or the anticipation of such sales, could make it more difficult for us to sell equity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equity-related securities in the future at a time and at a price that we might otherwise wish to effect sales. The decision to sell any shares of our common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to sell to B. Riley under the committed equity financing will depend on market conditions, the trading prices of our common stock and other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considerations, and we cannot guarantee the extent to which we may utilize the committed equity financing.</w:t>
      </w:r>
    </w:p>
    <w:p>
      <w:pPr>
        <w:spacing w:after="0" w:line="31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Future issuances of debt securities and equity securities may adversely affect us, including the market price of our Common Stock and may be dilutive to existing stockholders.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expect that significant additional capital will be needed in the near future to continue our planned operations. In the future, we may incur debt or issue equity ranking senior to our Common Stock.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Common Stock and be dilutive to existing stockholders. In addition, our ability to raise additional capital through the sale of equity or convertible debt securities could be significantly impacted by the resale of shares of Common Stock by selling securityholders which could result in a significant decline in the trading price of our Common Stock and potentially hinder our ability to raise capital at terms that are acceptable to us or at all.</w:t>
      </w:r>
    </w:p>
    <w:p>
      <w:pPr>
        <w:spacing w:after="0" w:line="274"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b w:val="1"/>
          <w:bCs w:val="1"/>
          <w:i w:val="1"/>
          <w:iCs w:val="1"/>
          <w:color w:val="auto"/>
        </w:rPr>
        <w:t>We may issue additional shares of Common Stock from time to time, including under our equity incentive plans and employee stock purchase plan, or preferred stock. Any such issuances would dilute the interest of our shareholders and likely present other risks.</w:t>
      </w:r>
    </w:p>
    <w:p>
      <w:pPr>
        <w:spacing w:after="0" w:line="3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may issue additional shares of Common Stock from time to time, including under our equity incentive plans or employee stock purchase plan, or preferred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86"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Common Stock reserved for future issuance under our equity incentive plans will become eligible for sale in the public market once those shares are issued, subject to provisions relating to various vesting agreements and, in some cases, limitations on volume and manner of sale applicable to affiliates under Rule 144, as applicable. The aggregate number of shares of our Common Stock initially reserved for future issuance under the Rigetti Computing, Inc. 2022 Equity Incentive Plan (the “2022 Plan”) is 18,332,215 shares. We have filed a registration statement on Form S-8 under the Securities Act, which became effective on June 10, 2022, to register the issuance of the 18,332,215 shares reserved under the 2022 Plan, the issuance of Common Stock under the Rigetti Computing, Inc. 2022 Employee Stock Purchase Plan (the “Employee Stock Purchase Plan”), which has an initial reserve of 3,055,370 shares, the resale of up to 18,367,696 shares subject to equity awards issued under the 2013 Plan and the resale of up to 2,053 shares subject to equity awards issued under QxBranch, Inc. 2018 Equity Compensation Plan. In addition, we may file one or more registration statements on Form S-8 under the Securities Act to register additional shares of Common Stock or securities convertible into or exchangeable for shares of Common Stock issued pursuant to our equity incentive plans and employee stock purchase plan. Any such Form S-8 registration statements will automatically become effective upon filing. Accordingly, shares registered under such registration statements may be immediately available for sale in the open market.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Sales of a substantial number of our Common Stock in the public market could occur at any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such issuances of additional shares of Common Stock or preferred stock:</w:t>
      </w:r>
    </w:p>
    <w:p>
      <w:pPr>
        <w:spacing w:after="0" w:line="131"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Common Stock.</w:t>
      </w:r>
    </w:p>
    <w:p>
      <w:pPr>
        <w:spacing w:after="0" w:line="333" w:lineRule="exact"/>
        <w:rPr>
          <w:sz w:val="20"/>
          <w:szCs w:val="20"/>
          <w:color w:val="auto"/>
        </w:rPr>
      </w:pPr>
    </w:p>
    <w:p>
      <w:pPr>
        <w:ind w:left="120" w:right="60"/>
        <w:spacing w:after="0" w:line="340" w:lineRule="auto"/>
        <w:rPr>
          <w:sz w:val="20"/>
          <w:szCs w:val="20"/>
          <w:color w:val="auto"/>
        </w:rPr>
      </w:pPr>
      <w:r>
        <w:rPr>
          <w:rFonts w:ascii="Arial" w:cs="Arial" w:eastAsia="Arial" w:hAnsi="Arial"/>
          <w:sz w:val="15"/>
          <w:szCs w:val="15"/>
          <w:b w:val="1"/>
          <w:bCs w:val="1"/>
          <w:i w:val="1"/>
          <w:iCs w:val="1"/>
          <w:color w:val="auto"/>
        </w:rPr>
        <w:t>We are currently an “emerging growth company” and “smaller reporting company” within the meaning of the Securities Act, and to the extent we have taken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23"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June 30, in which case we would no longer be an emerging growth company as of the following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86"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Certificate of Incorporation and bylaws of the Company (the “Bylaws”) and the General Corporation Law of the State of Delaware (“DGCL”) contain provisions that could have the effect of rendering more difficult, delaying, or preventing an acquisition deemed undesirable by the board of directors of Rigetti (the “Board”) and therefore depress the trading price of our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the Certificate of Incorporation and Bylaws include provisions regarding:</w:t>
      </w:r>
    </w:p>
    <w:p>
      <w:pPr>
        <w:spacing w:after="0" w:line="67"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30" w:lineRule="exact"/>
        <w:rPr>
          <w:rFonts w:ascii="Arial" w:cs="Arial" w:eastAsia="Arial" w:hAnsi="Arial"/>
          <w:sz w:val="18"/>
          <w:szCs w:val="18"/>
          <w:color w:val="auto"/>
        </w:rPr>
      </w:pPr>
    </w:p>
    <w:p>
      <w:pPr>
        <w:ind w:left="1080" w:right="520" w:hanging="424"/>
        <w:spacing w:after="0" w:line="34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ability of the Board to issue up to 10,000,000 shares of preferred stock, including “blank check” preferred stock, with any rights, preferences and privileges as they may designate, including the right to approve an acquisition or other change of control;</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subject to the rights of the holders of any series of preferred stock, any individual director or directors may be removed only with cause by the affirmative vote of the holders of at least 66 2/3% of the voting power of all of the then-outstanding shares of our capital stock entitled to vote generally in the election of directors, voting together as a single class;</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by the chairperson of the Board, the chief executive officer or by the Board pursuant to a resolution adopted by a majority of the total number of authorized directors;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the Board or management.</w:t>
      </w:r>
    </w:p>
    <w:p>
      <w:pPr>
        <w:spacing w:after="0" w:line="356"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b w:val="1"/>
          <w:bCs w:val="1"/>
          <w:i w:val="1"/>
          <w:iCs w:val="1"/>
          <w:color w:val="auto"/>
        </w:rPr>
        <w:t>The Certificate of Incorporation designates the Court of Chancery of the State of Delaware or the United States federal district courts as the sole and exclusive forum for substantially all disputes between us and our stockholders, which could limit our stockholders’ ability to obtain a favorable judicial forum for disputes with us or our directors, officers, stockholders, employees or agents.</w:t>
      </w:r>
    </w:p>
    <w:p>
      <w:pPr>
        <w:spacing w:after="0" w:line="5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Certificate of Incorporation provides that, unless we consent in writing to the selection of an alternative forum, the Court of Chancery of the State of Delaware shall be the sole and exclusive forum for state law claims for (i) any derivative action or proceeding brought on our behalf; (ii) any action asserting a claim of breach of a fiduciary duty owed by any current or former director, officer or other employee, or stockholder of Rigetti to Rigetti or our stockholders, (iii) any action or claim against the Company or any current or former director, officer or other employee or stockholder of the Company, arising out of or pursuant to any provision of the DGCL or the Certificate of Incorporation or the Bylaws, (iv) any action seeking to interpret, apply, enforce or determine the validity of the Certificate of Incorporation or the Bylaws; (v) any action or claim as to which the DGCL confers jurisdiction on the Court of Chancery of the State of Delaware; and (vi) any action against the Company or any current or former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86"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director, officer or other employee or stockholder of the Company, governed by the internal-affairs doctrine of the law of the State of Delaware, in all cases to the fullest extent permitted by law. The foregoing provisions will not apply to any claims as to which the Delaware Court of Chancery determines that there is an indispensable party not subject to the jurisdiction of such court, which is rested in the exclusive jurisdiction of a court or forum other than such court (including claims arising under the Exchange Act), or for which such court does not have subject matter jurisdiction, or to any claims arising under the Securities Act and, unless we consent in writing to the selection of an alternative forum, the United States federal district courts will be the sole and exclusive forum for resolving any action asserting a claim arising under the Securities Act.</w:t>
      </w:r>
    </w:p>
    <w:p>
      <w:pPr>
        <w:spacing w:after="0" w:line="16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or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United States federal district courts shall be the exclusive forum for the resolution of any complaint asserting a cause of action arising under the Securities Act. There is uncertainty as to whether a court would enforce the forum provision with respect to claims under the federal securities laws.</w:t>
      </w:r>
    </w:p>
    <w:p>
      <w:pPr>
        <w:spacing w:after="0" w:line="16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Furthermore, investors cannot waive compliance with the federal securities laws and rules and regulations thereunder.</w:t>
      </w:r>
    </w:p>
    <w:p>
      <w:pPr>
        <w:spacing w:after="0" w:line="33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warrants, including our Public Warrants, Private Warrants and other warrants we have issued, are accounted for as liabilities and the changes in value of our Warrants could have a material effect on our financial results.</w:t>
      </w:r>
    </w:p>
    <w:p>
      <w:pPr>
        <w:spacing w:after="0" w:line="6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assets and liabilities at the date of the financial statements, as well as the reported expenses incurred during the reporting periods. We base our interpretations, estimates and judgments on our historical experience and on various other factors that we believe are reasonable under the circumstances, the results of which form the basis for the preparation of our financial statements. GAAP presentation is subject to interpretation by the SEC, the Financial Accounting Standards Board and various other bodies formed to interpret and create appropriate accounting principles and guidance. If one of these bodies disagrees with our accounting recognition, measurement or disclosure or any of our accounting interpretations, estimates or assumptions, it may have a significant effect on our reported results and may retroactively affect previously reported results.</w:t>
      </w:r>
    </w:p>
    <w:p>
      <w:pPr>
        <w:spacing w:after="0" w:line="19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w:t>
      </w:r>
    </w:p>
    <w:p>
      <w:pPr>
        <w:spacing w:after="0" w:line="149"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Specifically, the SEC Statement focused on certain settlement terms and provisions related to certain tender offers following a business combination, which terms are similar to those contained in the warrant agreement governing our Warrants. As a result of the SEC Statement, Rigetti reevaluated the accounting treatment of the 8,625,000 Public Warrants and 4,450,000 Private Warrants, and determined to classify the Warrants as derivative liabilities measured at fair value, with changes in fair value each period reported in earnings.</w:t>
      </w:r>
    </w:p>
    <w:p>
      <w:pPr>
        <w:spacing w:after="0" w:line="171"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As a result, included Rigetti’s balance sheet as of September 30, 2022 contained in this Quarterly Report on Form 10-Q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statements of</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86" w:right="4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 The impact of changes in fair value on earnings may have an adverse effect on the market price of our securities.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assurance can be given that additional guidance or new regulations or accounting principles and interpretations will not be released that would require us to reclassify our Warrants as liabilities measured at fair value, with changes in fair value reported each period in earnings and/or require a restatement of our financial statements with respect to treatment of the Warrants.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such restatement of our financial results could, among other potential adverse effects:</w:t>
      </w:r>
    </w:p>
    <w:p>
      <w:pPr>
        <w:spacing w:after="0" w:line="131"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 in us incurring substantial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affect our ability to timely file our periodic reports until the restatement is completed;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divert the attention of our management and employees from managing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 in material changes to our historical and future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 in investors losing confidence in our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us to securities class action litigation;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cause our stock price to decline.</w:t>
      </w:r>
    </w:p>
    <w:p>
      <w:pPr>
        <w:spacing w:after="0" w:line="22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For example, in connection with the preparation of this Quarterly Report on Form 10-Q, the audit committee of our board of directors, based on the recommendation of, and after consultation with, our management, and as discussed with our independent registered public accounting firm, concluded that our previously issued unaudited interim condensed consolidated financial statements for the quarters ended March 31, 2022 and June 30, 2022 could no longer be relied upon and require restatement in order to revise the volatility assumption in the valuation methodology with respect to Sponsor Vesting Shares, revise the fair value for our Private Warrants and correct an immaterial error related to the valuation of the warrant liability with respect to the warrants issued to Trinity Capital Inc., in addition to other matters. As a result, we have identified material weakness in our internal control over financial reporting and disclosure controls and procedures. In addition, we were also unable to file this Quarterly Report on Form 10-Q within the originally prescribed deadline and required an extension to file. See Note 1 in the notes to the unaudited condensed consolidated financial statements included elsewhere in this Quarterly Report on Form 10-Q for a description of these restatements.</w:t>
      </w:r>
    </w:p>
    <w:p>
      <w:pPr>
        <w:spacing w:after="0" w:line="27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Warrants are exercisable for Common Stock, the exercise of which would increase the number of shares eligible for future resale in the public market and result in dilution to our stockholders.</w:t>
      </w:r>
    </w:p>
    <w:p>
      <w:pPr>
        <w:spacing w:after="0" w:line="6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As a result of the Business Combination being consummated, outstanding Warrants to purchase an aggregate of 13,074,972 shares of Common Stock became exercisable in accordance with the terms of the warrant agreement. These Warrants became exercisable on April 1, 2022. The exercise price of these Warrants is $11.50 per share, or approximately $150.4 million, assuming none of the Warrants are exercised through “cashless” exercise. To the extent such Warrants are exercised, additional shares of Common Stock will be issued, which will result in dilution to the holders of Common Stock and increase the number of shares eligible for resale in the public market. We believe the likelihood that warrant holders will exercise their Warrants, and therefore the amount of cash proceeds that we would receive, is dependent upon the trading price of our Common Stock. If the trading price for our Common Stock is less than $11.50 per share, we believe holders of our Public Warrants and Private Warrants will be unlikely to exercise their Warrants. On November 18, 2022, the last reported sales price of our Common Stock was $1.24 per share.</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Sales of substantial numbers of such shares in the public market or the fact that such Warrants may be exercised could adversely affect the market price of Common Stock. However, there is no guarantee that the Public Warrants will ever be in the money prior to their expiration, and as such, the warrants may expire worthless. See “</w:t>
      </w:r>
      <w:r>
        <w:rPr>
          <w:rFonts w:ascii="Arial" w:cs="Arial" w:eastAsia="Arial" w:hAnsi="Arial"/>
          <w:sz w:val="16"/>
          <w:szCs w:val="16"/>
          <w:i w:val="1"/>
          <w:iCs w:val="1"/>
          <w:color w:val="auto"/>
        </w:rPr>
        <w:t>—The warrants may never be in the money, and they may expire worthless and the terms of the Public Warrants</w:t>
      </w:r>
      <w:r>
        <w:rPr>
          <w:rFonts w:ascii="Arial" w:cs="Arial" w:eastAsia="Arial" w:hAnsi="Arial"/>
          <w:sz w:val="16"/>
          <w:szCs w:val="16"/>
          <w:color w:val="auto"/>
        </w:rPr>
        <w:t xml:space="preserve"> </w:t>
      </w:r>
      <w:r>
        <w:rPr>
          <w:rFonts w:ascii="Arial" w:cs="Arial" w:eastAsia="Arial" w:hAnsi="Arial"/>
          <w:sz w:val="16"/>
          <w:szCs w:val="16"/>
          <w:i w:val="1"/>
          <w:iCs w:val="1"/>
          <w:color w:val="auto"/>
        </w:rPr>
        <w:t>may be amended in a manner adverse to a holder if holders of at least 50% of the then outstanding Public Warrants approve of such amendment</w:t>
      </w:r>
      <w:r>
        <w:rPr>
          <w:rFonts w:ascii="Arial" w:cs="Arial" w:eastAsia="Arial" w:hAnsi="Arial"/>
          <w:sz w:val="16"/>
          <w:szCs w:val="16"/>
          <w:color w:val="auto"/>
        </w:rPr>
        <w:t>.”</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320" w:top="486" w:right="51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Warrants may never be in the money, and they may expire worthless and the terms of the Public Warrants may be amended in a manner adverse to a holder if holders of at least 50% of the then outstanding Public Warrants approve of such amendment.</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exercise price for our Warrants is $11.50 per share of Common Stock. We believe the likelihood that warrant holders will exercise their Public Warrants and Private Warrants, and therefore the amount of cash proceeds that we would receive, is dependent upon the trading price of our Common Stock. If the trading price for our Common Stock is less than $11.50 per share, we believe warrant holders will be unlikely to exercise their Warrants. There is no guarantee that the warrants will be in the money following the time they become exercisable and prior to their expiration, and as such, the Warrants may expire worthless. Our Warrants became exercisable on April 1, 2022.</w:t>
      </w:r>
    </w:p>
    <w:p>
      <w:pPr>
        <w:spacing w:after="0" w:line="176"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Warrants were issued in registered form under a warrant agreement (the “warrant agreement”) between American Stock Transfer &amp; Trust Company, as warrant agent, and Supernova.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Warrants or any provision of the warrant agreement with respect to the Private Warrants, 50% of the number of the then outstanding Private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18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the holder, thereby making such Warrants worthless.</w:t>
      </w:r>
    </w:p>
    <w:p>
      <w:pPr>
        <w:spacing w:after="0" w:line="62" w:lineRule="exact"/>
        <w:rPr>
          <w:sz w:val="20"/>
          <w:szCs w:val="20"/>
          <w:color w:val="auto"/>
        </w:rPr>
      </w:pPr>
    </w:p>
    <w:p>
      <w:pPr>
        <w:ind w:left="120" w:right="120" w:firstLine="440"/>
        <w:spacing w:after="0" w:line="284"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the Common Stock equals or exceeds $18.00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therefore at a time when it may be disadvantageous for you to do so; (ii) sell your Warrants at the then-current market price when you might otherwise wish to hold your Warrants; or</w:t>
      </w:r>
    </w:p>
    <w:p>
      <w:pPr>
        <w:spacing w:after="0" w:line="2" w:lineRule="exact"/>
        <w:rPr>
          <w:sz w:val="20"/>
          <w:szCs w:val="20"/>
          <w:color w:val="auto"/>
        </w:rPr>
      </w:pPr>
    </w:p>
    <w:p>
      <w:pPr>
        <w:ind w:left="120" w:right="100" w:hanging="4"/>
        <w:spacing w:after="0" w:line="260" w:lineRule="auto"/>
        <w:tabs>
          <w:tab w:leader="none" w:pos="4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accept the nominal redemption price which, at the time the outstanding Warrants are called for redemption, is likely to be substantially less than the market value of your Warrants.</w:t>
      </w:r>
    </w:p>
    <w:p>
      <w:pPr>
        <w:spacing w:after="0" w:line="185"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In addition, we may redeem your Warrants at any time after they become exercisable and prior to their expiration at a price of $0.10 per warrant upon a minimum of 30 days’ prior written notice of redemption provided that holders will be able to exercise their Warrants prior to redemption for a number of shares of Common Stock determined based on the redemption date and the fair market value of our Common Stock.</w:t>
      </w:r>
    </w:p>
    <w:p>
      <w:pPr>
        <w:spacing w:after="0" w:line="14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shares of Common Stock received is capped at 0.361 share of Common Stock per warrant (subject to adjustment) irrespective of the remaining life of the warrants. None of the Private Warrants will be redeemable by us, subject to certain circumstances, so long as they are held by Supernova Sponsor or its permitted transferees.</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warrants, which could limit the ability of warrant holders to obtain a favorable judicial forum for disputes with us.</w:t>
      </w:r>
    </w:p>
    <w:p>
      <w:pPr>
        <w:spacing w:after="0" w:line="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will be the exclusive forum for any such action, proceeding or claim. Under the warrant agreement, we also agree that we will waive any objection to such exclusive jurisdiction and that such courts represent an inconvenient forum.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86"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the Public Warrants or Private Warrants will be deemed to have notice of and to have consented to the forum provisions in our warrant agreement.</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or Private Warrants, such holder will be deemed to have consented to: (x) the personal jurisdiction of the state and federal courts located in the State of New York in connection with any action brought in any such court to enforce the forum provisions (an “enforcement action”), and</w:t>
      </w:r>
    </w:p>
    <w:p>
      <w:pPr>
        <w:spacing w:after="0" w:line="1" w:lineRule="exact"/>
        <w:rPr>
          <w:sz w:val="20"/>
          <w:szCs w:val="20"/>
          <w:color w:val="auto"/>
        </w:rPr>
      </w:pPr>
    </w:p>
    <w:p>
      <w:pPr>
        <w:ind w:left="120" w:right="480" w:hanging="4"/>
        <w:spacing w:after="0" w:line="260" w:lineRule="auto"/>
        <w:tabs>
          <w:tab w:leader="none" w:pos="3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having service of process made upon such warrant holder in any such enforcement action by service upon such warrant holder’s counsel in the foreign action as agent for such warrant holder.</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Unregistered Sales of Equity Securities</w:t>
      </w:r>
    </w:p>
    <w:p>
      <w:pPr>
        <w:spacing w:after="0" w:line="11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On August 11, 2022, we entered into the Purchase Agreement with B. Riley. Pursuant to the Purchase Agreement, in consideration for B. Riley’s commitment to purchase shares of common stock at the Company’s direction upon the terms and subject to the conditions set forth in the Purchase Agreement, the Company issued 171,008 shares of Company common stock to B. Riley (the “Commitment Shares”). The Commitment Shares were issued by the Company in reliance upon the exemptions from the registration requirements of the Securities Act afforded by Section 4(a)(2) of the Securities Act and Rule 506(b) of Regulation D promulgated thereunder.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86"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Use of Proceeds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net proceeds under the Purchase Agreement to the Company will depend on the frequency and prices at which we sell shares of its Common Stock to B. Riley. The Company expects that any proceeds received by it from such sales to B. Riley will be used for working capital and general corporate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right="300" w:firstLine="440"/>
        <w:spacing w:after="0" w:line="287" w:lineRule="auto"/>
        <w:rPr>
          <w:sz w:val="20"/>
          <w:szCs w:val="20"/>
          <w:color w:val="auto"/>
        </w:rPr>
      </w:pPr>
      <w:r>
        <w:rPr>
          <w:rFonts w:ascii="Arial" w:cs="Arial" w:eastAsia="Arial" w:hAnsi="Arial"/>
          <w:sz w:val="16"/>
          <w:szCs w:val="16"/>
          <w:color w:val="auto"/>
        </w:rPr>
        <w:t>On November 8, 2022, our board of directors approved and adopted the Amended and Restated Bylaws (the “Bylaws”), effective immediately. Among other things, the amendments effected by the Bylaws enhance the procedural mechanics and disclosure requirements in connection with stockholder nominations of directors and the submissions of proposals regarding other business at stockholder meetings, including by requiring</w:t>
      </w:r>
    </w:p>
    <w:p>
      <w:pPr>
        <w:spacing w:after="0" w:line="2" w:lineRule="exact"/>
        <w:rPr>
          <w:sz w:val="20"/>
          <w:szCs w:val="20"/>
          <w:color w:val="auto"/>
        </w:rPr>
      </w:pPr>
    </w:p>
    <w:p>
      <w:pPr>
        <w:ind w:left="120" w:right="100" w:hanging="4"/>
        <w:spacing w:after="0" w:line="251"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additional background information and disclosures regarding proposing stockholders and proposed nominees, (ii) any stockholder submitting a nomination notice to make a representation as to whether such shareholder intends to solicit proxies in support of director nominees other than our nominees in accordance with Rule 14a-19 under the Exchange Act and to provide reasonable evidence that certain requirements of such rule have been satisfied and (iii) the nomination of each proposed director nominee other than our nominees be disregarded (notwithstanding that the nominee is included as a nominee in our proxy statement, notice of meeting or other proxy materials for any annual meeting (or any supplement thereto) and notwithstanding that proxies or votes in respect of the election of such proposed nominees may have been received by us (which proxies and votes shall be disregarded)) if, after a stockholder provides notice pursuant to Rule 14a-19(b) under the Exchange Act, such stockholder subsequently fails to comply with the requirements of Rule 14a-19 under the Exchange Act. The amendments to the Bylaws also make certain other technical, modernizing and clarifying changes.</w:t>
      </w:r>
    </w:p>
    <w:p>
      <w:pPr>
        <w:spacing w:after="0" w:line="19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foregoing description of the changes contained in the Bylaws does not purport to be complete and is qualified in its entirety by reference to the full text of the Bylaws, a copy of which is incorporated by reference herein as Exhibit 3.2.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4"/>
          </w:tcPr>
          <w:p>
            <w:pPr>
              <w:ind w:left="380"/>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219"/>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20" w:type="dxa"/>
            <w:vAlign w:val="bottom"/>
            <w:gridSpan w:val="7"/>
            <w:vMerge w:val="restart"/>
          </w:tcPr>
          <w:p>
            <w:pPr>
              <w:ind w:left="29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Form</w:t>
            </w:r>
          </w:p>
        </w:tc>
        <w:tc>
          <w:tcPr>
            <w:tcW w:w="160" w:type="dxa"/>
            <w:vAlign w:val="bottom"/>
            <w:vMerge w:val="restart"/>
          </w:tcPr>
          <w:p>
            <w:pPr>
              <w:spacing w:after="0"/>
              <w:rPr>
                <w:sz w:val="19"/>
                <w:szCs w:val="19"/>
                <w:color w:val="auto"/>
              </w:rPr>
            </w:pPr>
          </w:p>
        </w:tc>
        <w:tc>
          <w:tcPr>
            <w:tcW w:w="8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Exhibit</w:t>
            </w:r>
          </w:p>
        </w:tc>
        <w:tc>
          <w:tcPr>
            <w:tcW w:w="8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20" w:type="dxa"/>
            <w:vAlign w:val="bottom"/>
            <w:tcBorders>
              <w:bottom w:val="single" w:sz="8" w:color="auto"/>
            </w:tcBorders>
            <w:gridSpan w:val="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2"/>
                <w:szCs w:val="22"/>
                <w:color w:val="auto"/>
              </w:rPr>
            </w:pPr>
          </w:p>
        </w:tc>
        <w:tc>
          <w:tcPr>
            <w:tcW w:w="6240" w:type="dxa"/>
            <w:vAlign w:val="bottom"/>
            <w:tcBorders>
              <w:bottom w:val="single" w:sz="8" w:color="0000EE"/>
            </w:tcBorders>
            <w:gridSpan w:val="5"/>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Agreement and Plan of Merger, dated as of October 6, 2021, by and among Supernova</w:t>
              </w:r>
            </w:hyperlink>
          </w:p>
        </w:tc>
        <w:tc>
          <w:tcPr>
            <w:tcW w:w="400" w:type="dxa"/>
            <w:vAlign w:val="bottom"/>
            <w:gridSpan w:val="4"/>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Partners Acquisition Company II, Ltd., Supernova Merger Sub, Inc., Supernova Romeo</w:t>
              </w:r>
            </w:hyperlink>
          </w:p>
        </w:tc>
        <w:tc>
          <w:tcPr>
            <w:tcW w:w="32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40" w:type="dxa"/>
            <w:vAlign w:val="bottom"/>
            <w:gridSpan w:val="9"/>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Merger Sub, LLC and Rigetti Holdings, Inc.</w:t>
              </w:r>
            </w:hyperlink>
          </w:p>
        </w:tc>
        <w:tc>
          <w:tcPr>
            <w:tcW w:w="5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5"/>
              </w:rPr>
              <w:t>001-40140</w:t>
            </w:r>
          </w:p>
        </w:tc>
        <w:tc>
          <w:tcPr>
            <w:tcW w:w="5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2.1</w:t>
            </w:r>
          </w:p>
        </w:tc>
        <w:tc>
          <w:tcPr>
            <w:tcW w:w="150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October 6, 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6320" w:type="dxa"/>
            <w:vAlign w:val="bottom"/>
            <w:tcBorders>
              <w:bottom w:val="single" w:sz="8" w:color="0000EE"/>
            </w:tcBorders>
            <w:gridSpan w:val="6"/>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First Amendment to Agreement and Plan of Merger, dated as of December 23, 2021, by</w:t>
              </w:r>
            </w:hyperlink>
          </w:p>
        </w:tc>
        <w:tc>
          <w:tcPr>
            <w:tcW w:w="32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40" w:type="dxa"/>
            <w:vAlign w:val="bottom"/>
            <w:gridSpan w:val="9"/>
          </w:tcPr>
          <w:p>
            <w:pPr>
              <w:spacing w:after="0" w:line="196" w:lineRule="exact"/>
              <w:rPr>
                <w:rFonts w:ascii="Arial" w:cs="Arial" w:eastAsia="Arial" w:hAnsi="Arial"/>
                <w:sz w:val="18"/>
                <w:szCs w:val="18"/>
                <w:color w:val="0000EE"/>
                <w:w w:val="96"/>
              </w:rPr>
            </w:pPr>
            <w:hyperlink r:id="rId146">
              <w:r>
                <w:rPr>
                  <w:rFonts w:ascii="Arial" w:cs="Arial" w:eastAsia="Arial" w:hAnsi="Arial"/>
                  <w:sz w:val="18"/>
                  <w:szCs w:val="18"/>
                  <w:color w:val="0000EE"/>
                  <w:w w:val="96"/>
                </w:rPr>
                <w:t>and among Supernova Partners Acquisition Company II, Ltd., Supernova Merger Sub,</w:t>
              </w:r>
            </w:hyperlink>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Inc., Supernova Romeo Merger Sub, LLC and Rigetti Holdings, Inc.</w:t>
              </w:r>
            </w:hyperlink>
          </w:p>
        </w:tc>
        <w:tc>
          <w:tcPr>
            <w:tcW w:w="1280" w:type="dxa"/>
            <w:vAlign w:val="bottom"/>
            <w:tcBorders>
              <w:top w:val="single" w:sz="8" w:color="0000EE"/>
            </w:tcBorders>
          </w:tcPr>
          <w:p>
            <w:pPr>
              <w:spacing w:after="0"/>
              <w:rPr>
                <w:sz w:val="17"/>
                <w:szCs w:val="17"/>
                <w:color w:val="auto"/>
              </w:rPr>
            </w:pPr>
          </w:p>
        </w:tc>
        <w:tc>
          <w:tcPr>
            <w:tcW w:w="420" w:type="dxa"/>
            <w:vAlign w:val="bottom"/>
            <w:gridSpan w:val="5"/>
          </w:tcPr>
          <w:p>
            <w:pPr>
              <w:spacing w:after="0"/>
              <w:rPr>
                <w:sz w:val="17"/>
                <w:szCs w:val="17"/>
                <w:color w:val="auto"/>
              </w:rPr>
            </w:pPr>
          </w:p>
        </w:tc>
        <w:tc>
          <w:tcPr>
            <w:tcW w:w="5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5"/>
              </w:rPr>
              <w:t>001-40140</w:t>
            </w:r>
          </w:p>
        </w:tc>
        <w:tc>
          <w:tcPr>
            <w:tcW w:w="5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2.1</w:t>
            </w:r>
          </w:p>
        </w:tc>
        <w:tc>
          <w:tcPr>
            <w:tcW w:w="1500" w:type="dxa"/>
            <w:vAlign w:val="bottom"/>
            <w:gridSpan w:val="2"/>
          </w:tcPr>
          <w:p>
            <w:pPr>
              <w:ind w:left="80"/>
              <w:spacing w:after="0" w:line="196" w:lineRule="exact"/>
              <w:rPr>
                <w:sz w:val="20"/>
                <w:szCs w:val="20"/>
                <w:color w:val="auto"/>
              </w:rPr>
            </w:pPr>
            <w:r>
              <w:rPr>
                <w:rFonts w:ascii="Arial" w:cs="Arial" w:eastAsia="Arial" w:hAnsi="Arial"/>
                <w:sz w:val="18"/>
                <w:szCs w:val="18"/>
                <w:color w:val="auto"/>
                <w:w w:val="88"/>
              </w:rPr>
              <w:t>December 23,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6340" w:type="dxa"/>
            <w:vAlign w:val="bottom"/>
            <w:tcBorders>
              <w:bottom w:val="single" w:sz="8" w:color="0000EE"/>
            </w:tcBorders>
            <w:gridSpan w:val="7"/>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Second Amendment to Agreement and Plan of Merger, dated as of January 10, 2022, by</w:t>
              </w:r>
            </w:hyperlink>
          </w:p>
        </w:tc>
        <w:tc>
          <w:tcPr>
            <w:tcW w:w="3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40" w:type="dxa"/>
            <w:vAlign w:val="bottom"/>
            <w:gridSpan w:val="9"/>
          </w:tcPr>
          <w:p>
            <w:pPr>
              <w:spacing w:after="0" w:line="196" w:lineRule="exact"/>
              <w:rPr>
                <w:rFonts w:ascii="Arial" w:cs="Arial" w:eastAsia="Arial" w:hAnsi="Arial"/>
                <w:sz w:val="18"/>
                <w:szCs w:val="18"/>
                <w:color w:val="0000EE"/>
                <w:w w:val="96"/>
              </w:rPr>
            </w:pPr>
            <w:hyperlink r:id="rId147">
              <w:r>
                <w:rPr>
                  <w:rFonts w:ascii="Arial" w:cs="Arial" w:eastAsia="Arial" w:hAnsi="Arial"/>
                  <w:sz w:val="18"/>
                  <w:szCs w:val="18"/>
                  <w:color w:val="0000EE"/>
                  <w:w w:val="96"/>
                </w:rPr>
                <w:t>and among Supernova Partners Acquisition Company II, Ltd., Supernova Merger Sub,</w:t>
              </w:r>
            </w:hyperlink>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Inc., Supernova Romeo Merger Sub, LLC and Rigetti Holdings, Inc.</w:t>
              </w:r>
            </w:hyperlink>
          </w:p>
        </w:tc>
        <w:tc>
          <w:tcPr>
            <w:tcW w:w="420" w:type="dxa"/>
            <w:vAlign w:val="bottom"/>
            <w:gridSpan w:val="5"/>
          </w:tcPr>
          <w:p>
            <w:pPr>
              <w:spacing w:after="0"/>
              <w:rPr>
                <w:sz w:val="17"/>
                <w:szCs w:val="17"/>
                <w:color w:val="auto"/>
              </w:rPr>
            </w:pPr>
          </w:p>
        </w:tc>
        <w:tc>
          <w:tcPr>
            <w:tcW w:w="5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5"/>
              </w:rPr>
              <w:t>001-40140</w:t>
            </w:r>
          </w:p>
        </w:tc>
        <w:tc>
          <w:tcPr>
            <w:tcW w:w="5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2.1</w:t>
            </w:r>
          </w:p>
        </w:tc>
        <w:tc>
          <w:tcPr>
            <w:tcW w:w="150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January 10, 2022</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4920" w:type="dxa"/>
            <w:vAlign w:val="bottom"/>
            <w:tcBorders>
              <w:top w:val="single" w:sz="8" w:color="0000EE"/>
            </w:tcBorders>
            <w:gridSpan w:val="2"/>
          </w:tcPr>
          <w:p>
            <w:pPr>
              <w:jc w:val="right"/>
              <w:ind w:right="160"/>
              <w:spacing w:after="0"/>
              <w:rPr>
                <w:sz w:val="20"/>
                <w:szCs w:val="20"/>
                <w:color w:val="auto"/>
              </w:rPr>
            </w:pPr>
            <w:r>
              <w:rPr>
                <w:rFonts w:ascii="Arial" w:cs="Arial" w:eastAsia="Arial" w:hAnsi="Arial"/>
                <w:sz w:val="18"/>
                <w:szCs w:val="18"/>
                <w:color w:val="auto"/>
              </w:rPr>
              <w:t>96</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Exhibit</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20" w:type="dxa"/>
            <w:vAlign w:val="bottom"/>
            <w:gridSpan w:val="8"/>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2"/>
                <w:szCs w:val="22"/>
                <w:color w:val="auto"/>
              </w:rPr>
            </w:pPr>
          </w:p>
        </w:tc>
        <w:tc>
          <w:tcPr>
            <w:tcW w:w="3940" w:type="dxa"/>
            <w:vAlign w:val="bottom"/>
            <w:tcBorders>
              <w:top w:val="single" w:sz="8" w:color="auto"/>
              <w:bottom w:val="single" w:sz="8" w:color="0000EE"/>
            </w:tcBorders>
            <w:gridSpan w:val="4"/>
          </w:tcPr>
          <w:p>
            <w:pPr>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Certificate of Incorporation of Rigetti Computing, Inc.</w:t>
              </w:r>
            </w:hyperlink>
          </w:p>
        </w:tc>
        <w:tc>
          <w:tcPr>
            <w:tcW w:w="1880" w:type="dxa"/>
            <w:vAlign w:val="bottom"/>
            <w:tcBorders>
              <w:top w:val="single" w:sz="8" w:color="auto"/>
            </w:tcBorders>
            <w:gridSpan w:val="6"/>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Amended and Restated Bylaws of Rigetti Computing, Inc.</w:t>
              </w:r>
            </w:hyperlink>
          </w:p>
        </w:tc>
        <w:tc>
          <w:tcPr>
            <w:tcW w:w="16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2700" w:type="dxa"/>
            <w:vAlign w:val="bottom"/>
            <w:tcBorders>
              <w:bottom w:val="single" w:sz="8" w:color="0000EE"/>
            </w:tcBorders>
            <w:gridSpan w:val="3"/>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Specimen Common Stock Certificate</w:t>
              </w:r>
            </w:hyperlink>
          </w:p>
        </w:tc>
        <w:tc>
          <w:tcPr>
            <w:tcW w:w="31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5820" w:type="dxa"/>
            <w:vAlign w:val="bottom"/>
            <w:gridSpan w:val="10"/>
          </w:tcPr>
          <w:p>
            <w:pPr>
              <w:spacing w:after="0"/>
              <w:rPr>
                <w:rFonts w:ascii="Arial" w:cs="Arial" w:eastAsia="Arial" w:hAnsi="Arial"/>
                <w:sz w:val="18"/>
                <w:szCs w:val="18"/>
                <w:color w:val="0000EE"/>
              </w:rPr>
            </w:pPr>
            <w:hyperlink r:id="rId152">
              <w:r>
                <w:rPr>
                  <w:rFonts w:ascii="Arial" w:cs="Arial" w:eastAsia="Arial" w:hAnsi="Arial"/>
                  <w:sz w:val="18"/>
                  <w:szCs w:val="18"/>
                  <w:color w:val="0000EE"/>
                </w:rPr>
                <w:t>Specimen Warrant Certificate</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0" w:type="dxa"/>
            <w:vAlign w:val="bottom"/>
            <w:tcBorders>
              <w:left w:val="single" w:sz="8" w:color="0000EE"/>
            </w:tcBorders>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5820" w:type="dxa"/>
            <w:vAlign w:val="bottom"/>
            <w:gridSpan w:val="10"/>
          </w:tcPr>
          <w:p>
            <w:pPr>
              <w:spacing w:after="0"/>
              <w:rPr>
                <w:sz w:val="20"/>
                <w:szCs w:val="20"/>
                <w:color w:val="auto"/>
              </w:rPr>
            </w:pPr>
            <w:r>
              <w:rPr>
                <w:rFonts w:ascii="Arial" w:cs="Arial" w:eastAsia="Arial" w:hAnsi="Arial"/>
                <w:sz w:val="18"/>
                <w:szCs w:val="18"/>
                <w:color w:val="0000EE"/>
              </w:rPr>
              <w:t>Certification of Chief Executive Officer Pursuant to Section 302 of the</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Sarbanes-Oxley Act of 2002.</w:t>
            </w:r>
          </w:p>
        </w:tc>
        <w:tc>
          <w:tcPr>
            <w:tcW w:w="7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5820" w:type="dxa"/>
            <w:vAlign w:val="bottom"/>
            <w:gridSpan w:val="10"/>
          </w:tcPr>
          <w:p>
            <w:pPr>
              <w:spacing w:after="0"/>
              <w:rPr>
                <w:sz w:val="20"/>
                <w:szCs w:val="20"/>
                <w:color w:val="auto"/>
              </w:rPr>
            </w:pPr>
            <w:r>
              <w:rPr>
                <w:rFonts w:ascii="Arial" w:cs="Arial" w:eastAsia="Arial" w:hAnsi="Arial"/>
                <w:sz w:val="18"/>
                <w:szCs w:val="18"/>
                <w:color w:val="0000EE"/>
                <w:w w:val="91"/>
              </w:rPr>
              <w:t>Certification of Chief Financial Officer Pursuant to Section 302 of the Sarbanes-</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440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5820" w:type="dxa"/>
            <w:vAlign w:val="bottom"/>
            <w:gridSpan w:val="10"/>
          </w:tcPr>
          <w:p>
            <w:pPr>
              <w:spacing w:after="0"/>
              <w:rPr>
                <w:sz w:val="20"/>
                <w:szCs w:val="20"/>
                <w:color w:val="auto"/>
              </w:rPr>
            </w:pPr>
            <w:r>
              <w:rPr>
                <w:rFonts w:ascii="Arial" w:cs="Arial" w:eastAsia="Arial" w:hAnsi="Arial"/>
                <w:sz w:val="18"/>
                <w:szCs w:val="18"/>
                <w:color w:val="0000EE"/>
                <w:w w:val="93"/>
              </w:rPr>
              <w:t>Certification of Chief Executive Officer and Chief Financial Officer Pursuant to</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18 U.S.C. Section 1350 as adopted pursuant to Section 906 of the Sarbanes-</w:t>
            </w:r>
          </w:p>
        </w:tc>
        <w:tc>
          <w:tcPr>
            <w:tcW w:w="280" w:type="dxa"/>
            <w:vAlign w:val="bottom"/>
            <w:tcBorders>
              <w:top w:val="single" w:sz="8" w:color="0000EE"/>
            </w:tcBorders>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4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820" w:type="dxa"/>
            <w:vAlign w:val="bottom"/>
            <w:gridSpan w:val="10"/>
          </w:tcPr>
          <w:p>
            <w:pPr>
              <w:spacing w:after="0"/>
              <w:rPr>
                <w:sz w:val="20"/>
                <w:szCs w:val="20"/>
                <w:color w:val="auto"/>
              </w:rPr>
            </w:pPr>
            <w:r>
              <w:rPr>
                <w:rFonts w:ascii="Arial" w:cs="Arial" w:eastAsia="Arial" w:hAnsi="Arial"/>
                <w:sz w:val="18"/>
                <w:szCs w:val="18"/>
                <w:color w:val="auto"/>
                <w:w w:val="90"/>
              </w:rPr>
              <w:t>Inline XBRL Instance Document—the instance document does not appear in the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20" w:type="dxa"/>
            <w:vAlign w:val="bottom"/>
            <w:gridSpan w:val="10"/>
          </w:tcPr>
          <w:p>
            <w:pPr>
              <w:spacing w:after="0"/>
              <w:rPr>
                <w:sz w:val="20"/>
                <w:szCs w:val="20"/>
                <w:color w:val="auto"/>
              </w:rPr>
            </w:pPr>
            <w:r>
              <w:rPr>
                <w:rFonts w:ascii="Arial" w:cs="Arial" w:eastAsia="Arial" w:hAnsi="Arial"/>
                <w:sz w:val="18"/>
                <w:szCs w:val="18"/>
                <w:color w:val="auto"/>
                <w:w w:val="98"/>
              </w:rPr>
              <w:t>interactive data file because its XBRL tags are embedded within the Inline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20" w:type="dxa"/>
            <w:vAlign w:val="bottom"/>
            <w:gridSpan w:val="10"/>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324"/>
        </w:trPr>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101.SCH*</w:t>
            </w:r>
          </w:p>
        </w:tc>
        <w:tc>
          <w:tcPr>
            <w:tcW w:w="58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101.CAL*</w:t>
            </w:r>
          </w:p>
        </w:tc>
        <w:tc>
          <w:tcPr>
            <w:tcW w:w="582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00" w:type="dxa"/>
            <w:vAlign w:val="bottom"/>
            <w:gridSpan w:val="6"/>
          </w:tcPr>
          <w:p>
            <w:pPr>
              <w:ind w:left="4460"/>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Incorporated by Reference</w:t>
            </w:r>
          </w:p>
        </w:tc>
      </w:tr>
      <w:tr>
        <w:trPr>
          <w:trHeight w:val="390"/>
        </w:trPr>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1"/>
              </w:rPr>
              <w:t>Form</w:t>
            </w:r>
          </w:p>
        </w:tc>
        <w:tc>
          <w:tcPr>
            <w:tcW w:w="26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File No.</w:t>
            </w:r>
          </w:p>
        </w:tc>
        <w:tc>
          <w:tcPr>
            <w:tcW w:w="28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Exhibit</w:t>
            </w:r>
          </w:p>
        </w:tc>
        <w:tc>
          <w:tcPr>
            <w:tcW w:w="220" w:type="dxa"/>
            <w:vAlign w:val="bottom"/>
          </w:tcPr>
          <w:p>
            <w:pPr>
              <w:spacing w:after="0"/>
              <w:rPr>
                <w:sz w:val="24"/>
                <w:szCs w:val="24"/>
                <w:color w:val="auto"/>
              </w:rPr>
            </w:pPr>
          </w:p>
        </w:tc>
        <w:tc>
          <w:tcPr>
            <w:tcW w:w="1500" w:type="dxa"/>
            <w:vAlign w:val="bottom"/>
          </w:tcPr>
          <w:p>
            <w:pPr>
              <w:jc w:val="right"/>
              <w:ind w:right="314"/>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304"/>
        </w:trPr>
        <w:tc>
          <w:tcPr>
            <w:tcW w:w="360" w:type="dxa"/>
            <w:vAlign w:val="bottom"/>
          </w:tcPr>
          <w:p>
            <w:pPr>
              <w:jc w:val="right"/>
              <w:spacing w:after="0"/>
              <w:rPr>
                <w:sz w:val="20"/>
                <w:szCs w:val="20"/>
                <w:color w:val="auto"/>
              </w:rPr>
            </w:pPr>
            <w:r>
              <w:rPr>
                <w:rFonts w:ascii="Arial" w:cs="Arial" w:eastAsia="Arial" w:hAnsi="Arial"/>
                <w:sz w:val="18"/>
                <w:szCs w:val="18"/>
                <w:color w:val="auto"/>
              </w:rPr>
              <w:t>8-K</w:t>
            </w:r>
          </w:p>
        </w:tc>
        <w:tc>
          <w:tcPr>
            <w:tcW w:w="26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001-40140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March 7, 2022</w:t>
            </w:r>
          </w:p>
        </w:tc>
      </w:tr>
      <w:tr>
        <w:trPr>
          <w:trHeight w:val="324"/>
        </w:trPr>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001-40140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3"/>
              </w:rPr>
              <w:t>November 14, 2022</w:t>
            </w:r>
          </w:p>
        </w:tc>
      </w:tr>
      <w:tr>
        <w:trPr>
          <w:trHeight w:val="324"/>
        </w:trPr>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001-40140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March 7, 2022</w:t>
            </w:r>
          </w:p>
        </w:tc>
      </w:tr>
      <w:tr>
        <w:trPr>
          <w:trHeight w:val="324"/>
        </w:trPr>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001-40140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March 7, 2022</w:t>
            </w:r>
          </w:p>
        </w:tc>
      </w:tr>
    </w:tbl>
    <w:p>
      <w:pPr>
        <w:sectPr>
          <w:pgSz w:w="11900" w:h="16838" w:orient="portrait"/>
          <w:cols w:equalWidth="0" w:num="2">
            <w:col w:w="6900" w:space="220"/>
            <w:col w:w="3960"/>
          </w:cols>
          <w:pgMar w:left="320" w:top="486" w:right="4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6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19"/>
        </w:trPr>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9"/>
                <w:szCs w:val="19"/>
                <w:color w:val="auto"/>
              </w:rPr>
            </w:pPr>
          </w:p>
        </w:tc>
        <w:tc>
          <w:tcPr>
            <w:tcW w:w="5780" w:type="dxa"/>
            <w:vAlign w:val="bottom"/>
            <w:vMerge w:val="restart"/>
          </w:tcPr>
          <w:p>
            <w:pPr>
              <w:ind w:left="2540"/>
              <w:spacing w:after="0"/>
              <w:rPr>
                <w:sz w:val="20"/>
                <w:szCs w:val="20"/>
                <w:color w:val="auto"/>
              </w:rPr>
            </w:pPr>
            <w:r>
              <w:rPr>
                <w:rFonts w:ascii="Arial" w:cs="Arial" w:eastAsia="Arial" w:hAnsi="Arial"/>
                <w:sz w:val="14"/>
                <w:szCs w:val="14"/>
                <w:b w:val="1"/>
                <w:bCs w:val="1"/>
                <w:color w:val="auto"/>
              </w:rPr>
              <w:t>Description</w:t>
            </w:r>
          </w:p>
        </w:tc>
        <w:tc>
          <w:tcPr>
            <w:tcW w:w="460" w:type="dxa"/>
            <w:vAlign w:val="bottom"/>
            <w:vMerge w:val="restart"/>
          </w:tcPr>
          <w:p>
            <w:pPr>
              <w:spacing w:after="0"/>
              <w:rPr>
                <w:sz w:val="19"/>
                <w:szCs w:val="19"/>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0"/>
              </w:rPr>
              <w:t>File No.</w:t>
            </w:r>
          </w:p>
        </w:tc>
        <w:tc>
          <w:tcPr>
            <w:tcW w:w="480" w:type="dxa"/>
            <w:vAlign w:val="bottom"/>
          </w:tcPr>
          <w:p>
            <w:pPr>
              <w:spacing w:after="0"/>
              <w:rPr>
                <w:sz w:val="19"/>
                <w:szCs w:val="19"/>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20" w:type="dxa"/>
            <w:vAlign w:val="bottom"/>
          </w:tcPr>
          <w:p>
            <w:pPr>
              <w:spacing w:after="0"/>
              <w:rPr>
                <w:sz w:val="14"/>
                <w:szCs w:val="14"/>
                <w:color w:val="auto"/>
              </w:rPr>
            </w:pPr>
          </w:p>
        </w:tc>
        <w:tc>
          <w:tcPr>
            <w:tcW w:w="57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6760" w:type="dxa"/>
            <w:vAlign w:val="bottom"/>
            <w:gridSpan w:val="3"/>
          </w:tcPr>
          <w:p>
            <w:pPr>
              <w:ind w:left="520"/>
              <w:spacing w:after="0"/>
              <w:rPr>
                <w:sz w:val="20"/>
                <w:szCs w:val="20"/>
                <w:color w:val="auto"/>
              </w:rPr>
            </w:pPr>
            <w:r>
              <w:rPr>
                <w:rFonts w:ascii="Arial" w:cs="Arial" w:eastAsia="Arial" w:hAnsi="Arial"/>
                <w:sz w:val="18"/>
                <w:szCs w:val="18"/>
                <w:color w:val="auto"/>
              </w:rPr>
              <w:t>Inline XBRL Taxonomy Extension Definition Linkbase Document</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6760" w:type="dxa"/>
            <w:vAlign w:val="bottom"/>
            <w:gridSpan w:val="3"/>
          </w:tcPr>
          <w:p>
            <w:pPr>
              <w:ind w:left="520"/>
              <w:spacing w:after="0"/>
              <w:rPr>
                <w:sz w:val="20"/>
                <w:szCs w:val="20"/>
                <w:color w:val="auto"/>
              </w:rPr>
            </w:pPr>
            <w:r>
              <w:rPr>
                <w:rFonts w:ascii="Arial" w:cs="Arial" w:eastAsia="Arial" w:hAnsi="Arial"/>
                <w:sz w:val="18"/>
                <w:szCs w:val="18"/>
                <w:color w:val="auto"/>
              </w:rPr>
              <w:t>Inline XBRL Taxonomy Extension Label Linkbase Document</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6760" w:type="dxa"/>
            <w:vAlign w:val="bottom"/>
            <w:gridSpan w:val="3"/>
          </w:tcPr>
          <w:p>
            <w:pPr>
              <w:ind w:left="520"/>
              <w:spacing w:after="0"/>
              <w:rPr>
                <w:sz w:val="20"/>
                <w:szCs w:val="20"/>
                <w:color w:val="auto"/>
              </w:rPr>
            </w:pPr>
            <w:r>
              <w:rPr>
                <w:rFonts w:ascii="Arial" w:cs="Arial" w:eastAsia="Arial" w:hAnsi="Arial"/>
                <w:sz w:val="18"/>
                <w:szCs w:val="18"/>
                <w:color w:val="auto"/>
              </w:rPr>
              <w:t>Inline XBRL Taxonomy Extension Presentation Linkbase Document</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0" w:type="dxa"/>
            <w:vAlign w:val="bottom"/>
          </w:tcPr>
          <w:p>
            <w:pPr>
              <w:jc w:val="right"/>
              <w:ind w:right="316"/>
              <w:spacing w:after="0"/>
              <w:rPr>
                <w:sz w:val="20"/>
                <w:szCs w:val="20"/>
                <w:color w:val="auto"/>
              </w:rPr>
            </w:pPr>
            <w:r>
              <w:rPr>
                <w:rFonts w:ascii="Arial" w:cs="Arial" w:eastAsia="Arial" w:hAnsi="Arial"/>
                <w:sz w:val="18"/>
                <w:szCs w:val="18"/>
                <w:color w:val="auto"/>
                <w:w w:val="91"/>
              </w:rPr>
              <w:t>104*</w:t>
            </w:r>
          </w:p>
        </w:tc>
        <w:tc>
          <w:tcPr>
            <w:tcW w:w="6760" w:type="dxa"/>
            <w:vAlign w:val="bottom"/>
            <w:gridSpan w:val="3"/>
          </w:tcPr>
          <w:p>
            <w:pPr>
              <w:ind w:left="520"/>
              <w:spacing w:after="0"/>
              <w:rPr>
                <w:sz w:val="20"/>
                <w:szCs w:val="20"/>
                <w:color w:val="auto"/>
              </w:rPr>
            </w:pPr>
            <w:r>
              <w:rPr>
                <w:rFonts w:ascii="Arial" w:cs="Arial" w:eastAsia="Arial" w:hAnsi="Arial"/>
                <w:sz w:val="18"/>
                <w:szCs w:val="18"/>
                <w:color w:val="auto"/>
              </w:rPr>
              <w:t>Cover Page Interactive Data File (formatted as Inline XBRL and contained in</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6760" w:type="dxa"/>
            <w:vAlign w:val="bottom"/>
            <w:gridSpan w:val="3"/>
          </w:tcPr>
          <w:p>
            <w:pPr>
              <w:ind w:left="520"/>
              <w:spacing w:after="0"/>
              <w:rPr>
                <w:sz w:val="20"/>
                <w:szCs w:val="20"/>
                <w:color w:val="auto"/>
              </w:rPr>
            </w:pPr>
            <w:r>
              <w:rPr>
                <w:rFonts w:ascii="Arial" w:cs="Arial" w:eastAsia="Arial" w:hAnsi="Arial"/>
                <w:sz w:val="18"/>
                <w:szCs w:val="18"/>
                <w:color w:val="auto"/>
              </w:rPr>
              <w:t>Exhibit 101)</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right="20" w:hanging="424"/>
        <w:spacing w:after="0" w:line="281"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Furnished herewith. This certification accompanies the Form 10-Q to which it relates, is not deemed filed with the Securities and Exchange Commission and is not to be incorporated by reference into any filing of Rigetti Computing, Inc. under the Securities Act of 1933, as amended, or the Securities Exchange Act of 1934, as amended (whether made before or after the date of the Form 10-Q), irrespective of any general</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incorporation language contained in such filing.</w:t>
      </w:r>
    </w:p>
    <w:p>
      <w:pPr>
        <w:spacing w:after="0" w:line="9" w:lineRule="exact"/>
        <w:rPr>
          <w:sz w:val="20"/>
          <w:szCs w:val="20"/>
          <w:color w:val="auto"/>
        </w:rPr>
      </w:pPr>
    </w:p>
    <w:p>
      <w:pPr>
        <w:ind w:left="540" w:right="240" w:hanging="424"/>
        <w:spacing w:after="0" w:line="26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schedules and exhibits to this agreement have been omitted pursuant to Item 601(a)(5) of Regulation S-K. A copy of any omitted schedule and/or exhibit will be furnished to the SEC upon request.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86" w:right="4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RIGETTI COMPUTING, INC.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Dated: November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Sereda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(Authorized Signatory, Principal Financial Officer and Principal</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Accounting Officer)</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00"/>
          </w:cols>
          <w:pgMar w:left="320" w:top="486" w:right="67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Rick Danis, certify that:</w:t>
      </w:r>
    </w:p>
    <w:p>
      <w:pPr>
        <w:spacing w:after="0" w:line="131" w:lineRule="exact"/>
        <w:rPr>
          <w:sz w:val="20"/>
          <w:szCs w:val="20"/>
          <w:color w:val="auto"/>
        </w:rPr>
      </w:pPr>
    </w:p>
    <w:p>
      <w:pPr>
        <w:ind w:left="960" w:hanging="53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Form 10-Q of Rigetti Computing,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420" w:right="20" w:hanging="439"/>
        <w:spacing w:after="0" w:line="286" w:lineRule="auto"/>
        <w:tabs>
          <w:tab w:leader="none" w:pos="14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right="80" w:hanging="439"/>
        <w:spacing w:after="0" w:line="263"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420" w:right="120" w:hanging="439"/>
        <w:spacing w:after="0" w:line="342" w:lineRule="auto"/>
        <w:tabs>
          <w:tab w:leader="none" w:pos="14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Rick Danis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Rick Danis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Sereda, certify that:</w:t>
      </w:r>
    </w:p>
    <w:p>
      <w:pPr>
        <w:spacing w:after="0" w:line="131" w:lineRule="exact"/>
        <w:rPr>
          <w:sz w:val="20"/>
          <w:szCs w:val="20"/>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Form 10-Q of Rigetti Computing,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420" w:right="20" w:hanging="439"/>
        <w:spacing w:after="0" w:line="286" w:lineRule="auto"/>
        <w:tabs>
          <w:tab w:leader="none" w:pos="14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right="80" w:hanging="439"/>
        <w:spacing w:after="0" w:line="263"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420" w:right="120" w:hanging="439"/>
        <w:spacing w:after="0" w:line="342" w:lineRule="auto"/>
        <w:tabs>
          <w:tab w:leader="none" w:pos="14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Brian Sereda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0"/>
          </w:cols>
          <w:pgMar w:left="440" w:top="121" w:right="4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Rick Danis, Interim Chief Executive Officer of Rigetti Computing, Inc. (the “Company”), and Brian Sereda, Chief Financial Officer of the Company, each hereby certifies that, to the best of his knowledge:</w:t>
      </w:r>
    </w:p>
    <w:p>
      <w:pPr>
        <w:spacing w:after="0" w:line="71" w:lineRule="exact"/>
        <w:rPr>
          <w:sz w:val="20"/>
          <w:szCs w:val="20"/>
          <w:color w:val="auto"/>
        </w:rPr>
      </w:pPr>
    </w:p>
    <w:p>
      <w:pPr>
        <w:ind w:left="960" w:right="20" w:hanging="532"/>
        <w:spacing w:after="0" w:line="308" w:lineRule="auto"/>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51" w:lineRule="exact"/>
        <w:rPr>
          <w:rFonts w:ascii="Arial" w:cs="Arial" w:eastAsia="Arial" w:hAnsi="Arial"/>
          <w:sz w:val="17"/>
          <w:szCs w:val="17"/>
          <w:color w:val="auto"/>
        </w:rPr>
      </w:pPr>
    </w:p>
    <w:p>
      <w:pPr>
        <w:ind w:left="960" w:hanging="53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undersigned have set their hands hereto as of the 21st day of November, 2022.</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Rick Danis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Rick Danis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Brian Sereda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lowerRoman"/>
      <w:start w:val="2"/>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decimal"/>
      <w:start w:val="2"/>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lowerRoman"/>
      <w:start w:val="3"/>
    </w:lvl>
  </w:abstractNum>
  <w:abstractNum w:abstractNumId="52">
    <w:nsid w:val="39386575"/>
    <w:multiLevelType w:val="hybridMultilevel"/>
    <w:lvl w:ilvl="0">
      <w:lvlJc w:val="left"/>
      <w:lvlText w:val="(%1)"/>
      <w:numFmt w:val="lowerLetter"/>
      <w:start w:val="25"/>
    </w:lvl>
  </w:abstractNum>
  <w:abstractNum w:abstractNumId="53">
    <w:nsid w:val="1CF10FD8"/>
    <w:multiLevelType w:val="hybridMultilevel"/>
    <w:lvl w:ilvl="0">
      <w:lvlJc w:val="left"/>
      <w:lvlText w:val="(%1)"/>
      <w:numFmt w:val="lowerRoman"/>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8"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45" Type="http://schemas.openxmlformats.org/officeDocument/2006/relationships/hyperlink" Target="http://www.sec.gov/Archives/edgar/data/1838359/000119312521292696/d228756dex21.htm" TargetMode="External"/><Relationship Id="rId146" Type="http://schemas.openxmlformats.org/officeDocument/2006/relationships/hyperlink" Target="http://www.sec.gov/Archives/edgar/data/1838359/000119312521366325/d260312dex21.htm" TargetMode="External"/><Relationship Id="rId147" Type="http://schemas.openxmlformats.org/officeDocument/2006/relationships/hyperlink" Target="http://www.sec.gov/Archives/edgar/data/1838359/000119312522005796/d254318dex21.htm" TargetMode="External"/><Relationship Id="rId149" Type="http://schemas.openxmlformats.org/officeDocument/2006/relationships/hyperlink" Target="http://www.sec.gov/Archives/edgar/data/1838359/000119312522067932/d506107dex31.htm" TargetMode="External"/><Relationship Id="rId150" Type="http://schemas.openxmlformats.org/officeDocument/2006/relationships/hyperlink" Target="http://www.sec.gov/Archives/edgar/data/1838359/000119312522284708/d418381dex31.htm" TargetMode="External"/><Relationship Id="rId151" Type="http://schemas.openxmlformats.org/officeDocument/2006/relationships/hyperlink" Target="http://www.sec.gov/Archives/edgar/data/1838359/000119312522067932/d506107dex41.htm" TargetMode="External"/><Relationship Id="rId152" Type="http://schemas.openxmlformats.org/officeDocument/2006/relationships/hyperlink" Target="http://www.sec.gov/Archives/edgar/data/1838359/000119312522067932/d50610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2022-11-22T05:41:03Z</dcterms:created>
  <dcterms:modified xsi:type="dcterms:W3CDTF">2022-11-22T05:41:03Z</dcterms:modified>
</cp:coreProperties>
</file>