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30630x10q.htm"/>
        <w:bookmarkStart w:id="1" w:name="kstmb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61da8d48_9229_4981_8feb_6198a08429c4"/>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June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IVdZflhZHE2ckYJQhRRGLw_7_1"/>
      <w:bookmarkStart w:id="4" w:name="Tc_zcuyai9rGESIpXzmbvo_0g_7_0"/>
      <w:bookmarkStart w:id="5" w:name="Tc_CtWNA5dJb0mzoTEwjidlGg_6_0"/>
      <w:bookmarkStart w:id="6" w:name="Tc_tpS87_om9U6g5gRneisnuQ_3_1"/>
      <w:bookmarkStart w:id="7" w:name="Tc_GV44Ox916UCRytaBUA2VwA_3_0"/>
      <w:bookmarkStart w:id="8" w:name="Tc_cExIaSagPkmIUl9FIf37gg_2_1"/>
      <w:bookmarkStart w:id="9" w:name="Tc_rlTsiUdrQUGtFUR8WCNF9w_2_0"/>
      <w:bookmarkStart w:id="10" w:name="_dfc1e86d_ec87_4945_a6b1_fd30f03e93cd"/>
      <w:bookmarkStart w:id="11" w:name="Tc_IVdZflhZHE2ckYJQhRRGLw_7_1"/>
      <w:bookmarkStart w:id="12" w:name="Tc_zcuyai9rGESIpXzmbvo_0g_7_0"/>
      <w:bookmarkStart w:id="13" w:name="Tc_CtWNA5dJb0mzoTEwjidlGg_6_0"/>
      <w:bookmarkStart w:id="14" w:name="Tc_tpS87_om9U6g5gRneisnuQ_3_1"/>
      <w:bookmarkStart w:id="15" w:name="Tc_GV44Ox916UCRytaBUA2VwA_3_0"/>
      <w:bookmarkStart w:id="16" w:name="Tc_cExIaSagPkmIUl9FIf37gg_2_1"/>
      <w:bookmarkStart w:id="17" w:name="Tc_rlTsiUdrQUGtFUR8WCNF9w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Rsrd8hKTv0qM4Hw_j57hAg_4_4"/>
      <w:bookmarkStart w:id="20" w:name="Tc_IXMfr4zRuEuVwhIF0vkAYw_3_4"/>
      <w:bookmarkStart w:id="21" w:name="Tc_cAQ00ZcVFk6c0NNQvNSykw_1_4"/>
      <w:bookmarkStart w:id="22" w:name="Tc_yzgA00pgFU6XPoP6DRhcwg_1_2"/>
      <w:bookmarkStart w:id="23" w:name="Tc_QBSLsZKgcECFYw4vCNHejA_1_0"/>
      <w:bookmarkStart w:id="24" w:name="_5984a18d_87b3_46a4_9531_5d4b401e2ea4"/>
      <w:bookmarkStart w:id="25" w:name="Tc_Rsrd8hKTv0qM4Hw_j57hAg_4_4"/>
      <w:bookmarkStart w:id="26" w:name="Tc_IXMfr4zRuEuVwhIF0vkAYw_3_4"/>
      <w:bookmarkStart w:id="27" w:name="Tc_cAQ00ZcVFk6c0NNQvNSykw_1_4"/>
      <w:bookmarkStart w:id="28" w:name="Tc_yzgA00pgFU6XPoP6DRhcwg_1_2"/>
      <w:bookmarkStart w:id="29" w:name="Tc_QBSLsZKgcECFYw4vCNHejA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7KBuysfxdECI2Hg1vZxqWQ_3_2"/>
      <w:bookmarkStart w:id="32" w:name="Tc_n8QFjnDbcEyA0d5BkKutEg_2_2"/>
      <w:bookmarkStart w:id="33" w:name="Tc_kxGaqFr9OkShOUNPpfjfkQ_2_1"/>
      <w:bookmarkStart w:id="34" w:name="Tc_tNg47cF3NkyVddxuHYAE3w_1_3"/>
      <w:bookmarkStart w:id="35" w:name="Tc_K5aeQKfUkESxj86srt_o4w_1_2"/>
      <w:bookmarkStart w:id="36" w:name="Tc_JeqaExjT60qWbjOVYEtZGw_1_1"/>
      <w:bookmarkStart w:id="37" w:name="Tc_UzNvzDkRE0u85AIIC-nFwA_1_0"/>
      <w:bookmarkStart w:id="38" w:name="_29c24b4a_0c86_4bba_8642_6971b7ff25cf"/>
      <w:bookmarkStart w:id="39" w:name="Tc_7KBuysfxdECI2Hg1vZxqWQ_3_2"/>
      <w:bookmarkStart w:id="40" w:name="Tc_n8QFjnDbcEyA0d5BkKutEg_2_2"/>
      <w:bookmarkStart w:id="41" w:name="Tc_kxGaqFr9OkShOUNPpfjfkQ_2_1"/>
      <w:bookmarkStart w:id="42" w:name="Tc_tNg47cF3NkyVddxuHYAE3w_1_3"/>
      <w:bookmarkStart w:id="43" w:name="Tc_K5aeQKfUkESxj86srt_o4w_1_2"/>
      <w:bookmarkStart w:id="44" w:name="Tc_JeqaExjT60qWbjOVYEtZGw_1_1"/>
      <w:bookmarkStart w:id="45" w:name="Tc_UzNvzDkRE0u85AIIC-nFwA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7, 2023, there were 132,989,744 shares of the registrant’s Common Stock, no par value,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7" w:name="_2e61677a_3baa_4120_a350_ce1922253c1a"/>
      <w:bookmarkEnd w:id="47"/>
      <w:r>
        <w:rPr>
          <w:rFonts w:ascii="Times New Roman;Times;serif" w:hAnsi="Times New Roman;Times;serif"/>
          <w:b/>
          <w:sz w:val="20"/>
        </w:rPr>
        <w:t>RIGETTI COMPUTING, INC. AND SUBSIDIARIES FORM 10-Q</w:t>
      </w:r>
    </w:p>
    <w:p>
      <w:pPr>
        <w:pStyle w:val="TextBody"/>
        <w:bidi w:val="0"/>
        <w:spacing w:before="0" w:after="0"/>
        <w:ind w:left="0" w:right="0" w:hanging="0"/>
        <w:jc w:val="left"/>
        <w:rPr>
          <w:rFonts w:ascii="Times New Roman;Times;serif" w:hAnsi="Times New Roman;Times;serif"/>
          <w:b/>
          <w:sz w:val="20"/>
        </w:rPr>
      </w:pPr>
      <w:bookmarkStart w:id="48" w:name="TOC"/>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8763" w:type="dxa"/>
        <w:jc w:val="left"/>
        <w:tblInd w:w="0" w:type="dxa"/>
        <w:tblLayout w:type="fixed"/>
        <w:tblCellMar>
          <w:top w:w="0" w:type="dxa"/>
          <w:left w:w="0" w:type="dxa"/>
          <w:bottom w:w="0" w:type="dxa"/>
          <w:right w:w="0" w:type="dxa"/>
        </w:tblCellMar>
      </w:tblPr>
      <w:tblGrid>
        <w:gridCol w:w="811"/>
        <w:gridCol w:w="7366"/>
        <w:gridCol w:w="586"/>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77410" cy="175260"/>
                      <wp:effectExtent l="0" t="0" r="0" b="0"/>
                      <wp:wrapNone/>
                      <wp:docPr id="7" name="Frame7"/>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72110" cy="175260"/>
                      <wp:effectExtent l="0" t="0" r="0" b="0"/>
                      <wp:wrapNone/>
                      <wp:docPr id="8" name="Frame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8177"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5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NTERIMCONDENSEDCONSOLIDATEDBALANCESHEET">
              <w:r>
                <w:rPr>
                  <w:rStyle w:val="InternetLink"/>
                  <w:rFonts w:ascii="Times New Roman;Times;serif" w:hAnsi="Times New Roman;Times;serif"/>
                  <w:b w:val="false"/>
                  <w:i w:val="false"/>
                  <w:caps w:val="false"/>
                  <w:smallCaps w:val="false"/>
                  <w:sz w:val="20"/>
                </w:rPr>
                <w:t>Condensed Consolidated Balance Sheets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b w:val="false"/>
                  <w:i w:val="false"/>
                  <w:caps w:val="false"/>
                  <w:smallCaps w:val="false"/>
                  <w:sz w:val="20"/>
                </w:rPr>
                <w:t>Condensed Consolidated Statements of Comprehensive Loss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77" w:type="dxa"/>
            <w:gridSpan w:val="2"/>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i w:val="false"/>
                  <w:caps w:val="false"/>
                  <w:smallCaps w:val="false"/>
                  <w:sz w:val="20"/>
                </w:rPr>
                <w:t>SIGNATURES</w:t>
              </w:r>
            </w:hyperlink>
          </w:p>
        </w:tc>
        <w:tc>
          <w:tcPr>
            <w:tcW w:w="586"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CAUTIONARYNOTEREGARDINGFORWARDLOOKINGSTA"/>
      <w:bookmarkStart w:id="50" w:name="_b917fedb_070c_4f52_a4e4_691033d3def0"/>
      <w:bookmarkEnd w:id="49"/>
      <w:bookmarkEnd w:id="50"/>
      <w:r>
        <w:rPr>
          <w:rFonts w:ascii="Times New Roman;Times;serif" w:hAnsi="Times New Roman;Times;serif"/>
          <w:b/>
          <w:sz w:val="20"/>
        </w:rPr>
        <w:t>CAUTIONARY NOTE REGARDING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 looking statements, all of which are expressly qualified by the statements in this section, to reflect events or circumstances after the date of this Quarterly Report on Form 10-Q.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our expectation that we will need to raise additional capital by late 2024 or early 2025 and our ability to raise additional capital when needed and on attractive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strategy for quantum computing as a service (“Quantum Computing as a Service,” or “QCaaS”),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may be instituted against us or others with respect to the Business Combination (as defined herein) or other matters,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remediate the material weaknesses in, and establish and maintain, effective internal controls over financial reporting;</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the ongoing military conflict involving Russia and Ukraine and sanctions related thereto), including inflation and financial and credit market fluctuations,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lingering effects of the COVID-19 pandemic and macroeconomic conditions, including worsening global economic conditions, disruptions to and volatility and uncertainty in the credit and financial markets, increases in inflation and interest rates, and recent and potential future disruptions in access to bank deposits or lending commitments due to bank failures, on the foregoing.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estimates and current business plan, we expect that we will need to raise additional capital by late 2024 or early 2025 in order to continue our research and development efforts and achieve our business objectives. We cannot be sure that additional financing will be available. If we are unable to raise additional funding when needed and on attractive terms, we may be required to delay, limit or substantially reduce our quantum computing development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expect to incur significant expenses and continuing losses for the foreseeable future.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net operating loss carryforwards and other tax attributes may be limited.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generations of hardware, including any future generations developed to demonstrate narrow quantum advantage and broad quantum advantage and the anticipated wider external release of an 84 qubit system, and anticipated release of a 336 qubit system, each of which is an important anticipated milestone for our technology roadmap and commercialization, may not occur on our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customers for a significant percentage of our revenue and the loss or temporary loss of a major customer for any reason could harm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currently dependent upon our relationship with our cloud providers. There are no assurances that we will be able to commercialize quantum computers from our relationships with cloud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reduce the cost of developing our quantum computers, which may prevent us from pricing our quantum systems competitively.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internal control over financial reporting related to the lack of effective review controls over the accounting for complex financial instruments and to the design and operation of our overall closing and financial reporting processes, and we may identify additional material weaknesses in the future. The material weakness over accounting for complex financial instruments has resulted in errors in financial statements for prior periods. If we fail to remediate such material weaknesses,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 and cause us to lose our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market and economic conditions, including recent bank failures, have had and may continue to have serious adverse consequences on our business, financial condition and share price.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Private warrants and other warrants we have issued, are accounted for as liabilities and the changes in value of our Warrants could have a material effect on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exercisable for Common Stock, the exercise of which would increase the number of shares eligible for future resale in the public market and result in dilution to our stockholders.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never be in the money, and they may expire worthless.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discussion of the risks, uncertainties and other factors described above, as well as other risks material to our business, can be found under “Risk Factors” in Part I, Item 1A of our Annual Report on Form 10-K for the year ended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2022 materialize,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1" w:name="PARTIFINANCIALINFORMATION_901969"/>
      <w:bookmarkStart w:id="52" w:name="_3fbaba86_ded5_4648_8cbf_2cd4d92a8dee"/>
      <w:bookmarkEnd w:id="51"/>
      <w:bookmarkEnd w:id="52"/>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53" w:name="ITEM1INTERIMCONDENSEDCONSOLIDATEDFINANCI"/>
      <w:bookmarkEnd w:id="53"/>
      <w:r>
        <w:rPr>
          <w:rFonts w:ascii="Times New Roman;Times;serif" w:hAnsi="Times New Roman;Times;serif"/>
          <w:b/>
          <w:sz w:val="20"/>
        </w:rPr>
        <w:t>ITEM 1. INTERIM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54" w:name="INTERIMCONDENSEDCONSOLIDATEDBALANCESHEET"/>
      <w:bookmarkEnd w:id="54"/>
      <w:r>
        <w:rPr>
          <w:rFonts w:ascii="Times New Roman;Times;serif" w:hAnsi="Times New Roman;Times;serif"/>
          <w:b/>
          <w:sz w:val="20"/>
        </w:rPr>
        <w:t>INTERIM CONDENSED CONSOLIDATED BALANCE SHEETS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5" w:name="Tc_Wwy8pPzBokKdquR9jGLuoA_35_5"/>
      <w:bookmarkStart w:id="56" w:name="Tc_MIbSKq8yOkKZicUfsUI5xg_35_2"/>
      <w:bookmarkStart w:id="57" w:name="Tc_N2EviSsvtEuTWyAhJxP_vQ_35_0"/>
      <w:bookmarkStart w:id="58" w:name="Tc_ESni4xP6Jk-wCGvcnBq-hQ_34_0"/>
      <w:bookmarkStart w:id="59" w:name="Tc_TX2MplIpCkWbXbHOdKOZEg_33_0"/>
      <w:bookmarkStart w:id="60" w:name="Tc_pL7XN4LxRkuBwbzs6WLfcQ_32_0"/>
      <w:bookmarkStart w:id="61" w:name="Tc_iuM4RiOYN06ezgq_SSIBYw_31_0"/>
      <w:bookmarkStart w:id="62" w:name="Tc_U8cD8OdPlk2nLJkf9Iuj-A_30_0"/>
      <w:bookmarkStart w:id="63" w:name="Tc_2vwsD44Fqk-ZaNqOW7u8Hg_29_0"/>
      <w:bookmarkStart w:id="64" w:name="Tc_6-bkeuF0tkWpZXxBFIzjkg_28_0"/>
      <w:bookmarkStart w:id="65" w:name="Tc_a9Krl1x5Q0KKonLBJosX7g_27_0"/>
      <w:bookmarkStart w:id="66" w:name="Tc_6wKlbTGRck62M3tQ6NFpBA_26_0"/>
      <w:bookmarkStart w:id="67" w:name="Tc_45UINs1RAUa5ObLEG977yQ_25_0"/>
      <w:bookmarkStart w:id="68" w:name="Tc__bOr1TwrWUeDKDeUTu969g_24_0"/>
      <w:bookmarkStart w:id="69" w:name="Tc_2qU1DXoT80GOnFUd4KsPZw_23_0"/>
      <w:bookmarkStart w:id="70" w:name="Tc_GcpKXyZWIUuDHsKWPwvcFg_22_0"/>
      <w:bookmarkStart w:id="71" w:name="Tc_PFStxEDJc0eAWbP7BJ3vDg_21_0"/>
      <w:bookmarkStart w:id="72" w:name="Tc_Ceb-8BKHC0K1vbkqxRtDuw_20_0"/>
      <w:bookmarkStart w:id="73" w:name="Tc_Zmm8-omGG0-s64UkRiq6XQ_19_0"/>
      <w:bookmarkStart w:id="74" w:name="Tc_fYTDgNYYQEOMuU8QPWXytw_18_0"/>
      <w:bookmarkStart w:id="75" w:name="Tc_v8DYtyliKkWYP_6x2LwX0A_17_0"/>
      <w:bookmarkStart w:id="76" w:name="Tc_D7yKYOX70UK5qmkKijteGg_16_5"/>
      <w:bookmarkStart w:id="77" w:name="Tc_jboJYDQs_UyCTS5RpG6t_A_16_2"/>
      <w:bookmarkStart w:id="78" w:name="Tc_wNCCcLLCPka7sZdEEotDNQ_16_0"/>
      <w:bookmarkStart w:id="79" w:name="Tc_IWcjSkFZ4EWAqM50F18adQ_15_0"/>
      <w:bookmarkStart w:id="80" w:name="Tc_PYpLDn_ouUWoRdNDJxP2dg_14_5"/>
      <w:bookmarkStart w:id="81" w:name="Tc_5ec_hnzsqkmCevIyEPQDeA_14_2"/>
      <w:bookmarkStart w:id="82" w:name="Tc_2mY5bcOwH02Mob3w8BM9ow_14_0"/>
      <w:bookmarkStart w:id="83" w:name="Tc_-GoHA8cE3USH7znKJmsp3Q_13_0"/>
      <w:bookmarkStart w:id="84" w:name="Tc_a8RP2woSaUWe1bvtCTvH4w_12_0"/>
      <w:bookmarkStart w:id="85" w:name="Tc_ul7iRkV0J0WZkqanmMwMCw_11_0"/>
      <w:bookmarkStart w:id="86" w:name="Tc_rqft6d5ICUG-YUohxltEcg_10_0"/>
      <w:bookmarkStart w:id="87" w:name="Tc__PLiaBKp20eIGQgZD8UP2Q_9_3"/>
      <w:bookmarkStart w:id="88" w:name="Tc_RNWbM7_llE6xUMqT0VOE2w_9_0"/>
      <w:bookmarkStart w:id="89" w:name="Tc_DG6RjF2OpEWvnMXCKx719g_8_0"/>
      <w:bookmarkStart w:id="90" w:name="Tc_V0-YFcUs602FM1wnp0CzFQ_7_0"/>
      <w:bookmarkStart w:id="91" w:name="Tc_NCLG0BDGH0ymrUXKkEbd7g_6_0"/>
      <w:bookmarkStart w:id="92" w:name="Tc_NhdczlHxsU21ivKoXHMrRg_5_0"/>
      <w:bookmarkStart w:id="93" w:name="Tc_iNK5JiTjn0OvMhdSTTlkbA_4_5"/>
      <w:bookmarkStart w:id="94" w:name="Tc_C465uf1LLk-jJ5p7Xb2ZcQ_4_2"/>
      <w:bookmarkStart w:id="95" w:name="Tc_iZ_DZYC5ok2wy2AkSLGHag_4_0"/>
      <w:bookmarkStart w:id="96" w:name="Tc_KaylBTw2BUOvElXO7eic4Q_3_0"/>
      <w:bookmarkStart w:id="97" w:name="Tc_re79-4d5akWkJaJC_3s8vg_2_5"/>
      <w:bookmarkStart w:id="98" w:name="Tc_mtQsyXPHakaBL2_AYuz0Ng_2_2"/>
      <w:bookmarkStart w:id="99" w:name="Tc_y-keg4smnkaz6_FJZzhATQ_2_0"/>
      <w:bookmarkStart w:id="100" w:name="Tc_d_QrDqT0G06n1NSUz5MYow_1_5"/>
      <w:bookmarkStart w:id="101" w:name="Tc_nbZpG-n6xUmKhdRAXdga1Q_1_2"/>
      <w:bookmarkStart w:id="102" w:name="_95bee19d_95c9_4e6b_b568_6985b0035237"/>
      <w:bookmarkStart w:id="103" w:name="Tc_Wwy8pPzBokKdquR9jGLuoA_35_5"/>
      <w:bookmarkStart w:id="104" w:name="Tc_MIbSKq8yOkKZicUfsUI5xg_35_2"/>
      <w:bookmarkStart w:id="105" w:name="Tc_N2EviSsvtEuTWyAhJxP_vQ_35_0"/>
      <w:bookmarkStart w:id="106" w:name="Tc_ESni4xP6Jk-wCGvcnBq-hQ_34_0"/>
      <w:bookmarkStart w:id="107" w:name="Tc_TX2MplIpCkWbXbHOdKOZEg_33_0"/>
      <w:bookmarkStart w:id="108" w:name="Tc_pL7XN4LxRkuBwbzs6WLfcQ_32_0"/>
      <w:bookmarkStart w:id="109" w:name="Tc_iuM4RiOYN06ezgq_SSIBYw_31_0"/>
      <w:bookmarkStart w:id="110" w:name="Tc_U8cD8OdPlk2nLJkf9Iuj-A_30_0"/>
      <w:bookmarkStart w:id="111" w:name="Tc_2vwsD44Fqk-ZaNqOW7u8Hg_29_0"/>
      <w:bookmarkStart w:id="112" w:name="Tc_6-bkeuF0tkWpZXxBFIzjkg_28_0"/>
      <w:bookmarkStart w:id="113" w:name="Tc_a9Krl1x5Q0KKonLBJosX7g_27_0"/>
      <w:bookmarkStart w:id="114" w:name="Tc_6wKlbTGRck62M3tQ6NFpBA_26_0"/>
      <w:bookmarkStart w:id="115" w:name="Tc_45UINs1RAUa5ObLEG977yQ_25_0"/>
      <w:bookmarkStart w:id="116" w:name="Tc__bOr1TwrWUeDKDeUTu969g_24_0"/>
      <w:bookmarkStart w:id="117" w:name="Tc_2qU1DXoT80GOnFUd4KsPZw_23_0"/>
      <w:bookmarkStart w:id="118" w:name="Tc_GcpKXyZWIUuDHsKWPwvcFg_22_0"/>
      <w:bookmarkStart w:id="119" w:name="Tc_PFStxEDJc0eAWbP7BJ3vDg_21_0"/>
      <w:bookmarkStart w:id="120" w:name="Tc_Ceb-8BKHC0K1vbkqxRtDuw_20_0"/>
      <w:bookmarkStart w:id="121" w:name="Tc_Zmm8-omGG0-s64UkRiq6XQ_19_0"/>
      <w:bookmarkStart w:id="122" w:name="Tc_fYTDgNYYQEOMuU8QPWXytw_18_0"/>
      <w:bookmarkStart w:id="123" w:name="Tc_v8DYtyliKkWYP_6x2LwX0A_17_0"/>
      <w:bookmarkStart w:id="124" w:name="Tc_D7yKYOX70UK5qmkKijteGg_16_5"/>
      <w:bookmarkStart w:id="125" w:name="Tc_jboJYDQs_UyCTS5RpG6t_A_16_2"/>
      <w:bookmarkStart w:id="126" w:name="Tc_wNCCcLLCPka7sZdEEotDNQ_16_0"/>
      <w:bookmarkStart w:id="127" w:name="Tc_IWcjSkFZ4EWAqM50F18adQ_15_0"/>
      <w:bookmarkStart w:id="128" w:name="Tc_PYpLDn_ouUWoRdNDJxP2dg_14_5"/>
      <w:bookmarkStart w:id="129" w:name="Tc_5ec_hnzsqkmCevIyEPQDeA_14_2"/>
      <w:bookmarkStart w:id="130" w:name="Tc_2mY5bcOwH02Mob3w8BM9ow_14_0"/>
      <w:bookmarkStart w:id="131" w:name="Tc_-GoHA8cE3USH7znKJmsp3Q_13_0"/>
      <w:bookmarkStart w:id="132" w:name="Tc_a8RP2woSaUWe1bvtCTvH4w_12_0"/>
      <w:bookmarkStart w:id="133" w:name="Tc_ul7iRkV0J0WZkqanmMwMCw_11_0"/>
      <w:bookmarkStart w:id="134" w:name="Tc_rqft6d5ICUG-YUohxltEcg_10_0"/>
      <w:bookmarkStart w:id="135" w:name="Tc__PLiaBKp20eIGQgZD8UP2Q_9_3"/>
      <w:bookmarkStart w:id="136" w:name="Tc_RNWbM7_llE6xUMqT0VOE2w_9_0"/>
      <w:bookmarkStart w:id="137" w:name="Tc_DG6RjF2OpEWvnMXCKx719g_8_0"/>
      <w:bookmarkStart w:id="138" w:name="Tc_V0-YFcUs602FM1wnp0CzFQ_7_0"/>
      <w:bookmarkStart w:id="139" w:name="Tc_NCLG0BDGH0ymrUXKkEbd7g_6_0"/>
      <w:bookmarkStart w:id="140" w:name="Tc_NhdczlHxsU21ivKoXHMrRg_5_0"/>
      <w:bookmarkStart w:id="141" w:name="Tc_iNK5JiTjn0OvMhdSTTlkbA_4_5"/>
      <w:bookmarkStart w:id="142" w:name="Tc_C465uf1LLk-jJ5p7Xb2ZcQ_4_2"/>
      <w:bookmarkStart w:id="143" w:name="Tc_iZ_DZYC5ok2wy2AkSLGHag_4_0"/>
      <w:bookmarkStart w:id="144" w:name="Tc_KaylBTw2BUOvElXO7eic4Q_3_0"/>
      <w:bookmarkStart w:id="145" w:name="Tc_re79-4d5akWkJaJC_3s8vg_2_5"/>
      <w:bookmarkStart w:id="146" w:name="Tc_mtQsyXPHakaBL2_AYuz0Ng_2_2"/>
      <w:bookmarkStart w:id="147" w:name="Tc_y-keg4smnkaz6_FJZzhATQ_2_0"/>
      <w:bookmarkStart w:id="148" w:name="Tc_d_QrDqT0G06n1NSUz5MYow_1_5"/>
      <w:bookmarkStart w:id="149" w:name="Tc_nbZpG-n6xUmKhdRAXdga1Q_1_2"/>
      <w:bookmarkStart w:id="150" w:name="_95bee19d_95c9_4e6b_b568_6985b0035237"/>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7351"/>
        <w:gridCol w:w="326"/>
        <w:gridCol w:w="211"/>
        <w:gridCol w:w="862"/>
        <w:gridCol w:w="326"/>
        <w:gridCol w:w="212"/>
        <w:gridCol w:w="917"/>
      </w:tblGrid>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47370" cy="175260"/>
                      <wp:effectExtent l="0" t="0" r="0" b="0"/>
                      <wp:wrapNone/>
                      <wp:docPr id="11" name="Frame11"/>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82295" cy="175260"/>
                      <wp:effectExtent l="0" t="0" r="0" b="0"/>
                      <wp:wrapNone/>
                      <wp:docPr id="14" name="Frame14"/>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information)</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21,712</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57,888</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83,765</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84,923</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contract—assets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117,529</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154,467</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41,356</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39,530</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 right-of-use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8,552</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167,567</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203,442</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8,205</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10,666</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8,303</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21,352</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21,752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7,275</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49,205</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53,218</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 note 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pPr>
            <w:r>
              <w:rPr/>
              <w:t>  </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132,401,062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2023 and 125,257,233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429,025</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118,362</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167,567</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203,442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SEE THE ACCOMPANYING NOTES TO UNAUDITED INTERIM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51" w:name="STATEMENTS_OF_OPERATIONS"/>
      <w:bookmarkStart w:id="152" w:name="_84e906de_3b9b_46c4_998e_a328323c7fed"/>
      <w:bookmarkEnd w:id="151"/>
      <w:bookmarkEnd w:id="152"/>
      <w:r>
        <w:rPr>
          <w:rFonts w:ascii="Times New Roman;Times;serif" w:hAnsi="Times New Roman;Times;serif"/>
          <w:b/>
          <w:sz w:val="20"/>
        </w:rPr>
        <w:t>INTERIM CONDENSED CONSOLIDATED STATEMENTS OF OPERATIONS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3" w:name="Tc_K2qX1-pTskSyd2UyE2qsyw_22_0"/>
      <w:bookmarkStart w:id="154" w:name="Tc_gxCGyUDp5UKEIkszjRHaxw_21_11"/>
      <w:bookmarkStart w:id="155" w:name="Tc_FYhx3624rkO1jvXKsM_6_A_21_8"/>
      <w:bookmarkStart w:id="156" w:name="Tc_BT0rzWucek62Y5PY3j7HFg_21_5"/>
      <w:bookmarkStart w:id="157" w:name="Tc_4amgIAiLG0C8iAZ-iZFghA_21_2"/>
      <w:bookmarkStart w:id="158" w:name="Tc_pYBZlshrY02LpJ0cdYBVDQ_21_0"/>
      <w:bookmarkStart w:id="159" w:name="Tc_MFjfksWatEuLtg3GWwdzkA_20_11"/>
      <w:bookmarkStart w:id="160" w:name="Tc_GGS-2fjuikSXHdqq_VoFGA_20_8"/>
      <w:bookmarkStart w:id="161" w:name="Tc_jvY0m_8T4UixDE9utIkAVw_20_5"/>
      <w:bookmarkStart w:id="162" w:name="Tc_dgGuvrLhoUaum9m0xofb3w_20_2"/>
      <w:bookmarkStart w:id="163" w:name="Tc_cfsD-ppp6EOd_4caQ5AgqQ_20_0"/>
      <w:bookmarkStart w:id="164" w:name="Tc_X120zZ0M1Eq7pHbEPwCbQA_19_0"/>
      <w:bookmarkStart w:id="165" w:name="Tc_xQmXPHsAYkCmqOA8HzcYJQ_18_0"/>
      <w:bookmarkStart w:id="166" w:name="Tc_LEkZS3ILg06nxM-er2ZrYQ_17_0"/>
      <w:bookmarkStart w:id="167" w:name="Tc_db6a3fbNnEO_1lneLZMsiw_16_0"/>
      <w:bookmarkStart w:id="168" w:name="Tc_AtYCDbP6GEaaCz5mPTzKuA_15_0"/>
      <w:bookmarkStart w:id="169" w:name="Tc_C0Ao1pWNPUKrc16ws8KxlA_14_0"/>
      <w:bookmarkStart w:id="170" w:name="Tc_sFi_Wp52_Em2S970Ksl4vg_13_0"/>
      <w:bookmarkStart w:id="171" w:name="Tc_i-aYszmT-0GUfIcUkUn70g_12_0"/>
      <w:bookmarkStart w:id="172" w:name="Tc_Nz361Mv70UK1hUc5shERYQ_11_0"/>
      <w:bookmarkStart w:id="173" w:name="Tc_XZqo9iDPRUGkVA0LxcxdrA_10_0"/>
      <w:bookmarkStart w:id="174" w:name="Tc_I7BdbrrTaUyOzMSH2MaxWg_9_0"/>
      <w:bookmarkStart w:id="175" w:name="Tc_niEV6mjhOE6_13-b6DRg0g_8_0"/>
      <w:bookmarkStart w:id="176" w:name="Tc_mlTyu1Sfb0Cuxy-U0giY5g_7_0"/>
      <w:bookmarkStart w:id="177" w:name="Tc_kG68I9HQHUqp_MGSSgzh3A_6_0"/>
      <w:bookmarkStart w:id="178" w:name="Tc_TlgfzZFEtkqmO-Lg8ZHT1g_5_0"/>
      <w:bookmarkStart w:id="179" w:name="Tc_ZElNzVz3SkaorM5kirVzXg_4_0"/>
      <w:bookmarkStart w:id="180" w:name="Tc_Ddaxt_O8AEW5p_--xqbA8A_3_11"/>
      <w:bookmarkStart w:id="181" w:name="Tc_oOt3x2NLqUq0o3mPaEcNEQ_3_8"/>
      <w:bookmarkStart w:id="182" w:name="Tc_z0VckMTIrEqf9JeEpLnb8A_3_5"/>
      <w:bookmarkStart w:id="183" w:name="Tc_XZO-p3iffUSw3xeDpe0yIg_3_2"/>
      <w:bookmarkStart w:id="184" w:name="Tc_Lcrh2vCyZ0uYxdS-PyHxgg_3_0"/>
      <w:bookmarkStart w:id="185" w:name="Tc_S3BIihZfXUy82mqD6qPSnA_2_11"/>
      <w:bookmarkStart w:id="186" w:name="Tc_bQ4SHkMQvkWZ0uY9M7gxqw_2_8"/>
      <w:bookmarkStart w:id="187" w:name="Tc_Y9tObAQ690ejAfXLWm_gzQ_2_5"/>
      <w:bookmarkStart w:id="188" w:name="Tc_bFT5W8YvVE60zxWMiUOspQ_2_2"/>
      <w:bookmarkStart w:id="189" w:name="Tc_x9sOTuzZtUqpGSaJphCq3w_2_0"/>
      <w:bookmarkStart w:id="190" w:name="Tc_oUR1hyuPfkeJ70hERaPs5w_1_8"/>
      <w:bookmarkStart w:id="191" w:name="Tc_TBoLxl1nE0ymeRPKrQKlXw_1_2"/>
      <w:bookmarkStart w:id="192" w:name="_94655d95_3a9a_492f_9919_27e66ae8726e"/>
      <w:bookmarkStart w:id="193" w:name="_fdc0b01b_c892_47a2_ad8b_e4fbdeef6d86"/>
      <w:bookmarkStart w:id="194" w:name="Tc_K2qX1-pTskSyd2UyE2qsyw_22_0"/>
      <w:bookmarkStart w:id="195" w:name="Tc_gxCGyUDp5UKEIkszjRHaxw_21_11"/>
      <w:bookmarkStart w:id="196" w:name="Tc_FYhx3624rkO1jvXKsM_6_A_21_8"/>
      <w:bookmarkStart w:id="197" w:name="Tc_BT0rzWucek62Y5PY3j7HFg_21_5"/>
      <w:bookmarkStart w:id="198" w:name="Tc_4amgIAiLG0C8iAZ-iZFghA_21_2"/>
      <w:bookmarkStart w:id="199" w:name="Tc_pYBZlshrY02LpJ0cdYBVDQ_21_0"/>
      <w:bookmarkStart w:id="200" w:name="Tc_MFjfksWatEuLtg3GWwdzkA_20_11"/>
      <w:bookmarkStart w:id="201" w:name="Tc_GGS-2fjuikSXHdqq_VoFGA_20_8"/>
      <w:bookmarkStart w:id="202" w:name="Tc_jvY0m_8T4UixDE9utIkAVw_20_5"/>
      <w:bookmarkStart w:id="203" w:name="Tc_dgGuvrLhoUaum9m0xofb3w_20_2"/>
      <w:bookmarkStart w:id="204" w:name="Tc_cfsD-ppp6EOd_4caQ5AgqQ_20_0"/>
      <w:bookmarkStart w:id="205" w:name="Tc_X120zZ0M1Eq7pHbEPwCbQA_19_0"/>
      <w:bookmarkStart w:id="206" w:name="Tc_xQmXPHsAYkCmqOA8HzcYJQ_18_0"/>
      <w:bookmarkStart w:id="207" w:name="Tc_LEkZS3ILg06nxM-er2ZrYQ_17_0"/>
      <w:bookmarkStart w:id="208" w:name="Tc_db6a3fbNnEO_1lneLZMsiw_16_0"/>
      <w:bookmarkStart w:id="209" w:name="Tc_AtYCDbP6GEaaCz5mPTzKuA_15_0"/>
      <w:bookmarkStart w:id="210" w:name="Tc_C0Ao1pWNPUKrc16ws8KxlA_14_0"/>
      <w:bookmarkStart w:id="211" w:name="Tc_sFi_Wp52_Em2S970Ksl4vg_13_0"/>
      <w:bookmarkStart w:id="212" w:name="Tc_i-aYszmT-0GUfIcUkUn70g_12_0"/>
      <w:bookmarkStart w:id="213" w:name="Tc_Nz361Mv70UK1hUc5shERYQ_11_0"/>
      <w:bookmarkStart w:id="214" w:name="Tc_XZqo9iDPRUGkVA0LxcxdrA_10_0"/>
      <w:bookmarkStart w:id="215" w:name="Tc_I7BdbrrTaUyOzMSH2MaxWg_9_0"/>
      <w:bookmarkStart w:id="216" w:name="Tc_niEV6mjhOE6_13-b6DRg0g_8_0"/>
      <w:bookmarkStart w:id="217" w:name="Tc_mlTyu1Sfb0Cuxy-U0giY5g_7_0"/>
      <w:bookmarkStart w:id="218" w:name="Tc_kG68I9HQHUqp_MGSSgzh3A_6_0"/>
      <w:bookmarkStart w:id="219" w:name="Tc_TlgfzZFEtkqmO-Lg8ZHT1g_5_0"/>
      <w:bookmarkStart w:id="220" w:name="Tc_ZElNzVz3SkaorM5kirVzXg_4_0"/>
      <w:bookmarkStart w:id="221" w:name="Tc_Ddaxt_O8AEW5p_--xqbA8A_3_11"/>
      <w:bookmarkStart w:id="222" w:name="Tc_oOt3x2NLqUq0o3mPaEcNEQ_3_8"/>
      <w:bookmarkStart w:id="223" w:name="Tc_z0VckMTIrEqf9JeEpLnb8A_3_5"/>
      <w:bookmarkStart w:id="224" w:name="Tc_XZO-p3iffUSw3xeDpe0yIg_3_2"/>
      <w:bookmarkStart w:id="225" w:name="Tc_Lcrh2vCyZ0uYxdS-PyHxgg_3_0"/>
      <w:bookmarkStart w:id="226" w:name="Tc_S3BIihZfXUy82mqD6qPSnA_2_11"/>
      <w:bookmarkStart w:id="227" w:name="Tc_bQ4SHkMQvkWZ0uY9M7gxqw_2_8"/>
      <w:bookmarkStart w:id="228" w:name="Tc_Y9tObAQ690ejAfXLWm_gzQ_2_5"/>
      <w:bookmarkStart w:id="229" w:name="Tc_bFT5W8YvVE60zxWMiUOspQ_2_2"/>
      <w:bookmarkStart w:id="230" w:name="Tc_x9sOTuzZtUqpGSaJphCq3w_2_0"/>
      <w:bookmarkStart w:id="231" w:name="Tc_oUR1hyuPfkeJ70hERaPs5w_1_8"/>
      <w:bookmarkStart w:id="232" w:name="Tc_TBoLxl1nE0ymeRPKrQKlXw_1_2"/>
      <w:bookmarkStart w:id="233" w:name="_94655d95_3a9a_492f_9919_27e66ae8726e"/>
      <w:bookmarkStart w:id="234" w:name="_fdc0b01b_c892_47a2_ad8b_e4fbdeef6d86"/>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W w:w="10205" w:type="dxa"/>
        <w:jc w:val="left"/>
        <w:tblInd w:w="0" w:type="dxa"/>
        <w:tblLayout w:type="fixed"/>
        <w:tblCellMar>
          <w:top w:w="0" w:type="dxa"/>
          <w:left w:w="0" w:type="dxa"/>
          <w:bottom w:w="0" w:type="dxa"/>
          <w:right w:w="0" w:type="dxa"/>
        </w:tblCellMar>
      </w:tblPr>
      <w:tblGrid>
        <w:gridCol w:w="4747"/>
        <w:gridCol w:w="146"/>
        <w:gridCol w:w="211"/>
        <w:gridCol w:w="786"/>
        <w:gridCol w:w="326"/>
        <w:gridCol w:w="211"/>
        <w:gridCol w:w="786"/>
        <w:gridCol w:w="326"/>
        <w:gridCol w:w="211"/>
        <w:gridCol w:w="786"/>
        <w:gridCol w:w="326"/>
        <w:gridCol w:w="211"/>
        <w:gridCol w:w="758"/>
        <w:gridCol w:w="374"/>
      </w:tblGrid>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9110" cy="175260"/>
                      <wp:effectExtent l="0" t="0" r="0" b="0"/>
                      <wp:wrapNone/>
                      <wp:docPr id="17" name="Frame17"/>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99110" cy="175260"/>
                      <wp:effectExtent l="0" t="0" r="0" b="0"/>
                      <wp:wrapNone/>
                      <wp:docPr id="20" name="Frame20"/>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99110" cy="175260"/>
                      <wp:effectExtent l="0" t="0" r="0" b="0"/>
                      <wp:wrapNone/>
                      <wp:docPr id="23" name="Frame2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81330" cy="175260"/>
                      <wp:effectExtent l="0" t="0" r="0" b="0"/>
                      <wp:wrapNone/>
                      <wp:docPr id="26" name="Frame26"/>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7490" cy="175260"/>
                      <wp:effectExtent l="0" t="0" r="0" b="0"/>
                      <wp:wrapNone/>
                      <wp:docPr id="27" name="Frame2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29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4" w:type="dxa"/>
            <w:tcBorders/>
            <w:vAlign w:val="center"/>
          </w:tcPr>
          <w:p>
            <w:pPr>
              <w:pStyle w:val="TableContents"/>
              <w:bidi w:val="0"/>
              <w:spacing w:before="0" w:after="0"/>
              <w:ind w:left="0" w:right="0" w:hanging="0"/>
              <w:jc w:val="left"/>
              <w:rPr/>
            </w:pPr>
            <w:r>
              <w:rPr/>
              <w:t> </w:t>
            </w:r>
          </w:p>
        </w:tc>
      </w:tr>
      <w:tr>
        <w:trPr/>
        <w:tc>
          <w:tcPr>
            <w:tcW w:w="47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w:t>
            </w:r>
          </w:p>
        </w:tc>
        <w:tc>
          <w:tcPr>
            <w:tcW w:w="146" w:type="dxa"/>
            <w:tcBorders/>
            <w:vAlign w:val="center"/>
          </w:tcPr>
          <w:p>
            <w:pPr>
              <w:pStyle w:val="TableContents"/>
              <w:bidi w:val="0"/>
              <w:spacing w:before="0" w:after="0"/>
              <w:ind w:left="0" w:right="0" w:hanging="0"/>
              <w:jc w:val="left"/>
              <w:rPr/>
            </w:pPr>
            <w:r>
              <w:rPr/>
              <w:t>​</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0"/>
              <w:ind w:left="0" w:right="0" w:hanging="0"/>
              <w:jc w:val="left"/>
              <w:rPr/>
            </w:pPr>
            <w:r>
              <w:rPr/>
              <w:t>    </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26,673</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27,308</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53,981</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(51,030)</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11,750</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21,136</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(29,894)</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(29,894)</w:t>
            </w:r>
          </w:p>
        </w:tc>
        <w:tc>
          <w:tcPr>
            <w:tcW w:w="374" w:type="dxa"/>
            <w:tcBorders/>
            <w:vAlign w:val="center"/>
          </w:tcPr>
          <w:p>
            <w:pPr>
              <w:pStyle w:val="TableContents"/>
              <w:bidi w:val="0"/>
              <w:spacing w:before="0" w:after="0"/>
              <w:ind w:left="0" w:right="0" w:hanging="0"/>
              <w:jc w:val="left"/>
              <w:rPr/>
            </w:pPr>
            <w:r>
              <w:rPr/>
              <w:t>​</w:t>
            </w:r>
          </w:p>
        </w:tc>
      </w:tr>
      <w:tr>
        <w:trPr/>
        <w:tc>
          <w:tcPr>
            <w:tcW w:w="47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in computing net loss per share attributable to common stockholders – basic and diluted</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84,061</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SEE THE ACCOMPANYING NOTES TO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5" w:name="STATEMENTS_OF_COMPREHENSIVE_LOSS"/>
      <w:bookmarkStart w:id="236" w:name="_ee8f6785_ccdd_49d1_a82d_2bb630a81c51"/>
      <w:bookmarkEnd w:id="235"/>
      <w:bookmarkEnd w:id="236"/>
      <w:r>
        <w:rPr>
          <w:rFonts w:ascii="Times New Roman;Times;serif" w:hAnsi="Times New Roman;Times;serif"/>
          <w:b/>
          <w:sz w:val="20"/>
        </w:rPr>
        <w:t>INTERIM CONDENSED CONSOLIDATED STATEMENTS OF COMPREHENSIVE LOSS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7" w:name="Tc_Uak__UGTUE-rfZZBX_yqUg_10_11"/>
      <w:bookmarkStart w:id="238" w:name="Tc_fyenmQ9JDk6WR_4nfecxLA_10_8"/>
      <w:bookmarkStart w:id="239" w:name="Tc_RVBJLFawS02Ol9mwwoQU5w_10_5"/>
      <w:bookmarkStart w:id="240" w:name="Tc_Fbfm3uNF4EGgTCbcBFhjOg_10_2"/>
      <w:bookmarkStart w:id="241" w:name="Tc_5KKsZaLMykmYbGqiPxsvwg_10_0"/>
      <w:bookmarkStart w:id="242" w:name="Tc_mIGz78n000eLOq7gN11xRQ_9_0"/>
      <w:bookmarkStart w:id="243" w:name="Tc_rSzRwPzmrEmgvwJwOIDYfQ_8_0"/>
      <w:bookmarkStart w:id="244" w:name="Tc_48WAzKBUoUqFZHmv-AxXrA_7_0"/>
      <w:bookmarkStart w:id="245" w:name="Tc_eIMq2pvwyUWrGuEx384xUA_6_12"/>
      <w:bookmarkStart w:id="246" w:name="Tc_ADeQ4iCDZEuOWGwoggcs-g_6_6"/>
      <w:bookmarkStart w:id="247" w:name="Tc_u0gDoNN8ZkuBL1r-vc5GCA_6_0"/>
      <w:bookmarkStart w:id="248" w:name="Tc_9Oq1zNwbLEqqS-mRPNzVrw_5_0"/>
      <w:bookmarkStart w:id="249" w:name="Tc_jbe2ymb2dEi7EuyVC40kQQ_4_0"/>
      <w:bookmarkStart w:id="250" w:name="Tc_QOaF9PpOKEuFuC2NgbAdfg_3_11"/>
      <w:bookmarkStart w:id="251" w:name="Tc_XgzboLLdBU6utCSMxAQ7kA_3_8"/>
      <w:bookmarkStart w:id="252" w:name="Tc_SWbBAajR0kKajMznGTmGMA_3_5"/>
      <w:bookmarkStart w:id="253" w:name="Tc_neNQX1llpUqdBwAjPSh2rg_3_2"/>
      <w:bookmarkStart w:id="254" w:name="Tc_SvuooejZIU2aEpCpFHUOWA_3_0"/>
      <w:bookmarkStart w:id="255" w:name="Tc_-qctgL2xQkeaq5dj0EN9aA_2_11"/>
      <w:bookmarkStart w:id="256" w:name="Tc_D7HBdRudFUSkoPoWjL__ow_2_8"/>
      <w:bookmarkStart w:id="257" w:name="Tc_Cc4691linUK2_x4m2kPkvg_2_5"/>
      <w:bookmarkStart w:id="258" w:name="Tc_-7IpJfQynUOOl-QlsqMblg_2_2"/>
      <w:bookmarkStart w:id="259" w:name="Tc_j_0Zd8gk1kKnbblRjshEdw_2_0"/>
      <w:bookmarkStart w:id="260" w:name="Tc_Bg_duchk30qQQukbxAeteg_1_8"/>
      <w:bookmarkStart w:id="261" w:name="Tc_9pFJGoTL-kuylkh-NI14Rw_1_2"/>
      <w:bookmarkStart w:id="262" w:name="_99dc7a5b_c2f8_4f00_98a6_3090063f1ae3"/>
      <w:bookmarkStart w:id="263" w:name="Tc_Uak__UGTUE-rfZZBX_yqUg_10_11"/>
      <w:bookmarkStart w:id="264" w:name="Tc_fyenmQ9JDk6WR_4nfecxLA_10_8"/>
      <w:bookmarkStart w:id="265" w:name="Tc_RVBJLFawS02Ol9mwwoQU5w_10_5"/>
      <w:bookmarkStart w:id="266" w:name="Tc_Fbfm3uNF4EGgTCbcBFhjOg_10_2"/>
      <w:bookmarkStart w:id="267" w:name="Tc_5KKsZaLMykmYbGqiPxsvwg_10_0"/>
      <w:bookmarkStart w:id="268" w:name="Tc_mIGz78n000eLOq7gN11xRQ_9_0"/>
      <w:bookmarkStart w:id="269" w:name="Tc_rSzRwPzmrEmgvwJwOIDYfQ_8_0"/>
      <w:bookmarkStart w:id="270" w:name="Tc_48WAzKBUoUqFZHmv-AxXrA_7_0"/>
      <w:bookmarkStart w:id="271" w:name="Tc_eIMq2pvwyUWrGuEx384xUA_6_12"/>
      <w:bookmarkStart w:id="272" w:name="Tc_ADeQ4iCDZEuOWGwoggcs-g_6_6"/>
      <w:bookmarkStart w:id="273" w:name="Tc_u0gDoNN8ZkuBL1r-vc5GCA_6_0"/>
      <w:bookmarkStart w:id="274" w:name="Tc_9Oq1zNwbLEqqS-mRPNzVrw_5_0"/>
      <w:bookmarkStart w:id="275" w:name="Tc_jbe2ymb2dEi7EuyVC40kQQ_4_0"/>
      <w:bookmarkStart w:id="276" w:name="Tc_QOaF9PpOKEuFuC2NgbAdfg_3_11"/>
      <w:bookmarkStart w:id="277" w:name="Tc_XgzboLLdBU6utCSMxAQ7kA_3_8"/>
      <w:bookmarkStart w:id="278" w:name="Tc_SWbBAajR0kKajMznGTmGMA_3_5"/>
      <w:bookmarkStart w:id="279" w:name="Tc_neNQX1llpUqdBwAjPSh2rg_3_2"/>
      <w:bookmarkStart w:id="280" w:name="Tc_SvuooejZIU2aEpCpFHUOWA_3_0"/>
      <w:bookmarkStart w:id="281" w:name="Tc_-qctgL2xQkeaq5dj0EN9aA_2_11"/>
      <w:bookmarkStart w:id="282" w:name="Tc_D7HBdRudFUSkoPoWjL__ow_2_8"/>
      <w:bookmarkStart w:id="283" w:name="Tc_Cc4691linUK2_x4m2kPkvg_2_5"/>
      <w:bookmarkStart w:id="284" w:name="Tc_-7IpJfQynUOOl-QlsqMblg_2_2"/>
      <w:bookmarkStart w:id="285" w:name="Tc_j_0Zd8gk1kKnbblRjshEdw_2_0"/>
      <w:bookmarkStart w:id="286" w:name="Tc_Bg_duchk30qQQukbxAeteg_1_8"/>
      <w:bookmarkStart w:id="287" w:name="Tc_9pFJGoTL-kuylkh-NI14Rw_1_2"/>
      <w:bookmarkStart w:id="288" w:name="_99dc7a5b_c2f8_4f00_98a6_3090063f1ae3"/>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tbl>
      <w:tblPr>
        <w:tblW w:w="10205" w:type="dxa"/>
        <w:jc w:val="left"/>
        <w:tblInd w:w="0" w:type="dxa"/>
        <w:tblLayout w:type="fixed"/>
        <w:tblCellMar>
          <w:top w:w="0" w:type="dxa"/>
          <w:left w:w="0" w:type="dxa"/>
          <w:bottom w:w="0" w:type="dxa"/>
          <w:right w:w="0" w:type="dxa"/>
        </w:tblCellMar>
      </w:tblPr>
      <w:tblGrid>
        <w:gridCol w:w="4707"/>
        <w:gridCol w:w="146"/>
        <w:gridCol w:w="211"/>
        <w:gridCol w:w="789"/>
        <w:gridCol w:w="326"/>
        <w:gridCol w:w="211"/>
        <w:gridCol w:w="789"/>
        <w:gridCol w:w="326"/>
        <w:gridCol w:w="211"/>
        <w:gridCol w:w="789"/>
        <w:gridCol w:w="326"/>
        <w:gridCol w:w="211"/>
        <w:gridCol w:w="789"/>
        <w:gridCol w:w="374"/>
      </w:tblGrid>
      <w:tr>
        <w:trPr/>
        <w:tc>
          <w:tcPr>
            <w:tcW w:w="4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988945" cy="175260"/>
                      <wp:effectExtent l="0" t="0" r="0" b="0"/>
                      <wp:wrapNone/>
                      <wp:docPr id="28" name="Frame28"/>
                      <a:graphic xmlns:a="http://schemas.openxmlformats.org/drawingml/2006/main">
                        <a:graphicData uri="http://schemas.microsoft.com/office/word/2010/wordprocessingShape">
                          <wps:wsp>
                            <wps:cNvSpPr txBox="1"/>
                            <wps:spPr>
                              <a:xfrm>
                                <a:off x="0" y="0"/>
                                <a:ext cx="298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92710" cy="175260"/>
                      <wp:effectExtent l="0" t="0" r="0" b="0"/>
                      <wp:wrapNone/>
                      <wp:docPr id="29" name="Frame2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1015" cy="175260"/>
                      <wp:effectExtent l="0" t="0" r="0" b="0"/>
                      <wp:wrapNone/>
                      <wp:docPr id="31" name="Frame3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1015" cy="175260"/>
                      <wp:effectExtent l="0" t="0" r="0" b="0"/>
                      <wp:wrapNone/>
                      <wp:docPr id="34" name="Frame3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01015" cy="175260"/>
                      <wp:effectExtent l="0" t="0" r="0" b="0"/>
                      <wp:wrapNone/>
                      <wp:docPr id="37" name="Frame3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1015" cy="175260"/>
                      <wp:effectExtent l="0" t="0" r="0" b="0"/>
                      <wp:wrapNone/>
                      <wp:docPr id="40" name="Frame40"/>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7490" cy="175260"/>
                      <wp:effectExtent l="0" t="0" r="0" b="0"/>
                      <wp:wrapNone/>
                      <wp:docPr id="41" name="Frame41"/>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0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 </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4" w:type="dxa"/>
            <w:tcBorders/>
            <w:vAlign w:val="center"/>
          </w:tcPr>
          <w:p>
            <w:pPr>
              <w:pStyle w:val="TableContents"/>
              <w:bidi w:val="0"/>
              <w:spacing w:before="0" w:after="0"/>
              <w:ind w:left="0" w:right="0" w:hanging="0"/>
              <w:jc w:val="left"/>
              <w:rPr/>
            </w:pPr>
            <w:r>
              <w:rPr/>
              <w:t> </w:t>
            </w:r>
          </w:p>
        </w:tc>
      </w:tr>
      <w:tr>
        <w:trPr/>
        <w:tc>
          <w:tcPr>
            <w:tcW w:w="47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0"/>
              <w:ind w:left="0" w:right="0" w:hanging="0"/>
              <w:jc w:val="left"/>
              <w:rPr/>
            </w:pPr>
            <w:r>
              <w:rPr/>
              <w:t>    </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(29,894)</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available-for-sale debt securities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before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7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(loss) after income taxes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shd w:fill="CCEEFF" w:val="clear"/>
            <w:vAlign w:val="center"/>
          </w:tcPr>
          <w:p>
            <w:pPr>
              <w:pStyle w:val="TableContents"/>
              <w:bidi w:val="0"/>
              <w:spacing w:before="0" w:after="0"/>
              <w:ind w:left="0" w:right="0" w:hanging="0"/>
              <w:jc w:val="left"/>
              <w:rPr/>
            </w:pPr>
            <w:r>
              <w:rPr/>
              <w:t>​</w:t>
            </w:r>
          </w:p>
        </w:tc>
      </w:tr>
      <w:tr>
        <w:trPr/>
        <w:tc>
          <w:tcPr>
            <w:tcW w:w="47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(29,847)</w:t>
            </w:r>
          </w:p>
        </w:tc>
        <w:tc>
          <w:tcPr>
            <w:tcW w:w="37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SEE THE ACCOMPANYING NOTES TO UNAUDITED INTERIM CONDENSED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89" w:name="STATEMENTS_OF_CASH_FLOWS"/>
      <w:bookmarkStart w:id="290" w:name="_39555855_61a0_4583_bc2d_4116c19066d6"/>
      <w:bookmarkEnd w:id="289"/>
      <w:bookmarkEnd w:id="290"/>
      <w:r>
        <w:rPr>
          <w:rFonts w:ascii="Times New Roman;Times;serif" w:hAnsi="Times New Roman;Times;serif"/>
          <w:b/>
          <w:sz w:val="20"/>
        </w:rPr>
        <w:t>INTERIM CONDENSED CONSOLIDATED STATEMENTS OF CASH FLOWS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1" w:name="Tc_uR3eXUAG7kKM0ltilJT3Jg_56_5"/>
      <w:bookmarkStart w:id="292" w:name="Tc_DgxL-obJxU2QbzdvnmItRw_56_2"/>
      <w:bookmarkStart w:id="293" w:name="Tc_uK7I0eqdCU-jvFbl81rrGA_56_0"/>
      <w:bookmarkStart w:id="294" w:name="Tc_xHFagbnBm0msflqv-4NIAg_55_5"/>
      <w:bookmarkStart w:id="295" w:name="Tc_xvhFNgf4LUOezmcxHU4TDw_55_2"/>
      <w:bookmarkStart w:id="296" w:name="Tc_4BgY-CAKRkudPXaQtDMtqw_55_0"/>
      <w:bookmarkStart w:id="297" w:name="Tc_ksBwTRurWEahrn6PmoVweg_54_5"/>
      <w:bookmarkStart w:id="298" w:name="Tc_ojbZGXDsjkS1D87cU8Z1Pw_54_2"/>
      <w:bookmarkStart w:id="299" w:name="Tc_88D5_gHWlEixeU3jGQ7vZg_54_0"/>
      <w:bookmarkStart w:id="300" w:name="Tc_wsLZy1flxkuXajvn1-SDqA_53_5"/>
      <w:bookmarkStart w:id="301" w:name="Tc_4cUzw3uxckS5GVpoTrMeNw_53_2"/>
      <w:bookmarkStart w:id="302" w:name="Tc_NuF-Y6pVn0qfB7mzW7Gvfg_53_0"/>
      <w:bookmarkStart w:id="303" w:name="Tc_j8uYmRxt7E276phjCR40xA_52_5"/>
      <w:bookmarkStart w:id="304" w:name="Tc_aBs5QSusy0iCidungRbIog_52_3"/>
      <w:bookmarkStart w:id="305" w:name="Tc_NAEaNUBSOUiA0NuXspuNDw_52_2"/>
      <w:bookmarkStart w:id="306" w:name="Tc_P08C-VxLU0KZjK5rxlmAKQ_52_0"/>
      <w:bookmarkStart w:id="307" w:name="Tc_N-T0tDgHuEeilNMH8RM6Mw_51_5"/>
      <w:bookmarkStart w:id="308" w:name="Tc_5ouqHjPVU0a0pt5Tm9_Esg_51_3"/>
      <w:bookmarkStart w:id="309" w:name="Tc_FJsCqKkNLE-zZov22B-Daw_51_2"/>
      <w:bookmarkStart w:id="310" w:name="Tc_gLD3dd1rS0yl0DsBBcloCg_51_0"/>
      <w:bookmarkStart w:id="311" w:name="Tc_V821XJzeI0uRBIqX-ht0Og_50_5"/>
      <w:bookmarkStart w:id="312" w:name="Tc_yiuhsf1pk0CwTlcc5h_ykw_50_2"/>
      <w:bookmarkStart w:id="313" w:name="Tc_bwHw0HmtK06ACr_wYc73tQ_50_0"/>
      <w:bookmarkStart w:id="314" w:name="Tc_hbLShN6kB0Kon_zRZqTnIw_49_5"/>
      <w:bookmarkStart w:id="315" w:name="Tc_AGLa2Cx2VkeC4rLJEndFeg_49_2"/>
      <w:bookmarkStart w:id="316" w:name="Tc_EoTUb0FmskyGXkY5sRwYtg_49_0"/>
      <w:bookmarkStart w:id="317" w:name="Tc_8zbvhPOLfkuqT_Uxvo5ZTw_48_0"/>
      <w:bookmarkStart w:id="318" w:name="Tc_U3VNRsGiPEyvl7pHGGSDrw_47_5"/>
      <w:bookmarkStart w:id="319" w:name="Tc_O_lS711FlkCqd2_dTo-7QA_47_2"/>
      <w:bookmarkStart w:id="320" w:name="Tc_tNZYlrQxp0mZCpxrt3ymqg_47_0"/>
      <w:bookmarkStart w:id="321" w:name="Tc_KKIugTfwhUG81sM7jic1zw_46_0"/>
      <w:bookmarkStart w:id="322" w:name="Tc_9w30NQ0PBkqj19xQz_likA_45_5"/>
      <w:bookmarkStart w:id="323" w:name="Tc_mY0CefuqJUKczV-wFUZrJw_45_2"/>
      <w:bookmarkStart w:id="324" w:name="Tc_c-S7akIJ40-DRQ77hN9MvA_45_0"/>
      <w:bookmarkStart w:id="325" w:name="Tc_pvHHtMSXv06EBc4BgE3jdg_44_0"/>
      <w:bookmarkStart w:id="326" w:name="Tc_JYSpTMjYgEasrWDLJTfICw_43_0"/>
      <w:bookmarkStart w:id="327" w:name="Tc_EBM4GU2tqE-mCbD3A7GxRw_42_0"/>
      <w:bookmarkStart w:id="328" w:name="Tc_3bRuUh_6h0Olz25UpBoesw_41_0"/>
      <w:bookmarkStart w:id="329" w:name="Tc_PcLpSHugtU6blIBW_AYA_A_40_0"/>
      <w:bookmarkStart w:id="330" w:name="Tc_rUHCGsEc8Ui6H2v4z5ZDxA_39_6"/>
      <w:bookmarkStart w:id="331" w:name="Tc_QzvyBqEj40avaf6Az_Cjrg_39_0"/>
      <w:bookmarkStart w:id="332" w:name="Tc_uyDuZ9DCCEeDlZJIzD_aWA_38_0"/>
      <w:bookmarkStart w:id="333" w:name="Tc_lPCAznnf-EKsbJUzgMEPtw_37_0"/>
      <w:bookmarkStart w:id="334" w:name="Tc_KBeLULHx5EO-ZSq3IjVSdw_36_0"/>
      <w:bookmarkStart w:id="335" w:name="Tc__r04dMAF302kqe90H_GNXQ_35_0"/>
      <w:bookmarkStart w:id="336" w:name="Tc_0T0qRPGT7E2N64UT7fJmeg_34_0"/>
      <w:bookmarkStart w:id="337" w:name="Tc_84pkrftLBUK_Mp5JX6bt1Q_33_0"/>
      <w:bookmarkStart w:id="338" w:name="Tc_AIMTUpiF4U2hYMrNY_uHrw_32_3"/>
      <w:bookmarkStart w:id="339" w:name="Tc_AC9gVkgf6EmN29V6H3fuXQ_32_0"/>
      <w:bookmarkStart w:id="340" w:name="Tc_DRI-BS8L1UmQDH3v1qlL-w_31_0"/>
      <w:bookmarkStart w:id="341" w:name="Tc_gWeAhxEqmUi5qTL7hcGWhg_30_0"/>
      <w:bookmarkStart w:id="342" w:name="Tc_9l2cnwbR9k-3lwa0H1ds5g_29_0"/>
      <w:bookmarkStart w:id="343" w:name="Tc_vnTXwapPb02Iqj3IeF6HwQ_28_0"/>
      <w:bookmarkStart w:id="344" w:name="Tc_9KkMpXNqW0yqdEnG3EepZw_27_0"/>
      <w:bookmarkStart w:id="345" w:name="Tc_AD9xmz2K10Gt7RPBvBlz6g_26_0"/>
      <w:bookmarkStart w:id="346" w:name="Tc_DfBUNiKStka7mFGjv-OVIQ_25_0"/>
      <w:bookmarkStart w:id="347" w:name="Tc_fc7QbcKEE0aTDRJ4FlJd5w_24_0"/>
      <w:bookmarkStart w:id="348" w:name="Tc_ZT9Um1XSXUygacLE4E019Q_23_0"/>
      <w:bookmarkStart w:id="349" w:name="Tc_061_7n8USE2fvYfv-DVXLA_22_0"/>
      <w:bookmarkStart w:id="350" w:name="Tc_Iy3PEkZy9UumKAaczJE3bw_21_0"/>
      <w:bookmarkStart w:id="351" w:name="Tc_BVoM06O_Tkm8RSQybPlfdg_20_0"/>
      <w:bookmarkStart w:id="352" w:name="Tc_vT6uYhL0xkmoDEcQ_hODlQ_19_0"/>
      <w:bookmarkStart w:id="353" w:name="Tc_He0ozSDveUenRCepsbUxlA_18_0"/>
      <w:bookmarkStart w:id="354" w:name="Tc_bTAkKcYRekOmTfRl175kRg_17_0"/>
      <w:bookmarkStart w:id="355" w:name="Tc_GYqbgQwFGkCJi97Yslx5EQ_16_0"/>
      <w:bookmarkStart w:id="356" w:name="Tc_e8EwiQk8bkS2dTPdOwIm0A_15_0"/>
      <w:bookmarkStart w:id="357" w:name="Tc_LBoZCj3EFkGtF4uNU6p2Ng_14_0"/>
      <w:bookmarkStart w:id="358" w:name="Tc_W_zMkZ_VR0yO5EA5FBR0NA_13_0"/>
      <w:bookmarkStart w:id="359" w:name="Tc_RBxTOccHX0-ZmNJ-Cf6SOw_12_0"/>
      <w:bookmarkStart w:id="360" w:name="Tc_EmeaogVBCEOQJyf9JuVWRA_11_0"/>
      <w:bookmarkStart w:id="361" w:name="Tc_ZwbSqjQlHEKIMcouyPAL2Q_10_0"/>
      <w:bookmarkStart w:id="362" w:name="Tc_uCP8de78PkamssKMGqDntw_9_0"/>
      <w:bookmarkStart w:id="363" w:name="Tc_29V50PGYyku2TeCzQlt_TA_8_0"/>
      <w:bookmarkStart w:id="364" w:name="Tc_wvAaE7lb5EyPSD0MEeaW2A_7_0"/>
      <w:bookmarkStart w:id="365" w:name="Tc_5HUdZCXmx0ip2uZ0YaOAdQ_6_0"/>
      <w:bookmarkStart w:id="366" w:name="Tc_6yk-JX9Koki3H0IyjHVtgg_5_0"/>
      <w:bookmarkStart w:id="367" w:name="Tc_FuIUjod4j0WQ4Kdpp4Qtiw_4_5"/>
      <w:bookmarkStart w:id="368" w:name="Tc_J9N5mGU5aUaBCxC-RawL7g_4_2"/>
      <w:bookmarkStart w:id="369" w:name="Tc_NsZuigfqW0qIknn9C4Gr7Q_4_0"/>
      <w:bookmarkStart w:id="370" w:name="Tc_yIzn2x_cwEiUbGz97BEtqQ_3_0"/>
      <w:bookmarkStart w:id="371" w:name="Tc_P4Y7y-1IakisaPlW6aZEBg_2_5"/>
      <w:bookmarkStart w:id="372" w:name="Tc_NDUkYqTQmkqBdLKmDxRw2A_2_2"/>
      <w:bookmarkStart w:id="373" w:name="Tc_MXwmla9zfkGHcGzfdExZ1A_2_0"/>
      <w:bookmarkStart w:id="374" w:name="Tc_hrF9-0OEPkGX3syy648XGw_1_2"/>
      <w:bookmarkStart w:id="375" w:name="_89fc5de3_f81b_4da5_95e4_97e486411872"/>
      <w:bookmarkStart w:id="376" w:name="Tc_uR3eXUAG7kKM0ltilJT3Jg_56_5"/>
      <w:bookmarkStart w:id="377" w:name="Tc_DgxL-obJxU2QbzdvnmItRw_56_2"/>
      <w:bookmarkStart w:id="378" w:name="Tc_uK7I0eqdCU-jvFbl81rrGA_56_0"/>
      <w:bookmarkStart w:id="379" w:name="Tc_xHFagbnBm0msflqv-4NIAg_55_5"/>
      <w:bookmarkStart w:id="380" w:name="Tc_xvhFNgf4LUOezmcxHU4TDw_55_2"/>
      <w:bookmarkStart w:id="381" w:name="Tc_4BgY-CAKRkudPXaQtDMtqw_55_0"/>
      <w:bookmarkStart w:id="382" w:name="Tc_ksBwTRurWEahrn6PmoVweg_54_5"/>
      <w:bookmarkStart w:id="383" w:name="Tc_ojbZGXDsjkS1D87cU8Z1Pw_54_2"/>
      <w:bookmarkStart w:id="384" w:name="Tc_88D5_gHWlEixeU3jGQ7vZg_54_0"/>
      <w:bookmarkStart w:id="385" w:name="Tc_wsLZy1flxkuXajvn1-SDqA_53_5"/>
      <w:bookmarkStart w:id="386" w:name="Tc_4cUzw3uxckS5GVpoTrMeNw_53_2"/>
      <w:bookmarkStart w:id="387" w:name="Tc_NuF-Y6pVn0qfB7mzW7Gvfg_53_0"/>
      <w:bookmarkStart w:id="388" w:name="Tc_j8uYmRxt7E276phjCR40xA_52_5"/>
      <w:bookmarkStart w:id="389" w:name="Tc_aBs5QSusy0iCidungRbIog_52_3"/>
      <w:bookmarkStart w:id="390" w:name="Tc_NAEaNUBSOUiA0NuXspuNDw_52_2"/>
      <w:bookmarkStart w:id="391" w:name="Tc_P08C-VxLU0KZjK5rxlmAKQ_52_0"/>
      <w:bookmarkStart w:id="392" w:name="Tc_N-T0tDgHuEeilNMH8RM6Mw_51_5"/>
      <w:bookmarkStart w:id="393" w:name="Tc_5ouqHjPVU0a0pt5Tm9_Esg_51_3"/>
      <w:bookmarkStart w:id="394" w:name="Tc_FJsCqKkNLE-zZov22B-Daw_51_2"/>
      <w:bookmarkStart w:id="395" w:name="Tc_gLD3dd1rS0yl0DsBBcloCg_51_0"/>
      <w:bookmarkStart w:id="396" w:name="Tc_V821XJzeI0uRBIqX-ht0Og_50_5"/>
      <w:bookmarkStart w:id="397" w:name="Tc_yiuhsf1pk0CwTlcc5h_ykw_50_2"/>
      <w:bookmarkStart w:id="398" w:name="Tc_bwHw0HmtK06ACr_wYc73tQ_50_0"/>
      <w:bookmarkStart w:id="399" w:name="Tc_hbLShN6kB0Kon_zRZqTnIw_49_5"/>
      <w:bookmarkStart w:id="400" w:name="Tc_AGLa2Cx2VkeC4rLJEndFeg_49_2"/>
      <w:bookmarkStart w:id="401" w:name="Tc_EoTUb0FmskyGXkY5sRwYtg_49_0"/>
      <w:bookmarkStart w:id="402" w:name="Tc_8zbvhPOLfkuqT_Uxvo5ZTw_48_0"/>
      <w:bookmarkStart w:id="403" w:name="Tc_U3VNRsGiPEyvl7pHGGSDrw_47_5"/>
      <w:bookmarkStart w:id="404" w:name="Tc_O_lS711FlkCqd2_dTo-7QA_47_2"/>
      <w:bookmarkStart w:id="405" w:name="Tc_tNZYlrQxp0mZCpxrt3ymqg_47_0"/>
      <w:bookmarkStart w:id="406" w:name="Tc_KKIugTfwhUG81sM7jic1zw_46_0"/>
      <w:bookmarkStart w:id="407" w:name="Tc_9w30NQ0PBkqj19xQz_likA_45_5"/>
      <w:bookmarkStart w:id="408" w:name="Tc_mY0CefuqJUKczV-wFUZrJw_45_2"/>
      <w:bookmarkStart w:id="409" w:name="Tc_c-S7akIJ40-DRQ77hN9MvA_45_0"/>
      <w:bookmarkStart w:id="410" w:name="Tc_pvHHtMSXv06EBc4BgE3jdg_44_0"/>
      <w:bookmarkStart w:id="411" w:name="Tc_JYSpTMjYgEasrWDLJTfICw_43_0"/>
      <w:bookmarkStart w:id="412" w:name="Tc_EBM4GU2tqE-mCbD3A7GxRw_42_0"/>
      <w:bookmarkStart w:id="413" w:name="Tc_3bRuUh_6h0Olz25UpBoesw_41_0"/>
      <w:bookmarkStart w:id="414" w:name="Tc_PcLpSHugtU6blIBW_AYA_A_40_0"/>
      <w:bookmarkStart w:id="415" w:name="Tc_rUHCGsEc8Ui6H2v4z5ZDxA_39_6"/>
      <w:bookmarkStart w:id="416" w:name="Tc_QzvyBqEj40avaf6Az_Cjrg_39_0"/>
      <w:bookmarkStart w:id="417" w:name="Tc_uyDuZ9DCCEeDlZJIzD_aWA_38_0"/>
      <w:bookmarkStart w:id="418" w:name="Tc_lPCAznnf-EKsbJUzgMEPtw_37_0"/>
      <w:bookmarkStart w:id="419" w:name="Tc_KBeLULHx5EO-ZSq3IjVSdw_36_0"/>
      <w:bookmarkStart w:id="420" w:name="Tc__r04dMAF302kqe90H_GNXQ_35_0"/>
      <w:bookmarkStart w:id="421" w:name="Tc_0T0qRPGT7E2N64UT7fJmeg_34_0"/>
      <w:bookmarkStart w:id="422" w:name="Tc_84pkrftLBUK_Mp5JX6bt1Q_33_0"/>
      <w:bookmarkStart w:id="423" w:name="Tc_AIMTUpiF4U2hYMrNY_uHrw_32_3"/>
      <w:bookmarkStart w:id="424" w:name="Tc_AC9gVkgf6EmN29V6H3fuXQ_32_0"/>
      <w:bookmarkStart w:id="425" w:name="Tc_DRI-BS8L1UmQDH3v1qlL-w_31_0"/>
      <w:bookmarkStart w:id="426" w:name="Tc_gWeAhxEqmUi5qTL7hcGWhg_30_0"/>
      <w:bookmarkStart w:id="427" w:name="Tc_9l2cnwbR9k-3lwa0H1ds5g_29_0"/>
      <w:bookmarkStart w:id="428" w:name="Tc_vnTXwapPb02Iqj3IeF6HwQ_28_0"/>
      <w:bookmarkStart w:id="429" w:name="Tc_9KkMpXNqW0yqdEnG3EepZw_27_0"/>
      <w:bookmarkStart w:id="430" w:name="Tc_AD9xmz2K10Gt7RPBvBlz6g_26_0"/>
      <w:bookmarkStart w:id="431" w:name="Tc_DfBUNiKStka7mFGjv-OVIQ_25_0"/>
      <w:bookmarkStart w:id="432" w:name="Tc_fc7QbcKEE0aTDRJ4FlJd5w_24_0"/>
      <w:bookmarkStart w:id="433" w:name="Tc_ZT9Um1XSXUygacLE4E019Q_23_0"/>
      <w:bookmarkStart w:id="434" w:name="Tc_061_7n8USE2fvYfv-DVXLA_22_0"/>
      <w:bookmarkStart w:id="435" w:name="Tc_Iy3PEkZy9UumKAaczJE3bw_21_0"/>
      <w:bookmarkStart w:id="436" w:name="Tc_BVoM06O_Tkm8RSQybPlfdg_20_0"/>
      <w:bookmarkStart w:id="437" w:name="Tc_vT6uYhL0xkmoDEcQ_hODlQ_19_0"/>
      <w:bookmarkStart w:id="438" w:name="Tc_He0ozSDveUenRCepsbUxlA_18_0"/>
      <w:bookmarkStart w:id="439" w:name="Tc_bTAkKcYRekOmTfRl175kRg_17_0"/>
      <w:bookmarkStart w:id="440" w:name="Tc_GYqbgQwFGkCJi97Yslx5EQ_16_0"/>
      <w:bookmarkStart w:id="441" w:name="Tc_e8EwiQk8bkS2dTPdOwIm0A_15_0"/>
      <w:bookmarkStart w:id="442" w:name="Tc_LBoZCj3EFkGtF4uNU6p2Ng_14_0"/>
      <w:bookmarkStart w:id="443" w:name="Tc_W_zMkZ_VR0yO5EA5FBR0NA_13_0"/>
      <w:bookmarkStart w:id="444" w:name="Tc_RBxTOccHX0-ZmNJ-Cf6SOw_12_0"/>
      <w:bookmarkStart w:id="445" w:name="Tc_EmeaogVBCEOQJyf9JuVWRA_11_0"/>
      <w:bookmarkStart w:id="446" w:name="Tc_ZwbSqjQlHEKIMcouyPAL2Q_10_0"/>
      <w:bookmarkStart w:id="447" w:name="Tc_uCP8de78PkamssKMGqDntw_9_0"/>
      <w:bookmarkStart w:id="448" w:name="Tc_29V50PGYyku2TeCzQlt_TA_8_0"/>
      <w:bookmarkStart w:id="449" w:name="Tc_wvAaE7lb5EyPSD0MEeaW2A_7_0"/>
      <w:bookmarkStart w:id="450" w:name="Tc_5HUdZCXmx0ip2uZ0YaOAdQ_6_0"/>
      <w:bookmarkStart w:id="451" w:name="Tc_6yk-JX9Koki3H0IyjHVtgg_5_0"/>
      <w:bookmarkStart w:id="452" w:name="Tc_FuIUjod4j0WQ4Kdpp4Qtiw_4_5"/>
      <w:bookmarkStart w:id="453" w:name="Tc_J9N5mGU5aUaBCxC-RawL7g_4_2"/>
      <w:bookmarkStart w:id="454" w:name="Tc_NsZuigfqW0qIknn9C4Gr7Q_4_0"/>
      <w:bookmarkStart w:id="455" w:name="Tc_yIzn2x_cwEiUbGz97BEtqQ_3_0"/>
      <w:bookmarkStart w:id="456" w:name="Tc_P4Y7y-1IakisaPlW6aZEBg_2_5"/>
      <w:bookmarkStart w:id="457" w:name="Tc_NDUkYqTQmkqBdLKmDxRw2A_2_2"/>
      <w:bookmarkStart w:id="458" w:name="Tc_MXwmla9zfkGHcGzfdExZ1A_2_0"/>
      <w:bookmarkStart w:id="459" w:name="Tc_hrF9-0OEPkGX3syy648XGw_1_2"/>
      <w:bookmarkStart w:id="460" w:name="_89fc5de3_f81b_4da5_95e4_97e486411872"/>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tbl>
      <w:tblPr>
        <w:tblW w:w="9856" w:type="dxa"/>
        <w:jc w:val="left"/>
        <w:tblInd w:w="0" w:type="dxa"/>
        <w:tblLayout w:type="fixed"/>
        <w:tblCellMar>
          <w:top w:w="0" w:type="dxa"/>
          <w:left w:w="0" w:type="dxa"/>
          <w:bottom w:w="0" w:type="dxa"/>
          <w:right w:w="0" w:type="dxa"/>
        </w:tblCellMar>
      </w:tblPr>
      <w:tblGrid>
        <w:gridCol w:w="7216"/>
        <w:gridCol w:w="326"/>
        <w:gridCol w:w="196"/>
        <w:gridCol w:w="721"/>
        <w:gridCol w:w="326"/>
        <w:gridCol w:w="196"/>
        <w:gridCol w:w="721"/>
        <w:gridCol w:w="154"/>
      </w:tblGrid>
      <w:tr>
        <w:trPr/>
        <w:tc>
          <w:tcPr>
            <w:tcW w:w="7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582160" cy="175260"/>
                      <wp:effectExtent l="0" t="0" r="0" b="0"/>
                      <wp:wrapNone/>
                      <wp:docPr id="42" name="Frame42"/>
                      <a:graphic xmlns:a="http://schemas.openxmlformats.org/drawingml/2006/main">
                        <a:graphicData uri="http://schemas.microsoft.com/office/word/2010/wordprocessingShape">
                          <wps:wsp>
                            <wps:cNvSpPr txBox="1"/>
                            <wps:spPr>
                              <a:xfrm>
                                <a:off x="0" y="0"/>
                                <a:ext cx="458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45" name="Frame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57835" cy="175260"/>
                      <wp:effectExtent l="0" t="0" r="0" b="0"/>
                      <wp:wrapNone/>
                      <wp:docPr id="48" name="Frame4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7790" cy="175260"/>
                      <wp:effectExtent l="0" t="0" r="0" b="0"/>
                      <wp:wrapNone/>
                      <wp:docPr id="49" name="Frame4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(29,894)</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2,978</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(12,557)</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forward contract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(5,077)</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Impairment of deferred offering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available-for-sale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Accretion of debt commitment fee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debt end-of-term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(882)</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(10,636)</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Business Combination, net of transaction costs paid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225,604</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 costs paid directly by Rigetti</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notes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on principal of notes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Payments on deferred offering costs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on loan and security agreement exit fees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common stock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upon exercise of stock options and warrants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5,675</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cash provided by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217,766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Effects of exchange rate changes on 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(decrease) increase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(36,176)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172,091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 beginning of period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57,888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12,046</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 end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184,137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Initial fair value of earn-out liability acquired in merger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20,413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Initial fair value of private placement and public warrant liability acquired in merger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22,932</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loan and security agreement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the first tranche of forward contract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w:t>
            </w:r>
          </w:p>
        </w:tc>
        <w:tc>
          <w:tcPr>
            <w:tcW w:w="154" w:type="dxa"/>
            <w:tcBorders/>
            <w:vAlign w:val="center"/>
          </w:tcPr>
          <w:p>
            <w:pPr>
              <w:pStyle w:val="TableContents"/>
              <w:bidi w:val="0"/>
              <w:spacing w:before="0" w:after="0"/>
              <w:ind w:left="0" w:right="0" w:hanging="0"/>
              <w:jc w:val="left"/>
              <w:rPr/>
            </w:pPr>
            <w:r>
              <w:rPr/>
              <w:t>​</w:t>
            </w:r>
          </w:p>
        </w:tc>
      </w:tr>
      <w:tr>
        <w:trPr/>
        <w:tc>
          <w:tcPr>
            <w:tcW w:w="7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recorded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recorded in accrued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SEE</w:t>
      </w:r>
      <w:r>
        <w:rPr>
          <w:rFonts w:ascii="Times New Roman;Times;serif" w:hAnsi="Times New Roman;Times;serif"/>
          <w:sz w:val="20"/>
        </w:rPr>
        <w:t xml:space="preserve"> </w:t>
      </w:r>
      <w:r>
        <w:rPr>
          <w:rFonts w:ascii="Times New Roman;Times;serif" w:hAnsi="Times New Roman;Times;serif"/>
          <w:b/>
          <w:sz w:val="20"/>
        </w:rPr>
        <w:t>THE ACCOMPANYING NOTES TO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61" w:name="NOTESTOTHEUNAUDITEDINTERIMCONDENSEDCONSO"/>
      <w:bookmarkStart w:id="462" w:name="_6aae0f01_d773_496c_8f79_5e6c981d6e0a"/>
      <w:bookmarkEnd w:id="461"/>
      <w:bookmarkEnd w:id="462"/>
      <w:r>
        <w:rPr>
          <w:rFonts w:ascii="Times New Roman;Times;serif" w:hAnsi="Times New Roman;Times;serif"/>
          <w:b/>
          <w:sz w:val="20"/>
        </w:rPr>
        <w:t>NOTES TO THE UNAUDITED INTERIM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tbl>
      <w:tblPr>
        <w:tblW w:w="3047" w:type="dxa"/>
        <w:jc w:val="left"/>
        <w:tblInd w:w="0" w:type="dxa"/>
        <w:tblLayout w:type="fixed"/>
        <w:tblCellMar>
          <w:top w:w="0" w:type="dxa"/>
          <w:left w:w="0" w:type="dxa"/>
          <w:bottom w:w="0" w:type="dxa"/>
          <w:right w:w="0" w:type="dxa"/>
        </w:tblCellMar>
      </w:tblPr>
      <w:tblGrid>
        <w:gridCol w:w="271"/>
        <w:gridCol w:w="277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7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DESCRIPTION OF BUSINESS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Rigetti Computing, Inc. and its subsidiaries (collectively, the “Company” or “Rigetti”), builds quantum computers and the superconducting quantum processors that power them. Through the Company’s Quantum Computing as a Service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Public Warrants trade on the Nasdaq Capital Market under the ticker symbols “RGTI” and “RGTIW,” respectively. For more information on this transaction, see Note 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determined that Legacy Rigetti was the accounting acquirer in the Business Combination based on an analysis of the criteria outlined in Accounting Standards Codification (ASC) 805, Business Combination.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determination was primarily based on the following facts: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Legacy Rigetti stockholders have a controlling voting interest in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as of immediately after the closing was comprised of eight board members, six seats occupied by previous Legacy Rigetti board members and one seat being occupied by a previous SNII representative. The final eighth seat was filled by an individual who did not have ties to either Legacy Rigetti or SNII pre-Business Combination;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Rigetti management held executive management roles for the post-combination company and was responsible for day-to-day operations.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 (ii) the combined results of SNII and Legacy Rigetti following the closing of the Business Combination; (iii) the assets and liabilities of Legacy Rigetti at their historical cost; and (iv) the Company’s equity structure for all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of the Company and its subsidiaries have been prepared in accordance with accounting principles generally accepted in the United States (“U.S. GAAP”) and applicable rules and regulations of the U.S. Securities and Exchange Commission (“SEC”) regarding interim financial reporting. The unaudited interim condensed consolidated financial statements include the accounts of the Company and its wholly-owned subsidiaries. All intercompany transactions and balances have been eliminated in consolidation. All dollar amounts, except share and per share amounts, in the notes to the unaudited interim condensed consolidated financial statements are presented in thousands, unless otherwise specified.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condensed consolidated balance sheet as of December 31, 2022, included herein, was derived from the audited consolidated financial statements as of that date, but does not include all disclosures including certain notes required by U.S. GAAP on an annual reporting basis. Certain information and note disclosures normally included in the consolidated financial statements prepared in accordance with U.S. GAAP have been condensed or omitted pursuant to such rules and regulations. The unaudited interim condensed consolidated financial statements for this period are not necessarily indicative of the results for any future interim period or for the full fiscal year. Therefore, these unaudited condensed consolidated financial statements should be read in conjunction with the Company’s audited consolidated financial statements and notes included with the Company’s Annual Report on Form 10-K for the year ended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unaudited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June 30, 2023, and the results of its operations and cash flows for the three and six-month periods ended June 30, 2023 and June 30, 2022,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Reclassifications—</w:t>
      </w:r>
      <w:r>
        <w:rPr>
          <w:rFonts w:ascii="Times New Roman;Times;serif" w:hAnsi="Times New Roman;Times;serif"/>
          <w:sz w:val="20"/>
        </w:rPr>
        <w:t xml:space="preserve"> Sales and marketing expenses became less significant following the reduction in workforce and strategic realignment we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Risks and Uncertainties —</w:t>
      </w:r>
      <w:r>
        <w:rPr>
          <w:rFonts w:ascii="Times New Roman;Times;serif" w:hAnsi="Times New Roman;Times;serif"/>
          <w:sz w:val="20"/>
        </w:rPr>
        <w:t xml:space="preserve"> 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available-for-sale investments should be sufficient to meet its anticipated operating cash needs for at least the next 12 months from the issuance of these financial statements based on the Company’s current business plan and expectations and assumptions considering current macroeconomic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Macroeconomic Conditions —</w:t>
      </w:r>
      <w:r>
        <w:rPr>
          <w:rFonts w:ascii="Times New Roman;Times;serif" w:hAnsi="Times New Roman;Times;serif"/>
          <w:sz w:val="20"/>
        </w:rPr>
        <w:t xml:space="preserve">Economic conditions in some parts of the world have been worsening, with disruptions to, and volatility and uncertainty in, the credit and financial markets in the U.S. and worldwide resulting from the effects of inflation and interest rates. These conditions have been further exacerbated by recent and potential future disruptions in access to bank deposits or lending commitments due to bank failures, the war in Ukraine and the lingering effects of the COVID-19 pandemic.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Use of Estimates —</w:t>
      </w:r>
      <w:r>
        <w:rPr>
          <w:rFonts w:ascii="Times New Roman;Times;serif" w:hAnsi="Times New Roman;Times;serif"/>
          <w:sz w:val="20"/>
        </w:rPr>
        <w:t xml:space="preserve"> The preparation of the unaudited condensed consolidated financial statements in accordance with U.S. GAAP requires management to make estimates and assumptions that affect reported amounts and disclosures. Such management estimates include, but are not limited to, the fair value of share-based awards, fair value of the Forward Warrant Agreement (as defined below), the fair value of derivative warrant liabilities, the fair value of earnouts issued in connection with the Business Combination (See Note 3),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w:t>
      </w:r>
    </w:p>
    <w:p>
      <w:pPr>
        <w:pStyle w:val="TextBody"/>
        <w:bidi w:val="0"/>
        <w:spacing w:before="0" w:after="0"/>
        <w:ind w:left="0" w:right="0" w:hanging="0"/>
        <w:jc w:val="left"/>
        <w:rPr/>
      </w:pPr>
      <w:r>
        <w:rPr/>
        <w:t>​</w:t>
      </w:r>
    </w:p>
    <w:tbl>
      <w:tblPr>
        <w:tblW w:w="4277" w:type="dxa"/>
        <w:jc w:val="left"/>
        <w:tblInd w:w="0" w:type="dxa"/>
        <w:tblLayout w:type="fixed"/>
        <w:tblCellMar>
          <w:top w:w="0" w:type="dxa"/>
          <w:left w:w="0" w:type="dxa"/>
          <w:bottom w:w="0" w:type="dxa"/>
          <w:right w:w="0" w:type="dxa"/>
        </w:tblCellMar>
      </w:tblPr>
      <w:tblGrid>
        <w:gridCol w:w="271"/>
        <w:gridCol w:w="400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40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RECENT ACCOUNTING DEVELOPMENTS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2016, the FASB issued Accounting Standards Update (“ASU”) 2016-02, Leases and related subsequently issued ASUs (collectively, “Topic 842”), which supersedes Topic 840. From a lessee perspective, the core principle of Topic 842 is that a lessee should recognize the assets and liabilities that arise from leases. A lessee should recognize in the statement of financial position a liability to make lease payments (the lease liability) and a right-of-use (“ROU”) asset representing its right to use the underlying asset for the lease term. The Company adopted Topic 842 on December 31, 2022, effective as of January 1, 2022, using the modified retrospective transition option of applying the new standard at the adoption date for all leases with an original term greater than 12 months. Adoption of the standard resulted in the recognition of operating lease ROU assets and operating lease liabilities of $6.3 million and $6.6 million, respectively, and a $0.3 million adjustment to deferred rent, with no impact to accumulated deficit as of January 1, 2022. Adoption of the standard did not have an impact on the Company’s consolidated statement of operations or cash flows. The Company’s condensed consolidated financial statements for the three and six months ended June 30, 2022 continue to be presented in accordance with the presentation requirements of Topic 840.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2019, the FASB issued ASU 2019-04, Codification Improvements to Topic 326, Financial Instruments—Credit Losses, Topic 815, Derivatives and Hedging, and Topic 825, Financial Instruments. ASU No. 2019-04 was issued as part of the FASB’s ongoing project to improve upon its Accounting Standards Codification (ASC), and to clarify and improve areas of guidance related to recently issued standards on credit losses, hedging, and recognition and measurement. For entities that have not yet adopted the guidance in Update 2016-13, the effective dates and the transition requirements for these amendments are the same as the effective date and transition requirements in Update 2016-13. The amendments related to ASC 326 were effective for the Company as of January 1, 2023. The adoption of the ASU did not have a material impact on the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 Not Yet Adopted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after December 15, 2024, and interim periods within those fiscal years, with early adoption permitted.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2020, the FASB issued ASU No. 2020-06, Debt—(Topic 815) (“ASU No. 2020-06”), which simplifies an issuer’s accounting for convertible instruments and its application of the derivatives scope exception for contracts in its own equity. The amendments in ASU No. 2020-06 are effective for public companies, other than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Company is still evaluating the impact of this pronouncement on the consolidated financial statements.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3" w:name="_3a94e087_b3be_4d40_977c_ffc7334b639a_3"/>
      <w:bookmarkStart w:id="464" w:name="_3a94e087_b3be_4d40_977c_ffc7334b639a_2"/>
      <w:bookmarkStart w:id="465" w:name="_3a94e087_b3be_4d40_977c_ffc7334b639a"/>
      <w:bookmarkStart w:id="466" w:name="_3a94e087_b3be_4d40_977c_ffc7334b639a_3"/>
      <w:bookmarkStart w:id="467" w:name="_3a94e087_b3be_4d40_977c_ffc7334b639a_2"/>
      <w:bookmarkStart w:id="468" w:name="_3a94e087_b3be_4d40_977c_ffc7334b639a"/>
      <w:bookmarkEnd w:id="466"/>
      <w:bookmarkEnd w:id="467"/>
      <w:bookmarkEnd w:id="468"/>
    </w:p>
    <w:tbl>
      <w:tblPr>
        <w:tblW w:w="2837" w:type="dxa"/>
        <w:jc w:val="left"/>
        <w:tblInd w:w="0" w:type="dxa"/>
        <w:tblLayout w:type="fixed"/>
        <w:tblCellMar>
          <w:top w:w="0" w:type="dxa"/>
          <w:left w:w="0" w:type="dxa"/>
          <w:bottom w:w="0" w:type="dxa"/>
          <w:right w:w="0" w:type="dxa"/>
        </w:tblCellMar>
      </w:tblPr>
      <w:tblGrid>
        <w:gridCol w:w="271"/>
        <w:gridCol w:w="256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COMBINATION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discussed in Note 1, on March 2, 2022, the Business Combination was completed. Pursuant to the Company’s certificate of incorporation, as amended on March 2, 2022, the Company is authorized to issue 1,000,000,000 shares of Common Stock and 10,000,000 shares of preferred stock, </w:t>
      </w:r>
      <w:r>
        <w:rPr>
          <w:rFonts w:ascii="Times New Roman;Times;serif" w:hAnsi="Times New Roman;Times;serif"/>
          <w:b w:val="false"/>
          <w:i w:val="false"/>
          <w:caps w:val="false"/>
          <w:smallCaps w:val="false"/>
          <w:sz w:val="20"/>
        </w:rPr>
        <w:t>par value</w:t>
      </w:r>
      <w:r>
        <w:rPr>
          <w:rFonts w:ascii="Times New Roman;Times;serif" w:hAnsi="Times New Roman;Times;serif"/>
          <w:sz w:val="20"/>
        </w:rPr>
        <w:t xml:space="preserve"> $0.0001, of the Company (the “Preferred Stock”). The holders of shares of Common Stock are entitled to one vote for each share of Common Stock held. The Preferred Stock is non-voting. No shares of Preferred Stock were issued and outstanding as of June 30, 2023 or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 2022, prior to the Closing, as contemplated by that certain Agreement and Plan of Merger dated as of October 6, 2021, as amended on December 23, 2021 and January 10, 2022 (as amended, the “Merger Agreement”), by and among SNII, Supernova Merger Sub, Inc., Supernova Romeo Merger Sub, LLC and Legacy Rigetti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and upon the effective time of the Domestication (which occurred on March 1, 2022), among other things (1) each then issued and outstanding Class A ordinary share, par value $0.0001 per share, of SNII (“SNII Class A ordinary share”) converted automatically, on a one-for-one basis, into a share of Common Stock; (2) 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shares converted automatically into a Public Warrant to acquire one share of Common Stock at an exercise price of $11.50 per share pursuant to the Warrant Agreement, dated March 1, 2021, between SNII and American Stock Transfer &amp; Trust Company, as warrant agent; and (4) each then issued and outstanding unit of SNII (the “SNII Units”) was separated and converted automatically into one share of Common Stock and one-fourth of one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converted based on the Exchange Ratio and other terms contained in the Merger Agreement.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execution of the Merger Agreement, SNII entered into a sponsor support agreement (the “Sponsor Support Agreement”) with Supernova Partners II, LLC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w:t>
      </w:r>
      <w:r>
        <w:rPr>
          <w:rFonts w:ascii="Times New Roman;Times;serif" w:hAnsi="Times New Roman;Times;serif"/>
          <w:b w:val="false"/>
          <w:i w:val="false"/>
          <w:caps w:val="false"/>
          <w:smallCaps w:val="false"/>
          <w:sz w:val="20"/>
        </w:rPr>
        <w:t>twenty trading days</w:t>
      </w:r>
      <w:r>
        <w:rPr>
          <w:rFonts w:ascii="Times New Roman;Times;serif" w:hAnsi="Times New Roman;Times;serif"/>
          <w:sz w:val="20"/>
        </w:rPr>
        <w:t xml:space="preserve"> within a period of </w:t>
      </w:r>
      <w:r>
        <w:rPr>
          <w:rFonts w:ascii="Times New Roman;Times;serif" w:hAnsi="Times New Roman;Times;serif"/>
          <w:b w:val="false"/>
          <w:i w:val="false"/>
          <w:caps w:val="false"/>
          <w:smallCaps w:val="false"/>
          <w:sz w:val="20"/>
        </w:rPr>
        <w:t>thirty consecutive trading days</w:t>
      </w:r>
      <w:r>
        <w:rPr>
          <w:rFonts w:ascii="Times New Roman;Times;serif" w:hAnsi="Times New Roman;Times;serif"/>
          <w:sz w:val="20"/>
        </w:rPr>
        <w:t xml:space="preserve"> (such shares, the “Promote Sponsor Vesting Shares”),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w:t>
      </w:r>
      <w:r>
        <w:rPr>
          <w:rFonts w:ascii="Times New Roman;Times;serif" w:hAnsi="Times New Roman;Times;serif"/>
          <w:b w:val="false"/>
          <w:i w:val="false"/>
          <w:caps w:val="false"/>
          <w:smallCaps w:val="false"/>
          <w:sz w:val="20"/>
        </w:rPr>
        <w:t>twenty trading days</w:t>
      </w:r>
      <w:r>
        <w:rPr>
          <w:rFonts w:ascii="Times New Roman;Times;serif" w:hAnsi="Times New Roman;Times;serif"/>
          <w:sz w:val="20"/>
        </w:rPr>
        <w:t xml:space="preserve"> within a period of </w:t>
      </w:r>
      <w:r>
        <w:rPr>
          <w:rFonts w:ascii="Times New Roman;Times;serif" w:hAnsi="Times New Roman;Times;serif"/>
          <w:b w:val="false"/>
          <w:i w:val="false"/>
          <w:caps w:val="false"/>
          <w:smallCaps w:val="false"/>
          <w:sz w:val="20"/>
        </w:rPr>
        <w:t>thirty consecutive trading days</w:t>
      </w:r>
      <w:r>
        <w:rPr>
          <w:rFonts w:ascii="Times New Roman;Times;serif" w:hAnsi="Times New Roman;Times;serif"/>
          <w:sz w:val="20"/>
        </w:rPr>
        <w:t xml:space="preserve"> (such shares, the “Sponsor Redemption-Based Vesting Shares,” and, collectively with the Promote Sponsor Vesting Shares, the “Sponsor Vesting Shares”). Any such shares held by the Sponsor Holders that remain unvested after the fifth anniversary of the Closing will be forfeited (Refer to Note 4 for related significant accounting policy for the Earn-Out Liability related to the Sponsor Vesting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PIPE Investors with certain registration rights with respect to the shares purchased as part of the PIPE Financing. The PIPE Financing was consummated immediately prior to the Business Combination.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Business Combination is accounted for as a reverse recapitalization in accordance with U.S. GAAP. Under this method of accounting, SNII was treated as the “acquired” company for financial reporting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469" w:name="Tc_Y2M1U87qckCsZH2hcbZDew_12_0"/>
      <w:bookmarkStart w:id="470" w:name="Tc_mxrqcsR62EmXnLAwQO45Jg_11_0"/>
      <w:bookmarkStart w:id="471" w:name="Tc_tBGfyHrcOkmtqBc0_MCK1Q_10_0"/>
      <w:bookmarkStart w:id="472" w:name="Tc_cK7p_i5lsk2pLjrxxR_PPw_9_0"/>
      <w:bookmarkStart w:id="473" w:name="Tc_MXIeQaixyEe3LEUeG5GkdQ_8_0"/>
      <w:bookmarkStart w:id="474" w:name="Tc_EH2gbj-asUCMUQSOkjAAEg_7_0"/>
      <w:bookmarkStart w:id="475" w:name="Tc_ptOjt97Ns0uR_YDzp3PfAA_6_0"/>
      <w:bookmarkStart w:id="476" w:name="Tc_bAiKKLTQ9kmVfyjhDnnHrQ_5_0"/>
      <w:bookmarkStart w:id="477" w:name="Tc_VYNnUOn1iku6rn3zw0nbhg_4_0"/>
      <w:bookmarkStart w:id="478" w:name="Tc_zV7jmRjz5Uqct9lUg8YKsw_3_0"/>
      <w:bookmarkStart w:id="479" w:name="Tc_7swEdmq6U0icdCLIdCao6w_2_0"/>
      <w:bookmarkStart w:id="480" w:name="Tc_AHrOaXFVE0GsHUBQ9Qxrmw_1_0"/>
      <w:bookmarkStart w:id="481" w:name="_3fcc3957_5210_4bc2_b06d_4c4eac760660"/>
      <w:bookmarkStart w:id="482" w:name="Tc_4-dC6nYgTUO13K8U2CvhUg_5_2"/>
      <w:bookmarkStart w:id="483" w:name="Tc_VebxdTFI10iAOa8H7p-O8w_5_0"/>
      <w:bookmarkStart w:id="484" w:name="Tc__Gyr8nA_f0SfayZhPiJsQQ_4_0"/>
      <w:bookmarkStart w:id="485" w:name="Tc_YS-nhiY25kWMumrB-HAIbQ_3_0"/>
      <w:bookmarkStart w:id="486" w:name="Tc_Cb89Qwe6NEOz_QSbHj8tEw_2_2"/>
      <w:bookmarkStart w:id="487" w:name="Tc_M2o2N5rWOUyNHZvv5Evx2w_2_0"/>
      <w:bookmarkStart w:id="488" w:name="Tc_eAx6AtNh0kSmNTwym7uLNg_1_2"/>
      <w:bookmarkStart w:id="489" w:name="_4138c883_5ac9_4b1f_97b4_149625d9b6e9"/>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ascii="Times New Roman;Times;serif" w:hAnsi="Times New Roman;Times;serif"/>
          <w:sz w:val="20"/>
        </w:rPr>
        <w:t>In accounting for the Business Combination and after redemptions, net proceeds received by the Company totaled $225.6 million. The table below shows the net proceeds from business combination and PIPE financing:</w:t>
      </w:r>
    </w:p>
    <w:tbl>
      <w:tblPr>
        <w:tblW w:w="5757" w:type="dxa"/>
        <w:jc w:val="left"/>
        <w:tblInd w:w="0" w:type="dxa"/>
        <w:tblLayout w:type="fixed"/>
        <w:tblCellMar>
          <w:top w:w="0" w:type="dxa"/>
          <w:left w:w="0" w:type="dxa"/>
          <w:bottom w:w="0" w:type="dxa"/>
          <w:right w:w="0" w:type="dxa"/>
        </w:tblCellMar>
      </w:tblPr>
      <w:tblGrid>
        <w:gridCol w:w="4261"/>
        <w:gridCol w:w="326"/>
        <w:gridCol w:w="225"/>
        <w:gridCol w:w="945"/>
      </w:tblGrid>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2875" cy="175260"/>
                      <wp:effectExtent l="0" t="0" r="0" b="0"/>
                      <wp:wrapNone/>
                      <wp:docPr id="51" name="Frame5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00075" cy="175260"/>
                      <wp:effectExtent l="0" t="0" r="0" b="0"/>
                      <wp:wrapNone/>
                      <wp:docPr id="52" name="Frame52"/>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trust and cash (net of redemption)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PIPE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 SNII operating account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proceeds from Business Combination and PIPE</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225,604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consist of direct legal, accounting and other fees relating to the consummation of the Business Combination. Legacy Rigetti transaction costs specific and directly attributable to the business combination totaled $20.65 million. These costs were initially capitalized as incurred in deferred offering assets on the consolidated balance sheets. Upon the Closing, transaction costs related to the issuance of shares were recognized in stockholders’ equity (deficit) while costs associated with the Public Warrants, Private Warrants and the earnout related to the Sponsor Vesting Shares were expensed in the condensed consolidated statements of operations. Of the total transaction costs of $20.65 million, $19.75 million was recorded to additional paid-in capital as a reduction of proceeds and the remaining $0.9 million was expensed in the six months ended June 30, 2022. Cash transaction costs paid in the six months ended June 30, 2022 totaled $16.7 million. Bonuses paid to certain employees related to the business combination in the six months ended June 30, 2022 totaled $2.1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amount recorded to additional paid-in-capital was $159.55 million (as discussed in Note 1), comprised of $225.6 million net proceeds less $19.75 million of transaction costs, $16.3 million recognized for the Public Warrant liabilities, $9.6 million (as discussed in Note 1) recognized for the Private Warrant liabilities, and $20.4 million recognized for the earnout liability related to the Sponsor Vesting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number of shares of Common Stock issued immediately following the consummation of the Business Combination was as follows:</w:t>
      </w:r>
    </w:p>
    <w:tbl>
      <w:tblPr>
        <w:tblW w:w="9283" w:type="dxa"/>
        <w:jc w:val="left"/>
        <w:tblInd w:w="0" w:type="dxa"/>
        <w:tblLayout w:type="fixed"/>
        <w:tblCellMar>
          <w:top w:w="0" w:type="dxa"/>
          <w:left w:w="0" w:type="dxa"/>
          <w:bottom w:w="0" w:type="dxa"/>
          <w:right w:w="0" w:type="dxa"/>
        </w:tblCellMar>
      </w:tblPr>
      <w:tblGrid>
        <w:gridCol w:w="7711"/>
        <w:gridCol w:w="326"/>
        <w:gridCol w:w="1246"/>
      </w:tblGrid>
      <w:tr>
        <w:trPr/>
        <w:tc>
          <w:tcPr>
            <w:tcW w:w="7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91210" cy="175260"/>
                      <wp:effectExtent l="0" t="0" r="0" b="0"/>
                      <wp:wrapNone/>
                      <wp:docPr id="54" name="Frame5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outstanding prior to Business Combination</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34,500,000</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redemption of SNII Class A ordinary shares</w:t>
            </w:r>
          </w:p>
        </w:tc>
        <w:tc>
          <w:tcPr>
            <w:tcW w:w="32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(22,915,538)</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A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11,584,462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Stock—SNII Class B ordinary shares*</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8,625,000</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issued in PIPE</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14,641,244</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Business Combination and PIPE shares</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34,850,706</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Stock—Legacy Rigetti**</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18,221,069</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stock options immediately prior to the closing**</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1,123,539</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Stock—exercise of Legacy Rigetti warrants immediately prior to the closing**</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2,234,408</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 preferred stock**</w:t>
            </w:r>
          </w:p>
        </w:tc>
        <w:tc>
          <w:tcPr>
            <w:tcW w:w="32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54,478,261</w:t>
            </w:r>
          </w:p>
        </w:tc>
      </w:tr>
      <w:tr>
        <w:trPr/>
        <w:tc>
          <w:tcPr>
            <w:tcW w:w="7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Stock—upon conversion of Legacy Rigetti Series C</w:t>
              <w:noBreakHyphen/>
              <w:t>1 preferred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2,902,302</w:t>
            </w:r>
          </w:p>
        </w:tc>
      </w:tr>
      <w:tr>
        <w:trPr/>
        <w:tc>
          <w:tcPr>
            <w:tcW w:w="77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shares of Common Stock immediately after Business Combination</w:t>
            </w:r>
          </w:p>
        </w:tc>
        <w:tc>
          <w:tcPr>
            <w:tcW w:w="326" w:type="dxa"/>
            <w:tcBorders/>
            <w:vAlign w:val="center"/>
          </w:tcPr>
          <w:p>
            <w:pPr>
              <w:pStyle w:val="TableContents"/>
              <w:bidi w:val="0"/>
              <w:spacing w:before="0" w:after="1"/>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113,810,285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Includes (i) 2,479,000 shares of “Promote Sponsor Vesting Shares” and (ii) 580,273 shares of “Sponsor Redemption-Based Vesting Shares”.</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5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Rigetti Common Stock for the Legacy Series C Preferred Stock was one-for-one and for Legacy Series C-1 Preferred Stock was eight-for-one.</w:t>
            </w:r>
          </w:p>
        </w:tc>
      </w:tr>
    </w:tbl>
    <w:p>
      <w:pPr>
        <w:pStyle w:val="TextBody"/>
        <w:bidi w:val="0"/>
        <w:spacing w:before="0" w:after="0"/>
        <w:ind w:left="0" w:right="0" w:hanging="0"/>
        <w:jc w:val="left"/>
        <w:rPr/>
      </w:pPr>
      <w:r>
        <w:rPr/>
        <w:t>​</w:t>
      </w:r>
    </w:p>
    <w:tbl>
      <w:tblPr>
        <w:tblW w:w="2522" w:type="dxa"/>
        <w:jc w:val="left"/>
        <w:tblInd w:w="0" w:type="dxa"/>
        <w:tblLayout w:type="fixed"/>
        <w:tblCellMar>
          <w:top w:w="0" w:type="dxa"/>
          <w:left w:w="0" w:type="dxa"/>
          <w:bottom w:w="0" w:type="dxa"/>
          <w:right w:w="0" w:type="dxa"/>
        </w:tblCellMar>
      </w:tblPr>
      <w:tblGrid>
        <w:gridCol w:w="271"/>
        <w:gridCol w:w="225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2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EARN-OUT LIABILITY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the closing of the Business Combination, the Sponsor subjected the Sponsor Vesting Shares to forfeiture as of the Closing Date for a five-year period following the Closing, with vesting occurring only if thresholds related to the weighted average price of Common Stock are met as described above in Note 3. Business Combination (the “Earn-Out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490" w:name="Tc_vYpXGSt7UEyJeaIHN8HP6w_6_0"/>
      <w:bookmarkStart w:id="491" w:name="Tc_T78YHPey2UC9HdwUohNZxg_5_10"/>
      <w:bookmarkStart w:id="492" w:name="Tc_NaCACcqZN0qN0OTBvAIFTA_5_7"/>
      <w:bookmarkStart w:id="493" w:name="Tc_c4XZG_P8lEuhbsG5Ur-ruQ_5_4"/>
      <w:bookmarkStart w:id="494" w:name="Tc_aL0nKNYRbEGDR2WMh0xnkA_5_0"/>
      <w:bookmarkStart w:id="495" w:name="Tc_nR_2ekknZUqIdM8A-OHhVw_4_10"/>
      <w:bookmarkStart w:id="496" w:name="Tc_b0ovH5zMiEO0e8Whhh2wxw_4_7"/>
      <w:bookmarkStart w:id="497" w:name="Tc_7cB7ORBatE-NqaHDxkWrQg_4_4"/>
      <w:bookmarkStart w:id="498" w:name="Tc_OELJpNmIBUO9C68A94X4wA_4_0"/>
      <w:bookmarkStart w:id="499" w:name="Tc_zjZBnKJqg06VC2370izFbg_3_0"/>
      <w:bookmarkStart w:id="500" w:name="Tc_6P4BEbB-Q02oNZTPGYPmoQ_2_8"/>
      <w:bookmarkStart w:id="501" w:name="Tc_hD3bRg2FvU2LaXaQ4SCjlA_2_5"/>
      <w:bookmarkStart w:id="502" w:name="Tc_klWNeIwso0m3zTh9R74QlQ_2_2"/>
      <w:bookmarkStart w:id="503" w:name="Tc_K2VQqY9yrE6Xg5eMyWkXpg_2_0"/>
      <w:bookmarkStart w:id="504" w:name="Tc_rsfHKYiDq06P49lmKqZEvw_1_8"/>
      <w:bookmarkStart w:id="505" w:name="Tc_XoiCPzY5g0eE6MLo959aQA_1_5"/>
      <w:bookmarkStart w:id="506" w:name="Tc_e0upcyY38U6UUEl9ZD_cAA_1_2"/>
      <w:bookmarkStart w:id="507" w:name="Tc_dGLkxEyctEKlUYVKz-KeMw_1_0"/>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Fonts w:ascii="Times New Roman;Times;serif" w:hAnsi="Times New Roman;Times;serif"/>
          <w:sz w:val="20"/>
        </w:rPr>
        <w:t>Triggering Events”). Any such shares held by the Sponsor that have not vested by the fifth anniversary of the Closing will be forfeited.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and was determined to be $20.4 million at the Closing Date. The Earn-out liability is adjusted to fair value each reporting period using the Monte Carlo simulation model until such time as the Earn-Out Triggering Events are achieved or the Sponsor Vesting Shares are forfeited.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calculated fair value of the Earn-out liability with respect to the Sponsor Vesting Shares at June 30, 2023 and December 31, 2022 was $1.8 million and $1.2 million, respectively. The change in the fair value of the Earn-out liability included in the condensed consolidated statements of operations in the three and six months ended June 30, 2023 was a loss of $0.4 million and $0.6 million, respectively. The change in the fair value of the Earn-out liability included in the condensed consolidated statements of operations in the three and six months ended June 30, 2022 was a gain of $6.6 million and $12.6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Significant inputs into the Monte Carlo simulation models at June 30, 2023, December 31, 2022 and March 2, 2022 (the date of initial recognition) are as follows:</w:t>
      </w:r>
    </w:p>
    <w:p>
      <w:pPr>
        <w:pStyle w:val="TextBody"/>
        <w:bidi w:val="0"/>
        <w:spacing w:before="0" w:after="0"/>
        <w:ind w:left="0" w:right="0" w:hanging="0"/>
        <w:jc w:val="left"/>
        <w:rPr/>
      </w:pPr>
      <w:r>
        <w:rPr/>
        <w:t>​</w:t>
      </w:r>
    </w:p>
    <w:tbl>
      <w:tblPr>
        <w:tblW w:w="8287" w:type="dxa"/>
        <w:jc w:val="left"/>
        <w:tblInd w:w="0" w:type="dxa"/>
        <w:tblLayout w:type="fixed"/>
        <w:tblCellMar>
          <w:top w:w="0" w:type="dxa"/>
          <w:left w:w="0" w:type="dxa"/>
          <w:bottom w:w="0" w:type="dxa"/>
          <w:right w:w="0" w:type="dxa"/>
        </w:tblCellMar>
      </w:tblPr>
      <w:tblGrid>
        <w:gridCol w:w="3016"/>
        <w:gridCol w:w="326"/>
        <w:gridCol w:w="303"/>
        <w:gridCol w:w="823"/>
        <w:gridCol w:w="361"/>
        <w:gridCol w:w="357"/>
        <w:gridCol w:w="1144"/>
        <w:gridCol w:w="361"/>
        <w:gridCol w:w="315"/>
        <w:gridCol w:w="856"/>
        <w:gridCol w:w="271"/>
        <w:gridCol w:w="154"/>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92405" cy="175260"/>
                      <wp:effectExtent l="0" t="0" r="0" b="0"/>
                      <wp:wrapNone/>
                      <wp:docPr id="56" name="Frame5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2605" cy="175260"/>
                      <wp:effectExtent l="0" t="0" r="0" b="0"/>
                      <wp:wrapNone/>
                      <wp:docPr id="57" name="Frame5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29235" cy="175260"/>
                      <wp:effectExtent l="0" t="0" r="0" b="0"/>
                      <wp:wrapNone/>
                      <wp:docPr id="58" name="Frame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6695" cy="175260"/>
                      <wp:effectExtent l="0" t="0" r="0" b="0"/>
                      <wp:wrapNone/>
                      <wp:docPr id="59" name="Frame59"/>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26440" cy="175260"/>
                      <wp:effectExtent l="0" t="0" r="0" b="0"/>
                      <wp:wrapNone/>
                      <wp:docPr id="60" name="Frame60"/>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29235" cy="175260"/>
                      <wp:effectExtent l="0" t="0" r="0" b="0"/>
                      <wp:wrapNone/>
                      <wp:docPr id="61" name="Frame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0025" cy="175260"/>
                      <wp:effectExtent l="0" t="0" r="0" b="0"/>
                      <wp:wrapNone/>
                      <wp:docPr id="62" name="Frame6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43560" cy="175260"/>
                      <wp:effectExtent l="0" t="0" r="0" b="0"/>
                      <wp:wrapNone/>
                      <wp:docPr id="63" name="Frame6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72085" cy="175260"/>
                      <wp:effectExtent l="0" t="0" r="0" b="0"/>
                      <wp:wrapNone/>
                      <wp:docPr id="64" name="Frame6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7790" cy="175260"/>
                      <wp:effectExtent l="0" t="0" r="0" b="0"/>
                      <wp:wrapNone/>
                      <wp:docPr id="65" name="Frame6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61"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61"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61"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61"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w:t>
            </w:r>
          </w:p>
        </w:tc>
        <w:tc>
          <w:tcPr>
            <w:tcW w:w="361"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61"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61"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08" w:name="Tc_qRaD5J47bkCvrjzW7oh_HA_14_16"/>
      <w:bookmarkStart w:id="509" w:name="Tc_gWuU3QQsEUm11MNFD4Afqw_14_13"/>
      <w:bookmarkStart w:id="510" w:name="Tc_QibRYU9LWkCK2AYgjWABOA_14_10"/>
      <w:bookmarkStart w:id="511" w:name="Tc_jw1b2NA_4EqkRPG4Rm9bAw_14_7"/>
      <w:bookmarkStart w:id="512" w:name="Tc_CXVEt04nUUyublfmEAyqZg_14_4"/>
      <w:bookmarkStart w:id="513" w:name="Tc_Heczw1Ak80WsS3xkeKzMEw_14_0"/>
      <w:bookmarkStart w:id="514" w:name="Tc_oMDRxO27pU-m5Q8j1CbeLQ_13_11"/>
      <w:bookmarkStart w:id="515" w:name="Tc_bMEQb0Kmm0S8s9r7BMDNnw_13_8"/>
      <w:bookmarkStart w:id="516" w:name="Tc_DvY9v2QJUUWouEtSxzWrkQ_13_5"/>
      <w:bookmarkStart w:id="517" w:name="Tc_yXRkHku2RE6hlFng-WJCzQ_13_2"/>
      <w:bookmarkStart w:id="518" w:name="Tc_eMwWVRbRZ0iHBuVxgBKuzQ_13_0"/>
      <w:bookmarkStart w:id="519" w:name="Tc_JZ35HpxLtEK0ZLeOVoGNKw_12_14"/>
      <w:bookmarkStart w:id="520" w:name="Tc_0n4dXJUEwkScpwsH8-SVsQ_12_8"/>
      <w:bookmarkStart w:id="521" w:name="Tc_37uFCJWRHEu0hafW3eX2Yw_12_5"/>
      <w:bookmarkStart w:id="522" w:name="Tc_3lIHeYv6QUiFza8NO7_cFg_12_2"/>
      <w:bookmarkStart w:id="523" w:name="Tc_hFiVnyS0UEqsSEZuE2Wytw_12_0"/>
      <w:bookmarkStart w:id="524" w:name="Tc_3iBDlWFqxEuxHplhZPXw5Q_11_14"/>
      <w:bookmarkStart w:id="525" w:name="Tc_f7TPU70wMUivtoes3nDVFw_11_8"/>
      <w:bookmarkStart w:id="526" w:name="Tc_ujBzKazkN0Sn32QT2fJdbg_11_5"/>
      <w:bookmarkStart w:id="527" w:name="Tc_X5Yu8ogkKkCOfUU_HGvflg_11_2"/>
      <w:bookmarkStart w:id="528" w:name="Tc_veNY3rfmGE2hREK1FdvfqQ_11_0"/>
      <w:bookmarkStart w:id="529" w:name="Tc_J8P_48D6EUG4I792_kPFuw_10_14"/>
      <w:bookmarkStart w:id="530" w:name="Tc_eYpj1incxkaUBiqy_8FdXA_10_11"/>
      <w:bookmarkStart w:id="531" w:name="Tc_sn72ZJWeu0m4CZvJyTQFOQ_10_5"/>
      <w:bookmarkStart w:id="532" w:name="Tc_UPKgGEPaqEGGn4DI8YmBHQ_10_2"/>
      <w:bookmarkStart w:id="533" w:name="Tc_PN_O3Dt5rUmBQO3E1VW0sQ_10_0"/>
      <w:bookmarkStart w:id="534" w:name="Tc_t2iatJt5hUGWmnZ_vXXcRg_9_14"/>
      <w:bookmarkStart w:id="535" w:name="Tc_WdrPlWO-eEe7nr2HDAqhaw_9_11"/>
      <w:bookmarkStart w:id="536" w:name="Tc_ajE2ZiAzCUuvGOqzHndwXA_9_0"/>
      <w:bookmarkStart w:id="537" w:name="Tc_x8J7yQPsqk-btgR16CcPkw_8_14"/>
      <w:bookmarkStart w:id="538" w:name="Tc_AvitbTL7EkWA0V9wS6MGOQ_8_11"/>
      <w:bookmarkStart w:id="539" w:name="Tc_fU11GkM5hEax7mLYQb1CYg_8_8"/>
      <w:bookmarkStart w:id="540" w:name="Tc_NYv6hIWN-kyfmhtMASdZTg_8_5"/>
      <w:bookmarkStart w:id="541" w:name="Tc_LoBoJ_ofKUW3l6puVMMZPA_8_0"/>
      <w:bookmarkStart w:id="542" w:name="Tc_SnSpg4W2EkeymEY_e-8TkA_7_14"/>
      <w:bookmarkStart w:id="543" w:name="Tc_uJYwGuTtKkuYe4euH2mFww_7_11"/>
      <w:bookmarkStart w:id="544" w:name="Tc_5J9RoLhM2ESzOUySa1xZrQ_7_8"/>
      <w:bookmarkStart w:id="545" w:name="Tc_1Nh7UR8Q-ka2k0PRO6XXKA_7_5"/>
      <w:bookmarkStart w:id="546" w:name="Tc_tBWKYB6UOku3mgvbtKJBJQ_7_0"/>
      <w:bookmarkStart w:id="547" w:name="Tc_0rceAqd6bkyCP_w6vd0Hvg_6_14"/>
      <w:bookmarkStart w:id="548" w:name="Tc_H3E2KQtuFkO0WreqkHJ5ow_6_11"/>
      <w:bookmarkStart w:id="549" w:name="Tc_QE_oF4aFI0SzZj3WFWDAHA_6_5"/>
      <w:bookmarkStart w:id="550" w:name="Tc_jDYFcBPS-kW_8N1Oqh4EwA_6_0"/>
      <w:bookmarkStart w:id="551" w:name="Tc_cLHdhd3P-UCgBCm73d1AkQ_5_16"/>
      <w:bookmarkStart w:id="552" w:name="Tc_7qL0jjyNAEy1BPkXzZDGsQ_5_13"/>
      <w:bookmarkStart w:id="553" w:name="Tc_wrYIYmE3T069qu-iKngCJg_5_10"/>
      <w:bookmarkStart w:id="554" w:name="Tc_o10NmuZPnkabFbiFE8rIGw_5_7"/>
      <w:bookmarkStart w:id="555" w:name="Tc_0UJkbd8JY0qc8gIBO04t8Q_5_4"/>
      <w:bookmarkStart w:id="556" w:name="Tc_LpOUNlCn5kSWn02h_qucUg_5_0"/>
      <w:bookmarkStart w:id="557" w:name="Tc_5Prc9khzYU-a_12PqSItEw_4_16"/>
      <w:bookmarkStart w:id="558" w:name="Tc_D7U9GrRCc0C6vs2LqUmu9w_4_13"/>
      <w:bookmarkStart w:id="559" w:name="Tc_bDG4mUr3P0KKN66r1l_99Q_4_10"/>
      <w:bookmarkStart w:id="560" w:name="Tc_gt2zT0pIS0OcPvJGUSa2oQ_4_7"/>
      <w:bookmarkStart w:id="561" w:name="Tc_iRUSXaTijEizJHag8TUd1Q_4_4"/>
      <w:bookmarkStart w:id="562" w:name="Tc_1uogBKzwj0ue3gmpk8xOdg_4_2"/>
      <w:bookmarkStart w:id="563" w:name="Tc_ul9Za9Ps6kWhbmoZuM8QAg_4_0"/>
      <w:bookmarkStart w:id="564" w:name="Tc_cgu9eXQRlUqSHf5JBk9zMA_3_16"/>
      <w:bookmarkStart w:id="565" w:name="Tc_1FWGKs_bAkWsXgZoIUknUw_3_13"/>
      <w:bookmarkStart w:id="566" w:name="Tc_VoiFEiAfoUO7_vVQE-VehA_3_10"/>
      <w:bookmarkStart w:id="567" w:name="Tc__fTB2q1Mu0C_5ugoE1eF6w_3_7"/>
      <w:bookmarkStart w:id="568" w:name="Tc_Jt2HFhccJUOVVZHVtrRWUg_3_2"/>
      <w:bookmarkStart w:id="569" w:name="Tc_xwfttQZ4PkqVRC7-Az87oQ_2_16"/>
      <w:bookmarkStart w:id="570" w:name="Tc_J_AZ84q1L0SAnHg3FHeWRQ_2_10"/>
      <w:bookmarkStart w:id="571" w:name="Tc_YQ9lnZvUd0auHD6z3uIfbg_2_7"/>
      <w:bookmarkStart w:id="572" w:name="Tc_dlLE6UgOQ0K6K_xtsEMZCQ_1_10"/>
      <w:bookmarkStart w:id="573" w:name="_912c3776_8561_493c_9f75_46bf45b2819d"/>
      <w:bookmarkStart w:id="574" w:name="Tc_qRaD5J47bkCvrjzW7oh_HA_14_16"/>
      <w:bookmarkStart w:id="575" w:name="Tc_gWuU3QQsEUm11MNFD4Afqw_14_13"/>
      <w:bookmarkStart w:id="576" w:name="Tc_QibRYU9LWkCK2AYgjWABOA_14_10"/>
      <w:bookmarkStart w:id="577" w:name="Tc_jw1b2NA_4EqkRPG4Rm9bAw_14_7"/>
      <w:bookmarkStart w:id="578" w:name="Tc_CXVEt04nUUyublfmEAyqZg_14_4"/>
      <w:bookmarkStart w:id="579" w:name="Tc_Heczw1Ak80WsS3xkeKzMEw_14_0"/>
      <w:bookmarkStart w:id="580" w:name="Tc_oMDRxO27pU-m5Q8j1CbeLQ_13_11"/>
      <w:bookmarkStart w:id="581" w:name="Tc_bMEQb0Kmm0S8s9r7BMDNnw_13_8"/>
      <w:bookmarkStart w:id="582" w:name="Tc_DvY9v2QJUUWouEtSxzWrkQ_13_5"/>
      <w:bookmarkStart w:id="583" w:name="Tc_yXRkHku2RE6hlFng-WJCzQ_13_2"/>
      <w:bookmarkStart w:id="584" w:name="Tc_eMwWVRbRZ0iHBuVxgBKuzQ_13_0"/>
      <w:bookmarkStart w:id="585" w:name="Tc_JZ35HpxLtEK0ZLeOVoGNKw_12_14"/>
      <w:bookmarkStart w:id="586" w:name="Tc_0n4dXJUEwkScpwsH8-SVsQ_12_8"/>
      <w:bookmarkStart w:id="587" w:name="Tc_37uFCJWRHEu0hafW3eX2Yw_12_5"/>
      <w:bookmarkStart w:id="588" w:name="Tc_3lIHeYv6QUiFza8NO7_cFg_12_2"/>
      <w:bookmarkStart w:id="589" w:name="Tc_hFiVnyS0UEqsSEZuE2Wytw_12_0"/>
      <w:bookmarkStart w:id="590" w:name="Tc_3iBDlWFqxEuxHplhZPXw5Q_11_14"/>
      <w:bookmarkStart w:id="591" w:name="Tc_f7TPU70wMUivtoes3nDVFw_11_8"/>
      <w:bookmarkStart w:id="592" w:name="Tc_ujBzKazkN0Sn32QT2fJdbg_11_5"/>
      <w:bookmarkStart w:id="593" w:name="Tc_X5Yu8ogkKkCOfUU_HGvflg_11_2"/>
      <w:bookmarkStart w:id="594" w:name="Tc_veNY3rfmGE2hREK1FdvfqQ_11_0"/>
      <w:bookmarkStart w:id="595" w:name="Tc_J8P_48D6EUG4I792_kPFuw_10_14"/>
      <w:bookmarkStart w:id="596" w:name="Tc_eYpj1incxkaUBiqy_8FdXA_10_11"/>
      <w:bookmarkStart w:id="597" w:name="Tc_sn72ZJWeu0m4CZvJyTQFOQ_10_5"/>
      <w:bookmarkStart w:id="598" w:name="Tc_UPKgGEPaqEGGn4DI8YmBHQ_10_2"/>
      <w:bookmarkStart w:id="599" w:name="Tc_PN_O3Dt5rUmBQO3E1VW0sQ_10_0"/>
      <w:bookmarkStart w:id="600" w:name="Tc_t2iatJt5hUGWmnZ_vXXcRg_9_14"/>
      <w:bookmarkStart w:id="601" w:name="Tc_WdrPlWO-eEe7nr2HDAqhaw_9_11"/>
      <w:bookmarkStart w:id="602" w:name="Tc_ajE2ZiAzCUuvGOqzHndwXA_9_0"/>
      <w:bookmarkStart w:id="603" w:name="Tc_x8J7yQPsqk-btgR16CcPkw_8_14"/>
      <w:bookmarkStart w:id="604" w:name="Tc_AvitbTL7EkWA0V9wS6MGOQ_8_11"/>
      <w:bookmarkStart w:id="605" w:name="Tc_fU11GkM5hEax7mLYQb1CYg_8_8"/>
      <w:bookmarkStart w:id="606" w:name="Tc_NYv6hIWN-kyfmhtMASdZTg_8_5"/>
      <w:bookmarkStart w:id="607" w:name="Tc_LoBoJ_ofKUW3l6puVMMZPA_8_0"/>
      <w:bookmarkStart w:id="608" w:name="Tc_SnSpg4W2EkeymEY_e-8TkA_7_14"/>
      <w:bookmarkStart w:id="609" w:name="Tc_uJYwGuTtKkuYe4euH2mFww_7_11"/>
      <w:bookmarkStart w:id="610" w:name="Tc_5J9RoLhM2ESzOUySa1xZrQ_7_8"/>
      <w:bookmarkStart w:id="611" w:name="Tc_1Nh7UR8Q-ka2k0PRO6XXKA_7_5"/>
      <w:bookmarkStart w:id="612" w:name="Tc_tBWKYB6UOku3mgvbtKJBJQ_7_0"/>
      <w:bookmarkStart w:id="613" w:name="Tc_0rceAqd6bkyCP_w6vd0Hvg_6_14"/>
      <w:bookmarkStart w:id="614" w:name="Tc_H3E2KQtuFkO0WreqkHJ5ow_6_11"/>
      <w:bookmarkStart w:id="615" w:name="Tc_QE_oF4aFI0SzZj3WFWDAHA_6_5"/>
      <w:bookmarkStart w:id="616" w:name="Tc_jDYFcBPS-kW_8N1Oqh4EwA_6_0"/>
      <w:bookmarkStart w:id="617" w:name="Tc_cLHdhd3P-UCgBCm73d1AkQ_5_16"/>
      <w:bookmarkStart w:id="618" w:name="Tc_7qL0jjyNAEy1BPkXzZDGsQ_5_13"/>
      <w:bookmarkStart w:id="619" w:name="Tc_wrYIYmE3T069qu-iKngCJg_5_10"/>
      <w:bookmarkStart w:id="620" w:name="Tc_o10NmuZPnkabFbiFE8rIGw_5_7"/>
      <w:bookmarkStart w:id="621" w:name="Tc_0UJkbd8JY0qc8gIBO04t8Q_5_4"/>
      <w:bookmarkStart w:id="622" w:name="Tc_LpOUNlCn5kSWn02h_qucUg_5_0"/>
      <w:bookmarkStart w:id="623" w:name="Tc_5Prc9khzYU-a_12PqSItEw_4_16"/>
      <w:bookmarkStart w:id="624" w:name="Tc_D7U9GrRCc0C6vs2LqUmu9w_4_13"/>
      <w:bookmarkStart w:id="625" w:name="Tc_bDG4mUr3P0KKN66r1l_99Q_4_10"/>
      <w:bookmarkStart w:id="626" w:name="Tc_gt2zT0pIS0OcPvJGUSa2oQ_4_7"/>
      <w:bookmarkStart w:id="627" w:name="Tc_iRUSXaTijEizJHag8TUd1Q_4_4"/>
      <w:bookmarkStart w:id="628" w:name="Tc_1uogBKzwj0ue3gmpk8xOdg_4_2"/>
      <w:bookmarkStart w:id="629" w:name="Tc_ul9Za9Ps6kWhbmoZuM8QAg_4_0"/>
      <w:bookmarkStart w:id="630" w:name="Tc_cgu9eXQRlUqSHf5JBk9zMA_3_16"/>
      <w:bookmarkStart w:id="631" w:name="Tc_1FWGKs_bAkWsXgZoIUknUw_3_13"/>
      <w:bookmarkStart w:id="632" w:name="Tc_VoiFEiAfoUO7_vVQE-VehA_3_10"/>
      <w:bookmarkStart w:id="633" w:name="Tc__fTB2q1Mu0C_5ugoE1eF6w_3_7"/>
      <w:bookmarkStart w:id="634" w:name="Tc_Jt2HFhccJUOVVZHVtrRWUg_3_2"/>
      <w:bookmarkStart w:id="635" w:name="Tc_xwfttQZ4PkqVRC7-Az87oQ_2_16"/>
      <w:bookmarkStart w:id="636" w:name="Tc_J_AZ84q1L0SAnHg3FHeWRQ_2_10"/>
      <w:bookmarkStart w:id="637" w:name="Tc_YQ9lnZvUd0auHD6z3uIfbg_2_7"/>
      <w:bookmarkStart w:id="638" w:name="Tc_dlLE6UgOQ0K6K_xtsEMZCQ_1_10"/>
      <w:bookmarkStart w:id="639" w:name="_912c3776_8561_493c_9f75_46bf45b2819d"/>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tbl>
      <w:tblPr>
        <w:tblW w:w="5087" w:type="dxa"/>
        <w:jc w:val="left"/>
        <w:tblInd w:w="0" w:type="dxa"/>
        <w:tblLayout w:type="fixed"/>
        <w:tblCellMar>
          <w:top w:w="0" w:type="dxa"/>
          <w:left w:w="0" w:type="dxa"/>
          <w:bottom w:w="0" w:type="dxa"/>
          <w:right w:w="0" w:type="dxa"/>
        </w:tblCellMar>
      </w:tblPr>
      <w:tblGrid>
        <w:gridCol w:w="271"/>
        <w:gridCol w:w="481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48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STOCKHOLDERS’ EQUITY(DEFICIT)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reconciliation of the changes in stockholders’ equity (deficit) is as follows: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2023:</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79"/>
        <w:gridCol w:w="326"/>
        <w:gridCol w:w="781"/>
        <w:gridCol w:w="326"/>
        <w:gridCol w:w="261"/>
        <w:gridCol w:w="430"/>
        <w:gridCol w:w="326"/>
        <w:gridCol w:w="211"/>
        <w:gridCol w:w="781"/>
        <w:gridCol w:w="326"/>
        <w:gridCol w:w="460"/>
        <w:gridCol w:w="756"/>
        <w:gridCol w:w="326"/>
        <w:gridCol w:w="211"/>
        <w:gridCol w:w="852"/>
        <w:gridCol w:w="326"/>
        <w:gridCol w:w="235"/>
        <w:gridCol w:w="992"/>
      </w:tblGrid>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5735" cy="175260"/>
                      <wp:effectExtent l="0" t="0" r="0" b="0"/>
                      <wp:wrapNone/>
                      <wp:docPr id="69" name="Frame6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73050" cy="175260"/>
                      <wp:effectExtent l="0" t="0" r="0" b="0"/>
                      <wp:wrapNone/>
                      <wp:docPr id="70" name="Frame70"/>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92100" cy="175260"/>
                      <wp:effectExtent l="0" t="0" r="0" b="0"/>
                      <wp:wrapNone/>
                      <wp:docPr id="75" name="Frame75"/>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80060" cy="175260"/>
                      <wp:effectExtent l="0" t="0" r="0" b="0"/>
                      <wp:wrapNone/>
                      <wp:docPr id="76" name="Frame7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41020" cy="175260"/>
                      <wp:effectExtent l="0" t="0" r="0" b="0"/>
                      <wp:wrapNone/>
                      <wp:docPr id="79" name="Frame79"/>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49225" cy="175260"/>
                      <wp:effectExtent l="0" t="0" r="0" b="0"/>
                      <wp:wrapNone/>
                      <wp:docPr id="81" name="Frame8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29920" cy="175260"/>
                      <wp:effectExtent l="0" t="0" r="0" b="0"/>
                      <wp:wrapNone/>
                      <wp:docPr id="82" name="Frame82"/>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pPr>
            <w:r>
              <w:rPr/>
              <w:t>​</w:t>
            </w:r>
          </w:p>
        </w:tc>
      </w:tr>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6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129,171</w:t>
            </w:r>
          </w:p>
        </w:tc>
        <w:tc>
          <w:tcPr>
            <w:tcW w:w="326"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431,466</w:t>
            </w:r>
          </w:p>
        </w:tc>
        <w:tc>
          <w:tcPr>
            <w:tcW w:w="326" w:type="dxa"/>
            <w:tcBorders/>
            <w:shd w:fill="CCEEFF" w:val="clear"/>
            <w:vAlign w:val="center"/>
          </w:tcPr>
          <w:p>
            <w:pPr>
              <w:pStyle w:val="TableContents"/>
              <w:bidi w:val="0"/>
              <w:spacing w:before="0" w:after="0"/>
              <w:ind w:left="0" w:right="0" w:hanging="0"/>
              <w:jc w:val="center"/>
              <w:rPr/>
            </w:pPr>
            <w:r>
              <w:rPr/>
              <w:t>​</w:t>
            </w:r>
          </w:p>
        </w:tc>
        <w:tc>
          <w:tcPr>
            <w:tcW w:w="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(302,006)</w:t>
            </w:r>
          </w:p>
        </w:tc>
        <w:tc>
          <w:tcPr>
            <w:tcW w:w="326" w:type="dxa"/>
            <w:tcBorders/>
            <w:shd w:fill="CCEEFF" w:val="clear"/>
            <w:vAlign w:val="center"/>
          </w:tcPr>
          <w:p>
            <w:pPr>
              <w:pStyle w:val="TableContents"/>
              <w:bidi w:val="0"/>
              <w:spacing w:before="0" w:after="0"/>
              <w:ind w:left="0" w:right="0" w:hanging="0"/>
              <w:jc w:val="center"/>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129,466</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center"/>
              <w:rPr/>
            </w:pPr>
            <w:r>
              <w:rPr/>
              <w:t>​</w:t>
            </w:r>
          </w:p>
        </w:tc>
        <w:tc>
          <w:tcPr>
            <w:tcW w:w="460" w:type="dxa"/>
            <w:tcBorders/>
            <w:vAlign w:val="center"/>
          </w:tcPr>
          <w:p>
            <w:pPr>
              <w:pStyle w:val="TableContents"/>
              <w:bidi w:val="0"/>
              <w:spacing w:before="0" w:after="0"/>
              <w:ind w:left="0" w:right="0" w:hanging="0"/>
              <w:jc w:val="center"/>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5"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pPr>
            <w:r>
              <w:rPr/>
              <w:t>—</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vAlign w:val="center"/>
          </w:tcPr>
          <w:p>
            <w:pPr>
              <w:pStyle w:val="TableContents"/>
              <w:bidi w:val="0"/>
              <w:spacing w:before="0" w:after="0"/>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118,362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640" w:name="Tc_Ut1h2NxIDEm6PMJtM3bw1A_15_16"/>
      <w:bookmarkStart w:id="641" w:name="Tc_w2kyPPNlfU2QhRE136DyJw_15_13"/>
      <w:bookmarkStart w:id="642" w:name="Tc_kRQKxUhEz0aMjhZtefQwLQ_15_10"/>
      <w:bookmarkStart w:id="643" w:name="Tc_yVuNjXQmiUicGZ6G-2qoJQ_15_7"/>
      <w:bookmarkStart w:id="644" w:name="Tc_HF24Ds1DZUiiwfGPlWAAng_15_4"/>
      <w:bookmarkStart w:id="645" w:name="Tc__hG__mbCbUiBLy2wcYistw_15_0"/>
      <w:bookmarkStart w:id="646" w:name="Tc_-WiYCCswl0OFNgkhrvF1ig_14_11"/>
      <w:bookmarkStart w:id="647" w:name="Tc_TrcyJcHrBE6yG_EQ_Ius5w_14_8"/>
      <w:bookmarkStart w:id="648" w:name="Tc_Qpf8uefdZUCbtQhPxe9L4g_14_5"/>
      <w:bookmarkStart w:id="649" w:name="Tc_omyzF03D-USPKRvwVKhaCQ_14_2"/>
      <w:bookmarkStart w:id="650" w:name="Tc_lY69soDbeUma4JCGeQLYnw_14_0"/>
      <w:bookmarkStart w:id="651" w:name="Tc_SQp79ZsnnkujQJ9Zpz6zAQ_13_14"/>
      <w:bookmarkStart w:id="652" w:name="Tc_84cx3mllC0WzsLa0RQIhAA_13_8"/>
      <w:bookmarkStart w:id="653" w:name="Tc_DCv-uPkaNkK4TgoFXEWGNQ_13_5"/>
      <w:bookmarkStart w:id="654" w:name="Tc_c4i91nbLNUe6dqHLOK5WAg_13_2"/>
      <w:bookmarkStart w:id="655" w:name="Tc_sHp5zuGsqk-X8mS_3J93fw_13_0"/>
      <w:bookmarkStart w:id="656" w:name="Tc_xF_cZHATvkKW76KOT9aMUg_12_14"/>
      <w:bookmarkStart w:id="657" w:name="Tc_ufrzVO-SoUan4I5Pb_RCzQ_12_11"/>
      <w:bookmarkStart w:id="658" w:name="Tc_CGPPolHCFUKUJdrKT1B7ow_12_5"/>
      <w:bookmarkStart w:id="659" w:name="Tc_JB8LpSdQ206KdIJtPYlZ2g_12_2"/>
      <w:bookmarkStart w:id="660" w:name="Tc_mUhbU4zoKUqpM00-qdlOfg_12_0"/>
      <w:bookmarkStart w:id="661" w:name="Tc_lE6lX6Fn9Ey33KQNhqrLqQ_11_14"/>
      <w:bookmarkStart w:id="662" w:name="Tc_jqUo3HhJLE-Lj_g3kYYQew_11_11"/>
      <w:bookmarkStart w:id="663" w:name="Tc_jUmTIjpuikac2zSkwCtDLQ_11_5"/>
      <w:bookmarkStart w:id="664" w:name="Tc_lc-BWPusi0u8SzTCdIz0iQ_11_2"/>
      <w:bookmarkStart w:id="665" w:name="Tc_BPC49hZjBUqIQaNtGscItg_11_0"/>
      <w:bookmarkStart w:id="666" w:name="Tc_AsNkqWpePEmQ0t_68TQXjA_10_14"/>
      <w:bookmarkStart w:id="667" w:name="Tc_bvl_Vk92pUS-BZrG96OSpQ_10_11"/>
      <w:bookmarkStart w:id="668" w:name="Tc_vxbPfUh3ME2Aow50N2YuRQ_10_5"/>
      <w:bookmarkStart w:id="669" w:name="Tc_MG-u7aQvCkyGYokLQ2LF9w_10_2"/>
      <w:bookmarkStart w:id="670" w:name="Tc_JvduOHcRyUG40z4onGgc1w_10_0"/>
      <w:bookmarkStart w:id="671" w:name="Tc_tmLdIFSHVEyyOk2emQS-fQ_9_14"/>
      <w:bookmarkStart w:id="672" w:name="Tc_FjPQ7HMOR0aylhcwJye5Eg_9_11"/>
      <w:bookmarkStart w:id="673" w:name="Tc_eo2lEADR0USMUr4A7y2Vkg_9_5"/>
      <w:bookmarkStart w:id="674" w:name="Tc_02Y-leSqAUKCu45s5TwJpg_9_2"/>
      <w:bookmarkStart w:id="675" w:name="Tc_nILE9NnKFEGQt7zrrjmyiA_9_0"/>
      <w:bookmarkStart w:id="676" w:name="Tc_D7527g0_2Um0-MQ-K1HPRQ_8_17"/>
      <w:bookmarkStart w:id="677" w:name="Tc_QgfGZt9e7kipgQiS22j1Sg_8_14"/>
      <w:bookmarkStart w:id="678" w:name="Tc_5jAgfZChUEChPSAileVxLA_8_11"/>
      <w:bookmarkStart w:id="679" w:name="Tc_OiJaTn75GkuglEg3YqzQQA_8_8"/>
      <w:bookmarkStart w:id="680" w:name="Tc_D-hdGH-Zw0i3SuCaGUhRPA_8_5"/>
      <w:bookmarkStart w:id="681" w:name="Tc_ubtR-f3APUKAixkRdTUhFw_8_0"/>
      <w:bookmarkStart w:id="682" w:name="Tc_TmkSUO4iPkuMmmBImfmoMw_7_14"/>
      <w:bookmarkStart w:id="683" w:name="Tc_qcerPmRHqEyqmZPR5khm5A_7_11"/>
      <w:bookmarkStart w:id="684" w:name="Tc_RljC0nbiKUm2NDGl5Dij5w_7_5"/>
      <w:bookmarkStart w:id="685" w:name="Tc_64OdfjzWkUunRrJe0r8jDA_7_0"/>
      <w:bookmarkStart w:id="686" w:name="Tc_Jy5QykaBKkC9u98f80dFew_6_14"/>
      <w:bookmarkStart w:id="687" w:name="Tc_8pnUpj1cUU-vpb7LbSVzFA_6_11"/>
      <w:bookmarkStart w:id="688" w:name="Tc_HjJhc0jfs0uvUSp4kAFheg_6_5"/>
      <w:bookmarkStart w:id="689" w:name="Tc_kSXSQTXKGUqqgY2bp1KIgw_6_0"/>
      <w:bookmarkStart w:id="690" w:name="Tc_hJAFQsXtnkS3OE_qJzhylQ_5_16"/>
      <w:bookmarkStart w:id="691" w:name="Tc_jD9fmTUnO0uN8nKZIKuDNA_5_13"/>
      <w:bookmarkStart w:id="692" w:name="Tc_PQVHPFVlh0GoYdClRPId5A_5_10"/>
      <w:bookmarkStart w:id="693" w:name="Tc_KH4g2YSey0Owwf3qmlGg0w_5_7"/>
      <w:bookmarkStart w:id="694" w:name="Tc_HyN5LKHL7EKC4rRKUhUU-A_5_4"/>
      <w:bookmarkStart w:id="695" w:name="Tc_wYiPXE0o9UCJl_dz6MdFwQ_5_0"/>
      <w:bookmarkStart w:id="696" w:name="Tc_pc92O2c3cEOS8k7Q7Koa3g_4_16"/>
      <w:bookmarkStart w:id="697" w:name="Tc_hnthkgb59kyUTgNbfc380g_4_13"/>
      <w:bookmarkStart w:id="698" w:name="Tc_fHGzAcDHS0K85D7_VkcMTA_4_10"/>
      <w:bookmarkStart w:id="699" w:name="Tc_zse1QiIaokGzAYUVqlH7tA_4_7"/>
      <w:bookmarkStart w:id="700" w:name="Tc_RuenvFQX-Eu6hRvA34P8Fg_4_4"/>
      <w:bookmarkStart w:id="701" w:name="Tc_CWHXvkgnAE--YCCRu7HbGg_4_2"/>
      <w:bookmarkStart w:id="702" w:name="Tc_ImFSrtL770WnhqkRAq6vwA_4_0"/>
      <w:bookmarkStart w:id="703" w:name="Tc_hLkI0ja_RUmG1wj62GV6Gg_3_16"/>
      <w:bookmarkStart w:id="704" w:name="Tc_aN1sXxRv_k6UBdCgbr3OHw_3_13"/>
      <w:bookmarkStart w:id="705" w:name="Tc_xTXKeUs1VkefHymY2KQl1Q_3_10"/>
      <w:bookmarkStart w:id="706" w:name="Tc_tdRx4TSukk2IPLyEJbsFcQ_3_7"/>
      <w:bookmarkStart w:id="707" w:name="Tc_YKCnxRYshU2Ov9dkKtkSVw_3_2"/>
      <w:bookmarkStart w:id="708" w:name="Tc_rI1UJXfK9UGP5xAXt-S_wg_2_16"/>
      <w:bookmarkStart w:id="709" w:name="Tc_0dl9IHxQg0qDnN630s7xPA_2_10"/>
      <w:bookmarkStart w:id="710" w:name="Tc_1KPuqhjUSkerMUaLhYirdw_2_7"/>
      <w:bookmarkStart w:id="711" w:name="Tc_zC9JmGQJRUaVObQuBQXHgA_1_10"/>
      <w:bookmarkStart w:id="712" w:name="_f336b59f_50c8_4c33_a943_65e678648670"/>
      <w:bookmarkStart w:id="713" w:name="Tc_3yK6r3h2XUauFZfTkuCblA_15_16"/>
      <w:bookmarkStart w:id="714" w:name="Tc_AG_L_BhPI0SsTk1k_ZQPZg_15_13"/>
      <w:bookmarkStart w:id="715" w:name="Tc_Hyc4AIKQlkC5l5KzFUnTLg_15_10"/>
      <w:bookmarkStart w:id="716" w:name="Tc_2FU68vvSn02JqkrVj52ttQ_15_7"/>
      <w:bookmarkStart w:id="717" w:name="Tc_TEi-L4vx1EWMx0OErkfY5Q_15_4"/>
      <w:bookmarkStart w:id="718" w:name="Tc_sgTB28WKaU-sFhtFuhrtTg_15_0"/>
      <w:bookmarkStart w:id="719" w:name="Tc_tjDo2BowWEGq7KEKJnWNQw_14_11"/>
      <w:bookmarkStart w:id="720" w:name="Tc_cSNvEpapUE26gG21El9Sew_14_8"/>
      <w:bookmarkStart w:id="721" w:name="Tc_8LgabwJRvUyYqjvei4AX3w_14_5"/>
      <w:bookmarkStart w:id="722" w:name="Tc_JKZthGZ12kGcecDsW70KAA_14_2"/>
      <w:bookmarkStart w:id="723" w:name="Tc_oyZaNfqsa02w7r_44tKO8A_14_0"/>
      <w:bookmarkStart w:id="724" w:name="Tc_BLuVTFrzWE6IYYkz3Urwdw_13_14"/>
      <w:bookmarkStart w:id="725" w:name="Tc_oXv3LrcV0kmogx9N0UQsIw_13_8"/>
      <w:bookmarkStart w:id="726" w:name="Tc_KRsvVXwuok-VTimMIz2zwQ_13_5"/>
      <w:bookmarkStart w:id="727" w:name="Tc_5Z6NCa9Ro0mCgBPmXOyyGw_13_2"/>
      <w:bookmarkStart w:id="728" w:name="Tc_QHaT2VBHiUq5FrvIlCTN9w_13_0"/>
      <w:bookmarkStart w:id="729" w:name="Tc_T7BKUNwtskOKh6JzIJAm3A_12_14"/>
      <w:bookmarkStart w:id="730" w:name="Tc_H1D2-XFeKUeepwPayo8WJA_12_8"/>
      <w:bookmarkStart w:id="731" w:name="Tc_i2EipUkSfUW4t-GLQy9tJw_12_5"/>
      <w:bookmarkStart w:id="732" w:name="Tc_eZ2V_TaJj0ShwUbGMajh_Q_12_2"/>
      <w:bookmarkStart w:id="733" w:name="Tc_PGwdznbYZUa2Nq_Sizvfkg_12_0"/>
      <w:bookmarkStart w:id="734" w:name="Tc_ZGMU77T8XkGiq-38wV6Ywg_11_14"/>
      <w:bookmarkStart w:id="735" w:name="Tc_kI-83Y9QZECQGiS51Aukag_11_11"/>
      <w:bookmarkStart w:id="736" w:name="Tc_hcqG6E3nkEeNy0jQdnVN0w_11_5"/>
      <w:bookmarkStart w:id="737" w:name="Tc_vSITqszIQke_jeucI0etSg_11_2"/>
      <w:bookmarkStart w:id="738" w:name="Tc_YmQ3uenMd0WOI8tQ3_HKhQ_11_0"/>
      <w:bookmarkStart w:id="739" w:name="Tc_3R-T4BHR302EYwrP5CdkZA_10_14"/>
      <w:bookmarkStart w:id="740" w:name="Tc_AeqVM1Lbzk6-2-H-CLqjKg_10_11"/>
      <w:bookmarkStart w:id="741" w:name="Tc_7ZDJiboYK02JuGAv8ABb0w_10_5"/>
      <w:bookmarkStart w:id="742" w:name="Tc_ZEsAV_NqvEiUAFXHzQoMjg_10_2"/>
      <w:bookmarkStart w:id="743" w:name="Tc_5ZyShGcoBEeBdZr2n3_dWw_10_0"/>
      <w:bookmarkStart w:id="744" w:name="Tc_dCDFrAl8oUGcmzMWEby-jw_9_14"/>
      <w:bookmarkStart w:id="745" w:name="Tc_AMmOEE9hXEO4K-5yt6F70g_9_11"/>
      <w:bookmarkStart w:id="746" w:name="Tc_mSR2uCd4d0alzbjwxyDwyA_9_0"/>
      <w:bookmarkStart w:id="747" w:name="Tc_rNEUvPGw80ikBlcO1U-95w_8_17"/>
      <w:bookmarkStart w:id="748" w:name="Tc_QZsE2wWzhkuAQVXb4aDRsA_8_14"/>
      <w:bookmarkStart w:id="749" w:name="Tc_Nd2YnQMChkS5TyDhAVa9LA_8_11"/>
      <w:bookmarkStart w:id="750" w:name="Tc_CVuE8FD6AEWB_WKJX9c6xg_8_8"/>
      <w:bookmarkStart w:id="751" w:name="Tc_UW_Vdr0Ni0yJX2mI5WlNIg_8_5"/>
      <w:bookmarkStart w:id="752" w:name="Tc_cD3ApKbc00-vRc2Uhz0UyA_8_0"/>
      <w:bookmarkStart w:id="753" w:name="Tc_bLAHQJGxnEGGdxo77tWjvQ_7_0"/>
      <w:bookmarkStart w:id="754" w:name="Tc_aOpZu-u98UWxooWPuayGdA_6_14"/>
      <w:bookmarkStart w:id="755" w:name="Tc_JsVFdQY4FEClt_YBtR6uDw_6_11"/>
      <w:bookmarkStart w:id="756" w:name="Tc_o5ftnsP45kSkjN7p2TIfAA_6_5"/>
      <w:bookmarkStart w:id="757" w:name="Tc_UwiauxgSxEqeEheAUWKsTw_6_0"/>
      <w:bookmarkStart w:id="758" w:name="Tc_XYlJJb9ZaUGYFCMrPZaCKw_5_16"/>
      <w:bookmarkStart w:id="759" w:name="Tc_8oW0sDLmEkiPRLT5pcAhvw_5_13"/>
      <w:bookmarkStart w:id="760" w:name="Tc_U73O6C_tbUq9Zt2ZAm9r6Q_5_10"/>
      <w:bookmarkStart w:id="761" w:name="Tc_ymycGIBP9ECS0RCOxy4vbQ_5_7"/>
      <w:bookmarkStart w:id="762" w:name="Tc_jQazKZt3JUKej9Shsa_LsQ_5_4"/>
      <w:bookmarkStart w:id="763" w:name="Tc_s4DDGTSRO0iU8CWfQbPZ-Q_5_0"/>
      <w:bookmarkStart w:id="764" w:name="Tc_897VNLYudEGQGloKTX9S9w_4_16"/>
      <w:bookmarkStart w:id="765" w:name="Tc_P7GLZ1hMx0yUlMK_D4WNeA_4_13"/>
      <w:bookmarkStart w:id="766" w:name="Tc_7m670aBRpUGX8SOZw9C59w_4_10"/>
      <w:bookmarkStart w:id="767" w:name="Tc_jYbQKx2dJ0SFYZLeAkxRrg_4_7"/>
      <w:bookmarkStart w:id="768" w:name="Tc_ClV8OOAxL0W0DtmtNCjUQw_4_4"/>
      <w:bookmarkStart w:id="769" w:name="Tc_brYRQ7bMSk-bO4t0NsTv3Q_4_2"/>
      <w:bookmarkStart w:id="770" w:name="Tc_smxxnjnrLkWvoWw2Lcxfzg_4_0"/>
      <w:bookmarkStart w:id="771" w:name="Tc_LyU3ugV_cE6Qxv86Ag3Hzg_3_16"/>
      <w:bookmarkStart w:id="772" w:name="Tc_nQFdTOfS00uw52QgaF7FCw_3_13"/>
      <w:bookmarkStart w:id="773" w:name="Tc_XrfOE0vciEquzKwLzD6GTA_3_10"/>
      <w:bookmarkStart w:id="774" w:name="Tc_CMAmtOhbAkaOU47BYNcKCQ_3_7"/>
      <w:bookmarkStart w:id="775" w:name="Tc_CBPmJBVDhUil5MKdD0TkSg_3_2"/>
      <w:bookmarkStart w:id="776" w:name="Tc_9GpPCZsdVkKE8KlxRrLZog_2_16"/>
      <w:bookmarkStart w:id="777" w:name="Tc_rkWspjT8bUe1E0K7o5miog_2_10"/>
      <w:bookmarkStart w:id="778" w:name="Tc_qm6tV3W0YEyhdlwffIqSTA_2_7"/>
      <w:bookmarkStart w:id="779" w:name="Tc_xgFDf3kU40KhmbRWvqashQ_1_10"/>
      <w:bookmarkStart w:id="780" w:name="_0919634a_e378_466a_be74_fa92620bd45c"/>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Pr/>
        <w:t>​</w:t>
      </w:r>
    </w:p>
    <w:tbl>
      <w:tblPr>
        <w:tblW w:w="10205" w:type="dxa"/>
        <w:jc w:val="left"/>
        <w:tblInd w:w="0" w:type="dxa"/>
        <w:tblLayout w:type="fixed"/>
        <w:tblCellMar>
          <w:top w:w="0" w:type="dxa"/>
          <w:left w:w="0" w:type="dxa"/>
          <w:bottom w:w="0" w:type="dxa"/>
          <w:right w:w="0" w:type="dxa"/>
        </w:tblCellMar>
      </w:tblPr>
      <w:tblGrid>
        <w:gridCol w:w="2279"/>
        <w:gridCol w:w="326"/>
        <w:gridCol w:w="781"/>
        <w:gridCol w:w="326"/>
        <w:gridCol w:w="261"/>
        <w:gridCol w:w="430"/>
        <w:gridCol w:w="326"/>
        <w:gridCol w:w="211"/>
        <w:gridCol w:w="781"/>
        <w:gridCol w:w="326"/>
        <w:gridCol w:w="370"/>
        <w:gridCol w:w="846"/>
        <w:gridCol w:w="326"/>
        <w:gridCol w:w="211"/>
        <w:gridCol w:w="852"/>
        <w:gridCol w:w="326"/>
        <w:gridCol w:w="235"/>
        <w:gridCol w:w="992"/>
      </w:tblGrid>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5735" cy="175260"/>
                      <wp:effectExtent l="0" t="0" r="0" b="0"/>
                      <wp:wrapNone/>
                      <wp:docPr id="86" name="Frame8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73050" cy="175260"/>
                      <wp:effectExtent l="0" t="0" r="0" b="0"/>
                      <wp:wrapNone/>
                      <wp:docPr id="87" name="Frame8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4950" cy="175260"/>
                      <wp:effectExtent l="0" t="0" r="0" b="0"/>
                      <wp:wrapNone/>
                      <wp:docPr id="92" name="Frame9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37210" cy="175260"/>
                      <wp:effectExtent l="0" t="0" r="0" b="0"/>
                      <wp:wrapNone/>
                      <wp:docPr id="93" name="Frame9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1020" cy="175260"/>
                      <wp:effectExtent l="0" t="0" r="0" b="0"/>
                      <wp:wrapNone/>
                      <wp:docPr id="96" name="Frame9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9225" cy="175260"/>
                      <wp:effectExtent l="0" t="0" r="0" b="0"/>
                      <wp:wrapNone/>
                      <wp:docPr id="98" name="Frame9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29920" cy="175260"/>
                      <wp:effectExtent l="0" t="0" r="0" b="0"/>
                      <wp:wrapNone/>
                      <wp:docPr id="99" name="Frame99"/>
                      <a:graphic xmlns:a="http://schemas.openxmlformats.org/drawingml/2006/main">
                        <a:graphicData uri="http://schemas.microsoft.com/office/word/2010/wordprocessingShape">
                          <wps:wsp>
                            <wps:cNvSpPr txBox="1"/>
                            <wps:spPr>
                              <a:xfrm>
                                <a:off x="0" y="0"/>
                                <a:ext cx="629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center"/>
              <w:rPr/>
            </w:pPr>
            <w:r>
              <w:rPr/>
              <w:t>​</w:t>
            </w:r>
          </w:p>
        </w:tc>
      </w:tr>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9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06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27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125,257</w:t>
            </w:r>
          </w:p>
        </w:tc>
        <w:tc>
          <w:tcPr>
            <w:tcW w:w="326"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429,025</w:t>
            </w:r>
          </w:p>
        </w:tc>
        <w:tc>
          <w:tcPr>
            <w:tcW w:w="326" w:type="dxa"/>
            <w:tcBorders/>
            <w:shd w:fill="CCEEFF" w:val="clear"/>
            <w:vAlign w:val="center"/>
          </w:tcPr>
          <w:p>
            <w:pPr>
              <w:pStyle w:val="TableContents"/>
              <w:bidi w:val="0"/>
              <w:spacing w:before="0" w:after="0"/>
              <w:ind w:left="0" w:right="0" w:hanging="0"/>
              <w:jc w:val="center"/>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(278,652)</w:t>
            </w:r>
          </w:p>
        </w:tc>
        <w:tc>
          <w:tcPr>
            <w:tcW w:w="326" w:type="dxa"/>
            <w:tcBorders/>
            <w:shd w:fill="CCEEFF" w:val="clear"/>
            <w:vAlign w:val="center"/>
          </w:tcPr>
          <w:p>
            <w:pPr>
              <w:pStyle w:val="TableContents"/>
              <w:bidi w:val="0"/>
              <w:spacing w:before="0" w:after="0"/>
              <w:ind w:left="0" w:right="0" w:hanging="0"/>
              <w:jc w:val="center"/>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326"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center"/>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26" w:type="dxa"/>
            <w:tcBorders/>
            <w:vAlign w:val="center"/>
          </w:tcPr>
          <w:p>
            <w:pPr>
              <w:pStyle w:val="TableContents"/>
              <w:bidi w:val="0"/>
              <w:spacing w:before="0" w:after="0"/>
              <w:ind w:left="0" w:right="0" w:hanging="0"/>
              <w:jc w:val="center"/>
              <w:rPr/>
            </w:pPr>
            <w:r>
              <w:rPr/>
              <w:t>​</w:t>
            </w:r>
          </w:p>
        </w:tc>
        <w:tc>
          <w:tcPr>
            <w:tcW w:w="370" w:type="dxa"/>
            <w:tcBorders/>
            <w:vAlign w:val="center"/>
          </w:tcPr>
          <w:p>
            <w:pPr>
              <w:pStyle w:val="TableContents"/>
              <w:bidi w:val="0"/>
              <w:spacing w:before="0" w:after="0"/>
              <w:ind w:left="0" w:right="0" w:hanging="0"/>
              <w:jc w:val="center"/>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35" w:type="dxa"/>
            <w:tcBorders/>
            <w:vAlign w:val="center"/>
          </w:tcPr>
          <w:p>
            <w:pPr>
              <w:pStyle w:val="TableContents"/>
              <w:bidi w:val="0"/>
              <w:spacing w:before="0" w:after="0"/>
              <w:ind w:left="0" w:right="0" w:hanging="0"/>
              <w:jc w:val="center"/>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restricted stock units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pPr>
            <w:r>
              <w:rPr/>
              <w:t>—</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1,869</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righ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5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right"/>
              <w:rPr/>
            </w:pPr>
            <w:r>
              <w:rPr/>
              <w:t>​</w:t>
            </w:r>
          </w:p>
        </w:tc>
        <w:tc>
          <w:tcPr>
            <w:tcW w:w="9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righ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righ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5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right"/>
              <w:rPr/>
            </w:pPr>
            <w:r>
              <w:rPr/>
              <w:t>​</w:t>
            </w:r>
          </w:p>
        </w:tc>
        <w:tc>
          <w:tcPr>
            <w:tcW w:w="9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0"/>
              <w:ind w:left="0" w:right="0" w:hanging="0"/>
              <w:jc w:val="left"/>
              <w:rPr/>
            </w:pPr>
            <w:r>
              <w:rPr/>
              <w:t> </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r>
      <w:tr>
        <w:trPr/>
        <w:tc>
          <w:tcPr>
            <w:tcW w:w="2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118,362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Six Months Ended June 30, 2022:</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66"/>
        <w:gridCol w:w="326"/>
        <w:gridCol w:w="781"/>
        <w:gridCol w:w="326"/>
        <w:gridCol w:w="335"/>
        <w:gridCol w:w="356"/>
        <w:gridCol w:w="326"/>
        <w:gridCol w:w="211"/>
        <w:gridCol w:w="781"/>
        <w:gridCol w:w="326"/>
        <w:gridCol w:w="460"/>
        <w:gridCol w:w="756"/>
        <w:gridCol w:w="326"/>
        <w:gridCol w:w="211"/>
        <w:gridCol w:w="854"/>
        <w:gridCol w:w="326"/>
        <w:gridCol w:w="218"/>
        <w:gridCol w:w="920"/>
      </w:tblGrid>
      <w:tr>
        <w:trPr/>
        <w:tc>
          <w:tcPr>
            <w:tcW w:w="2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95935" cy="175260"/>
                      <wp:effectExtent l="0" t="0" r="0" b="0"/>
                      <wp:wrapNone/>
                      <wp:docPr id="101" name="Frame1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2725" cy="175260"/>
                      <wp:effectExtent l="0" t="0" r="0" b="0"/>
                      <wp:wrapNone/>
                      <wp:docPr id="103" name="Frame10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26060" cy="175260"/>
                      <wp:effectExtent l="0" t="0" r="0" b="0"/>
                      <wp:wrapNone/>
                      <wp:docPr id="104" name="Frame10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95935" cy="175260"/>
                      <wp:effectExtent l="0" t="0" r="0" b="0"/>
                      <wp:wrapNone/>
                      <wp:docPr id="107" name="Frame1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92100" cy="175260"/>
                      <wp:effectExtent l="0" t="0" r="0" b="0"/>
                      <wp:wrapNone/>
                      <wp:docPr id="109" name="Frame109"/>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80060" cy="175260"/>
                      <wp:effectExtent l="0" t="0" r="0" b="0"/>
                      <wp:wrapNone/>
                      <wp:docPr id="110" name="Frame11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42290" cy="175260"/>
                      <wp:effectExtent l="0" t="0" r="0" b="0"/>
                      <wp:wrapNone/>
                      <wp:docPr id="113" name="Frame113"/>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8430" cy="175260"/>
                      <wp:effectExtent l="0" t="0" r="0" b="0"/>
                      <wp:wrapNone/>
                      <wp:docPr id="115" name="Frame115"/>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4200" cy="175260"/>
                      <wp:effectExtent l="0" t="0" r="0" b="0"/>
                      <wp:wrapNone/>
                      <wp:docPr id="116" name="Frame116"/>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35" w:type="dxa"/>
            <w:tcBorders/>
            <w:vAlign w:val="center"/>
          </w:tcPr>
          <w:p>
            <w:pPr>
              <w:pStyle w:val="TableContents"/>
              <w:bidi w:val="0"/>
              <w:spacing w:before="0" w:after="1"/>
              <w:ind w:left="0" w:right="0" w:hanging="0"/>
              <w:jc w:val="center"/>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8" w:type="dxa"/>
            <w:tcBorders/>
            <w:vAlign w:val="center"/>
          </w:tcPr>
          <w:p>
            <w:pPr>
              <w:pStyle w:val="TableContents"/>
              <w:bidi w:val="0"/>
              <w:spacing w:before="0" w:after="1"/>
              <w:ind w:left="0" w:right="0" w:hanging="0"/>
              <w:jc w:val="center"/>
              <w:rPr/>
            </w:pPr>
            <w:r>
              <w:rPr/>
              <w:t>​</w:t>
            </w:r>
          </w:p>
        </w:tc>
        <w:tc>
          <w:tcPr>
            <w:tcW w:w="920" w:type="dxa"/>
            <w:tcBorders/>
            <w:vAlign w:val="center"/>
          </w:tcPr>
          <w:p>
            <w:pPr>
              <w:pStyle w:val="TableContents"/>
              <w:bidi w:val="0"/>
              <w:spacing w:before="0" w:after="1"/>
              <w:ind w:left="0" w:right="0" w:hanging="0"/>
              <w:jc w:val="center"/>
              <w:rPr/>
            </w:pPr>
            <w:r>
              <w:rPr/>
              <w:t>​</w:t>
            </w:r>
          </w:p>
        </w:tc>
      </w:tr>
      <w:tr>
        <w:trPr/>
        <w:tc>
          <w:tcPr>
            <w:tcW w:w="2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5" w:type="dxa"/>
            <w:tcBorders/>
            <w:vAlign w:val="center"/>
          </w:tcPr>
          <w:p>
            <w:pPr>
              <w:pStyle w:val="TableContents"/>
              <w:bidi w:val="0"/>
              <w:spacing w:before="0" w:after="1"/>
              <w:ind w:left="0" w:right="0" w:hanging="0"/>
              <w:jc w:val="center"/>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3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w:t>
            </w:r>
          </w:p>
        </w:tc>
        <w:tc>
          <w:tcPr>
            <w:tcW w:w="326" w:type="dxa"/>
            <w:tcBorders/>
            <w:vAlign w:val="center"/>
          </w:tcPr>
          <w:p>
            <w:pPr>
              <w:pStyle w:val="TableContents"/>
              <w:bidi w:val="0"/>
              <w:spacing w:before="0"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113,810</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388,684</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(224,773)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163,983</w:t>
            </w:r>
          </w:p>
        </w:tc>
      </w:tr>
      <w:tr>
        <w:trPr/>
        <w:tc>
          <w:tcPr>
            <w:tcW w:w="2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righ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5,011</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righ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5,011</w:t>
            </w:r>
          </w:p>
        </w:tc>
      </w:tr>
      <w:tr>
        <w:trPr/>
        <w:tc>
          <w:tcPr>
            <w:tcW w:w="2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righ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920" w:type="dxa"/>
            <w:tcBorders/>
            <w:vAlign w:val="center"/>
          </w:tcPr>
          <w:p>
            <w:pPr>
              <w:pStyle w:val="TableContents"/>
              <w:bidi w:val="0"/>
              <w:spacing w:before="0" w:after="1"/>
              <w:ind w:left="0" w:right="0" w:hanging="0"/>
              <w:jc w:val="right"/>
              <w:rPr/>
            </w:pPr>
            <w:r>
              <w:rPr/>
              <w:t>—</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loan and security agreement warrants to equity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righ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6,370</w:t>
            </w:r>
          </w:p>
        </w:tc>
      </w:tr>
      <w:tr>
        <w:trPr/>
        <w:tc>
          <w:tcPr>
            <w:tcW w:w="2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the first tranche of forward contract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righ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(3,305)</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11,041</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righ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11,041</w:t>
            </w:r>
          </w:p>
        </w:tc>
      </w:tr>
      <w:tr>
        <w:trPr/>
        <w:tc>
          <w:tcPr>
            <w:tcW w:w="2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righ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righ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85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right"/>
              <w:rPr/>
            </w:pPr>
            <w:r>
              <w:rPr/>
              <w:t>​</w:t>
            </w:r>
          </w:p>
        </w:tc>
        <w:tc>
          <w:tcPr>
            <w:tcW w:w="9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righ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5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right"/>
              <w:rPr/>
            </w:pPr>
            <w:r>
              <w:rPr/>
              <w:t>​</w:t>
            </w:r>
          </w:p>
        </w:tc>
        <w:tc>
          <w:tcPr>
            <w:tcW w:w="9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3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(12,252)</w:t>
            </w:r>
          </w:p>
        </w:tc>
      </w:tr>
      <w:tr>
        <w:trPr/>
        <w:tc>
          <w:tcPr>
            <w:tcW w:w="2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117,103</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407,015</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(237,025)</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170,100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781" w:name="Tc_k4z5kW55z0Og6NrPj39UIA_17_21"/>
      <w:bookmarkStart w:id="782" w:name="Tc_BYK8Ics6nki31r2BOdtNww_17_18"/>
      <w:bookmarkStart w:id="783" w:name="Tc_wTv6EbgUoE2gWTGfCTsdNA_17_15"/>
      <w:bookmarkStart w:id="784" w:name="Tc_dWaMWsdzfU6ROZndvxWE5Q_17_12"/>
      <w:bookmarkStart w:id="785" w:name="Tc_UXiC7_OHlUW7_DZLuF9u1w_17_9"/>
      <w:bookmarkStart w:id="786" w:name="Tc_M4ZkCvYbJEugw1DRIO53Vw_17_5"/>
      <w:bookmarkStart w:id="787" w:name="Tc_fYO31nxPYEaBN_IL-uduJA_17_4"/>
      <w:bookmarkStart w:id="788" w:name="Tc_h42QLs6Gg0aQtQNgfooF1A_17_2"/>
      <w:bookmarkStart w:id="789" w:name="Tc_sTWciz2vtk60o1cWYnuKFg_17_0"/>
      <w:bookmarkStart w:id="790" w:name="Tc_r4C7-HBLIUqXRYIL2m49dw_16_16"/>
      <w:bookmarkStart w:id="791" w:name="Tc_Y7_QG2RJdUac3wn87nyAvw_16_13"/>
      <w:bookmarkStart w:id="792" w:name="Tc_sSDZYxbcGUSr7iGgvB11Ew_16_10"/>
      <w:bookmarkStart w:id="793" w:name="Tc_s3siC1nUy0WBvrRab6JMjA_16_7"/>
      <w:bookmarkStart w:id="794" w:name="Tc_SNaDk-5TREe4GkVjl9fzjQ_16_5"/>
      <w:bookmarkStart w:id="795" w:name="Tc_SItCHNJ6LEevwvLk_BYj_Q_16_2"/>
      <w:bookmarkStart w:id="796" w:name="Tc_lpt8XAepaE2TBEqXFHXHXQ_16_0"/>
      <w:bookmarkStart w:id="797" w:name="Tc_dP3zrJUXbUOebzOxt5E-nQ_15_19"/>
      <w:bookmarkStart w:id="798" w:name="Tc_nQkzLmj5X0mJGAkiZEXlEQ_15_13"/>
      <w:bookmarkStart w:id="799" w:name="Tc__-eDZWcAKE-6ox7peoPydQ_15_10"/>
      <w:bookmarkStart w:id="800" w:name="Tc_KKxQ9b-iC0KwDI2h8Me1hA_15_7"/>
      <w:bookmarkStart w:id="801" w:name="Tc_PgjKitG320Gw0AYF9A0GDQ_15_5"/>
      <w:bookmarkStart w:id="802" w:name="Tc_PNThUNBj_E-iIv1msw6YmA_15_2"/>
      <w:bookmarkStart w:id="803" w:name="Tc_XIA63JNtDkag_byxOd6E_Q_15_0"/>
      <w:bookmarkStart w:id="804" w:name="Tc_cm7LDx5BNUGNUEE3Sa7oiw_14_10"/>
      <w:bookmarkStart w:id="805" w:name="Tc_EVXmIEBFzEiVZS3tDSEgYg_14_7"/>
      <w:bookmarkStart w:id="806" w:name="Tc_8Q0s4fs53ESBLpUXzDVwqg_14_5"/>
      <w:bookmarkStart w:id="807" w:name="Tc_ct82nMX4N0qskDQXa9pHNQ_14_2"/>
      <w:bookmarkStart w:id="808" w:name="Tc_tXQZRunN0kCAPkU1RR41iA_14_0"/>
      <w:bookmarkStart w:id="809" w:name="Tc_jGY-xRehv0SS3Jlnx5lQ8Q_13_19"/>
      <w:bookmarkStart w:id="810" w:name="Tc_J677jFvmP0WTaMmXIUOH1A_13_16"/>
      <w:bookmarkStart w:id="811" w:name="Tc_9qF3kH6pjkqOGSurLaUAeg_13_10"/>
      <w:bookmarkStart w:id="812" w:name="Tc_kVyiraVeo0yahEPRlqWFXw_13_7"/>
      <w:bookmarkStart w:id="813" w:name="Tc_cuuupduojkKslV8y4kL-Zg_13_5"/>
      <w:bookmarkStart w:id="814" w:name="Tc_yonr0nWIAkyGAd_T9ZVU7Q_13_2"/>
      <w:bookmarkStart w:id="815" w:name="Tc_S625ly5X7kuJaEtSi5ndlQ_13_0"/>
      <w:bookmarkStart w:id="816" w:name="Tc__bS3qHfOtkicJR57kRXuMQ_12_19"/>
      <w:bookmarkStart w:id="817" w:name="Tc_lt5IyCP2wU-d44iOqZgG-Q_12_16"/>
      <w:bookmarkStart w:id="818" w:name="Tc_-B-6QMxfaEmlpsqWZNf_KA_12_10"/>
      <w:bookmarkStart w:id="819" w:name="Tc_QU62V_X6E0qGNC0OgYZkzQ_12_7"/>
      <w:bookmarkStart w:id="820" w:name="Tc_CjyxjFP2qkCaxS2MTgS4bw_12_5"/>
      <w:bookmarkStart w:id="821" w:name="Tc_OTeATtmM-UWXPTjpUNyltg_12_2"/>
      <w:bookmarkStart w:id="822" w:name="Tc_7mRCmQJvHky_VW7sMJr09g_12_0"/>
      <w:bookmarkStart w:id="823" w:name="Tc_EZfzjptJ8UeMB8ZBX0F83w_11_19"/>
      <w:bookmarkStart w:id="824" w:name="Tc_o3fibDZkI0ebh0YWhzlzfw_11_16"/>
      <w:bookmarkStart w:id="825" w:name="Tc_388u1e6iWU62-3D_DgLEpg_11_10"/>
      <w:bookmarkStart w:id="826" w:name="Tc_4Fur_TAAO02ZCEI4DaA0Sg_11_7"/>
      <w:bookmarkStart w:id="827" w:name="Tc_Yt7qwjJxTUuNBl2_xWbsvw_11_5"/>
      <w:bookmarkStart w:id="828" w:name="Tc_46vmFPT1AUmTedJuULNLZQ_11_2"/>
      <w:bookmarkStart w:id="829" w:name="Tc_rfsWgOjUQ0mKDxu5BzFQOQ_11_0"/>
      <w:bookmarkStart w:id="830" w:name="Tc_rFT6dj8KDkei9-qJBpER7g_10_22"/>
      <w:bookmarkStart w:id="831" w:name="Tc_bLHbk8s-w0CUhydw57Vvtw_10_19"/>
      <w:bookmarkStart w:id="832" w:name="Tc_ErGyQrWmrkmnfZ6lWF8NNw_10_16"/>
      <w:bookmarkStart w:id="833" w:name="Tc_mxh_ANwgPUSTjHUQaECMPQ_10_13"/>
      <w:bookmarkStart w:id="834" w:name="Tc_soBKT4mgOEi1yr0BtsYtEw_10_10"/>
      <w:bookmarkStart w:id="835" w:name="Tc_YyYBNbaxDUaYOMv3488vbQ_10_5"/>
      <w:bookmarkStart w:id="836" w:name="Tc_pB2DNbHsUUS0c7umytXvbQ_10_2"/>
      <w:bookmarkStart w:id="837" w:name="Tc_QtdWGWJjAUCQjtfbeCVHrA_10_0"/>
      <w:bookmarkStart w:id="838" w:name="Tc_lF0XHOPiVESYJ5hC7Un-BA_9_19"/>
      <w:bookmarkStart w:id="839" w:name="Tc_yY6ciCRfZ0i5dN6FY3rYyw_9_16"/>
      <w:bookmarkStart w:id="840" w:name="Tc_JbATBbLlxEyRMSE-IQIXUg_9_10"/>
      <w:bookmarkStart w:id="841" w:name="Tc_XFGwfll39EeYQJa_TpMp6g_9_5"/>
      <w:bookmarkStart w:id="842" w:name="Tc_0OC7JWpN8k-5Njo44XU22g_9_2"/>
      <w:bookmarkStart w:id="843" w:name="Tc_3cxvXUyEUUCmk9Bytr2GSA_9_0"/>
      <w:bookmarkStart w:id="844" w:name="Tc_98SPMAoidE6RJ1hycKHaxA_8_19"/>
      <w:bookmarkStart w:id="845" w:name="Tc_SQhixAAHr0eg_cTfSvr6Qw_8_16"/>
      <w:bookmarkStart w:id="846" w:name="Tc_rVomBJPo20KOAF58Kjnr2w_8_10"/>
      <w:bookmarkStart w:id="847" w:name="Tc_aWLAdw8-80SDms1gCVz9PQ_8_5"/>
      <w:bookmarkStart w:id="848" w:name="Tc_38Qq7kWYbUOWy2dND4xkXg_8_2"/>
      <w:bookmarkStart w:id="849" w:name="Tc_pN6MsLyOz0C1guhtRxebzw_8_0"/>
      <w:bookmarkStart w:id="850" w:name="Tc_MvVJJYTiD0iZLrsF5WIyBQ_7_19"/>
      <w:bookmarkStart w:id="851" w:name="Tc_FZUQWjmvQEatzisg9-3rrg_7_16"/>
      <w:bookmarkStart w:id="852" w:name="Tc_y6ijAIY27EavLRn7jXdB_A_7_5"/>
      <w:bookmarkStart w:id="853" w:name="Tc_UxM2kDp4-0GGZ_Wd_M79KA_7_2"/>
      <w:bookmarkStart w:id="854" w:name="Tc_yfmjEmh7U062mTEh7oX06A_7_0"/>
      <w:bookmarkStart w:id="855" w:name="Tc_OV-oy4m-x0GE0XwNLka5zQ_6_19"/>
      <w:bookmarkStart w:id="856" w:name="Tc_R5npKfuXNkKokSAUq3QbTQ_6_16"/>
      <w:bookmarkStart w:id="857" w:name="Tc_cO13_reId0mI_bXSi6Dk2w_6_0"/>
      <w:bookmarkStart w:id="858" w:name="Tc__HNq4e6kXkuX_LeJ_XdjVA_5_21"/>
      <w:bookmarkStart w:id="859" w:name="Tc_p1MfbNE0uE261t3IpGidpQ_5_18"/>
      <w:bookmarkStart w:id="860" w:name="Tc_Eq08EGT1mEu4FhYc9szviQ_5_15"/>
      <w:bookmarkStart w:id="861" w:name="Tc_7GBrIdVfRkC-EbMnZ534hQ_5_12"/>
      <w:bookmarkStart w:id="862" w:name="Tc_ImKBu0p0Gkyrb9szI-_cNg_5_9"/>
      <w:bookmarkStart w:id="863" w:name="Tc_cuSyyhtH4EC3wHal63AStw_5_4"/>
      <w:bookmarkStart w:id="864" w:name="Tc_SuAwFj0E4kWqrx90sW9uew_5_0"/>
      <w:bookmarkStart w:id="865" w:name="Tc_9TJsrckt6kOm-8rs6A6s5w_4_21"/>
      <w:bookmarkStart w:id="866" w:name="Tc_LJx1kHBsikSTsMkrm9WJxQ_4_18"/>
      <w:bookmarkStart w:id="867" w:name="Tc_yS19ioOvq0yuyf6lrS3xIg_4_15"/>
      <w:bookmarkStart w:id="868" w:name="Tc_BZN51p2F3Ui0IemswmiDbw_4_12"/>
      <w:bookmarkStart w:id="869" w:name="Tc_Xh9H7pN0I0-PgsUQr3nrcQ_4_9"/>
      <w:bookmarkStart w:id="870" w:name="Tc_awlFinMpbEWdQ-1CHVCm-Q_4_7"/>
      <w:bookmarkStart w:id="871" w:name="Tc_iDyRokL-oEiwtQUvl6slmQ_4_4"/>
      <w:bookmarkStart w:id="872" w:name="Tc_WkvSJZzsv0y5nMuKuD9Hkg_4_2"/>
      <w:bookmarkStart w:id="873" w:name="Tc_OMJOZS9W9Uyl3s7kBks_hQ_4_0"/>
      <w:bookmarkStart w:id="874" w:name="Tc_dY8XFWQVfE6LC1wTv-15yw_3_21"/>
      <w:bookmarkStart w:id="875" w:name="Tc_PAw8YxpWe0-83z7FVSQgWA_3_18"/>
      <w:bookmarkStart w:id="876" w:name="Tc_SrYvggtzgUuRQxx9CDE8qA_3_15"/>
      <w:bookmarkStart w:id="877" w:name="Tc_HDTdzo05502wtT5zSn9wmg_3_12"/>
      <w:bookmarkStart w:id="878" w:name="Tc_6Ps6V7hfP0-J62Oi3cGIsg_3_7"/>
      <w:bookmarkStart w:id="879" w:name="Tc_Rc7Ueqb3-UiUII1KTue1Sw_3_2"/>
      <w:bookmarkStart w:id="880" w:name="Tc_v94aWBwPh0W2_s1UWtjk6g_2_21"/>
      <w:bookmarkStart w:id="881" w:name="Tc_8cFyGsUJOUCNSjODwcjPDQ_2_15"/>
      <w:bookmarkStart w:id="882" w:name="Tc_hPI8V-B2uUmIuVEOq5hLXw_2_12"/>
      <w:bookmarkStart w:id="883" w:name="Tc_IEVvbEnPhkG8RMncmrT9MQ_2_2"/>
      <w:bookmarkStart w:id="884" w:name="Tc_DgFuy_2yBUaLZSrNpsRhnw_1_15"/>
      <w:bookmarkStart w:id="885" w:name="_ca17f7fa_8b4f_48e4_89cf_bcb4b1c67fe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r>
        <w:rPr/>
        <w:t>​</w:t>
      </w:r>
    </w:p>
    <w:tbl>
      <w:tblPr>
        <w:tblW w:w="10205" w:type="dxa"/>
        <w:jc w:val="left"/>
        <w:tblInd w:w="0" w:type="dxa"/>
        <w:tblLayout w:type="fixed"/>
        <w:tblCellMar>
          <w:top w:w="0" w:type="dxa"/>
          <w:left w:w="0" w:type="dxa"/>
          <w:bottom w:w="0" w:type="dxa"/>
          <w:right w:w="0" w:type="dxa"/>
        </w:tblCellMar>
      </w:tblPr>
      <w:tblGrid>
        <w:gridCol w:w="1443"/>
        <w:gridCol w:w="326"/>
        <w:gridCol w:w="558"/>
        <w:gridCol w:w="326"/>
        <w:gridCol w:w="181"/>
        <w:gridCol w:w="558"/>
        <w:gridCol w:w="326"/>
        <w:gridCol w:w="586"/>
        <w:gridCol w:w="326"/>
        <w:gridCol w:w="326"/>
        <w:gridCol w:w="346"/>
        <w:gridCol w:w="326"/>
        <w:gridCol w:w="181"/>
        <w:gridCol w:w="586"/>
        <w:gridCol w:w="326"/>
        <w:gridCol w:w="350"/>
        <w:gridCol w:w="671"/>
        <w:gridCol w:w="326"/>
        <w:gridCol w:w="194"/>
        <w:gridCol w:w="677"/>
        <w:gridCol w:w="326"/>
        <w:gridCol w:w="197"/>
        <w:gridCol w:w="743"/>
      </w:tblGrid>
      <w:tr>
        <w:trPr/>
        <w:tc>
          <w:tcPr>
            <w:tcW w:w="1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54330" cy="175260"/>
                      <wp:effectExtent l="0" t="0" r="0" b="0"/>
                      <wp:wrapNone/>
                      <wp:docPr id="118" name="Frame118"/>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14935" cy="175260"/>
                      <wp:effectExtent l="0" t="0" r="0" b="0"/>
                      <wp:wrapNone/>
                      <wp:docPr id="120" name="Frame1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54330" cy="175260"/>
                      <wp:effectExtent l="0" t="0" r="0" b="0"/>
                      <wp:wrapNone/>
                      <wp:docPr id="121" name="Frame121"/>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72110" cy="175260"/>
                      <wp:effectExtent l="0" t="0" r="0" b="0"/>
                      <wp:wrapNone/>
                      <wp:docPr id="123" name="Frame12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14935" cy="175260"/>
                      <wp:effectExtent l="0" t="0" r="0" b="0"/>
                      <wp:wrapNone/>
                      <wp:docPr id="128" name="Frame1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72110" cy="175260"/>
                      <wp:effectExtent l="0" t="0" r="0" b="0"/>
                      <wp:wrapNone/>
                      <wp:docPr id="129" name="Frame1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2250" cy="175260"/>
                      <wp:effectExtent l="0" t="0" r="0" b="0"/>
                      <wp:wrapNone/>
                      <wp:docPr id="131" name="Frame1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6085" cy="175260"/>
                      <wp:effectExtent l="0" t="0" r="0" b="0"/>
                      <wp:wrapNone/>
                      <wp:docPr id="132" name="Frame132"/>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3190" cy="175260"/>
                      <wp:effectExtent l="0" t="0" r="0" b="0"/>
                      <wp:wrapNone/>
                      <wp:docPr id="134" name="Frame13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895" cy="175260"/>
                      <wp:effectExtent l="0" t="0" r="0" b="0"/>
                      <wp:wrapNone/>
                      <wp:docPr id="135" name="Frame13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25095" cy="175260"/>
                      <wp:effectExtent l="0" t="0" r="0" b="0"/>
                      <wp:wrapNone/>
                      <wp:docPr id="137" name="Frame137"/>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71805" cy="175260"/>
                      <wp:effectExtent l="0" t="0" r="0" b="0"/>
                      <wp:wrapNone/>
                      <wp:docPr id="138" name="Frame13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5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81" w:type="dxa"/>
            <w:tcBorders/>
            <w:vAlign w:val="center"/>
          </w:tcPr>
          <w:p>
            <w:pPr>
              <w:pStyle w:val="TableContents"/>
              <w:bidi w:val="0"/>
              <w:spacing w:before="0" w:after="1"/>
              <w:ind w:left="0" w:right="0" w:hanging="0"/>
              <w:jc w:val="center"/>
              <w:rPr/>
            </w:pPr>
            <w:r>
              <w:rPr/>
              <w:t>​</w:t>
            </w:r>
          </w:p>
        </w:tc>
        <w:tc>
          <w:tcPr>
            <w:tcW w:w="55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81"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    </w:t>
            </w:r>
          </w:p>
        </w:tc>
        <w:tc>
          <w:tcPr>
            <w:tcW w:w="19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97" w:type="dxa"/>
            <w:tcBorders/>
            <w:vAlign w:val="center"/>
          </w:tcPr>
          <w:p>
            <w:pPr>
              <w:pStyle w:val="TableContents"/>
              <w:bidi w:val="0"/>
              <w:spacing w:before="0" w:after="1"/>
              <w:ind w:left="0" w:right="0" w:hanging="0"/>
              <w:jc w:val="center"/>
              <w:rPr/>
            </w:pPr>
            <w:r>
              <w:rPr/>
              <w:t>​</w:t>
            </w:r>
          </w:p>
        </w:tc>
        <w:tc>
          <w:tcPr>
            <w:tcW w:w="743" w:type="dxa"/>
            <w:tcBorders/>
            <w:vAlign w:val="center"/>
          </w:tcPr>
          <w:p>
            <w:pPr>
              <w:pStyle w:val="TableContents"/>
              <w:bidi w:val="0"/>
              <w:spacing w:before="0" w:after="1"/>
              <w:ind w:left="0" w:right="0" w:hanging="0"/>
              <w:jc w:val="center"/>
              <w:rPr/>
            </w:pPr>
            <w:r>
              <w:rPr/>
              <w:t>​</w:t>
            </w:r>
          </w:p>
        </w:tc>
      </w:tr>
      <w:tr>
        <w:trPr/>
        <w:tc>
          <w:tcPr>
            <w:tcW w:w="1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23"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Redeemable Convertible</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center"/>
              <w:rPr/>
            </w:pPr>
            <w:r>
              <w:rPr/>
              <w:t>​</w:t>
            </w:r>
          </w:p>
        </w:tc>
        <w:tc>
          <w:tcPr>
            <w:tcW w:w="194" w:type="dxa"/>
            <w:tcBorders/>
            <w:vAlign w:val="center"/>
          </w:tcPr>
          <w:p>
            <w:pPr>
              <w:pStyle w:val="TableContents"/>
              <w:bidi w:val="0"/>
              <w:spacing w:before="0" w:after="1"/>
              <w:ind w:left="0" w:right="0" w:hanging="0"/>
              <w:jc w:val="center"/>
              <w:rPr/>
            </w:pPr>
            <w:r>
              <w:rPr/>
              <w:t>​</w:t>
            </w:r>
          </w:p>
        </w:tc>
        <w:tc>
          <w:tcPr>
            <w:tcW w:w="6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2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5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94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44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(In thousands)</w:t>
            </w:r>
          </w:p>
        </w:tc>
        <w:tc>
          <w:tcPr>
            <w:tcW w:w="326" w:type="dxa"/>
            <w:tcBorders/>
            <w:vAlign w:val="center"/>
          </w:tcPr>
          <w:p>
            <w:pPr>
              <w:pStyle w:val="TableContents"/>
              <w:bidi w:val="0"/>
              <w:spacing w:before="0" w:after="1"/>
              <w:ind w:left="0" w:right="0" w:hanging="0"/>
              <w:jc w:val="center"/>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7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6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Gain (Loss)</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center"/>
              <w:rPr/>
            </w:pPr>
            <w:r>
              <w:rPr/>
              <w:t>​</w:t>
            </w:r>
          </w:p>
        </w:tc>
        <w:tc>
          <w:tcPr>
            <w:tcW w:w="9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(Deficit)</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77,697</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18,221</w:t>
            </w:r>
          </w:p>
        </w:tc>
        <w:tc>
          <w:tcPr>
            <w:tcW w:w="3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135,549</w:t>
            </w:r>
          </w:p>
        </w:tc>
        <w:tc>
          <w:tcPr>
            <w:tcW w:w="326" w:type="dxa"/>
            <w:tcBorders/>
            <w:shd w:fill="CCEEFF" w:val="clear"/>
            <w:vAlign w:val="center"/>
          </w:tcPr>
          <w:p>
            <w:pPr>
              <w:pStyle w:val="TableContents"/>
              <w:bidi w:val="0"/>
              <w:spacing w:before="0" w:after="1"/>
              <w:ind w:left="0" w:right="0" w:hanging="0"/>
              <w:jc w:val="center"/>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52</w:t>
            </w:r>
          </w:p>
        </w:tc>
        <w:tc>
          <w:tcPr>
            <w:tcW w:w="326" w:type="dxa"/>
            <w:tcBorders/>
            <w:shd w:fill="CCEEFF" w:val="clear"/>
            <w:vAlign w:val="center"/>
          </w:tcPr>
          <w:p>
            <w:pPr>
              <w:pStyle w:val="TableContents"/>
              <w:bidi w:val="0"/>
              <w:spacing w:before="0" w:after="1"/>
              <w:ind w:left="0" w:right="0" w:hanging="0"/>
              <w:jc w:val="center"/>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(207,131)</w:t>
            </w:r>
          </w:p>
        </w:tc>
        <w:tc>
          <w:tcPr>
            <w:tcW w:w="326" w:type="dxa"/>
            <w:tcBorders/>
            <w:shd w:fill="CCEEFF" w:val="clear"/>
            <w:vAlign w:val="center"/>
          </w:tcPr>
          <w:p>
            <w:pPr>
              <w:pStyle w:val="TableContents"/>
              <w:bidi w:val="0"/>
              <w:spacing w:before="0" w:after="1"/>
              <w:ind w:left="0" w:right="0" w:hanging="0"/>
              <w:jc w:val="center"/>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(71,528)</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conversion of Legacy Series C and C-1 preferred stock in connection with the Business Combination (Note3)</w:t>
            </w:r>
          </w:p>
        </w:tc>
        <w:tc>
          <w:tcPr>
            <w:tcW w:w="326" w:type="dxa"/>
            <w:tcBorders/>
            <w:vAlign w:val="center"/>
          </w:tcPr>
          <w:p>
            <w:pPr>
              <w:pStyle w:val="TableContents"/>
              <w:bidi w:val="0"/>
              <w:spacing w:before="0" w:after="1"/>
              <w:ind w:left="0" w:right="0" w:hanging="0"/>
              <w:jc w:val="left"/>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(77,697)</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 </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(81,523)</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57,380</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81,517</w:t>
            </w:r>
          </w:p>
        </w:tc>
        <w:tc>
          <w:tcPr>
            <w:tcW w:w="326" w:type="dxa"/>
            <w:tcBorders/>
            <w:vAlign w:val="center"/>
          </w:tcPr>
          <w:p>
            <w:pPr>
              <w:pStyle w:val="TableContents"/>
              <w:bidi w:val="0"/>
              <w:spacing w:before="0" w:after="1"/>
              <w:ind w:left="0" w:right="0" w:hanging="0"/>
              <w:jc w:val="center"/>
              <w:rPr/>
            </w:pPr>
            <w:r>
              <w:rPr/>
              <w:t>​</w:t>
            </w:r>
          </w:p>
        </w:tc>
        <w:tc>
          <w:tcPr>
            <w:tcW w:w="350" w:type="dxa"/>
            <w:tcBorders/>
            <w:vAlign w:val="center"/>
          </w:tcPr>
          <w:p>
            <w:pPr>
              <w:pStyle w:val="TableContents"/>
              <w:bidi w:val="0"/>
              <w:spacing w:before="0" w:after="1"/>
              <w:ind w:left="0" w:right="0" w:hanging="0"/>
              <w:jc w:val="center"/>
              <w:rPr/>
            </w:pPr>
            <w:r>
              <w:rPr/>
              <w:t> </w:t>
            </w:r>
          </w:p>
        </w:tc>
        <w:tc>
          <w:tcPr>
            <w:tcW w:w="6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94" w:type="dxa"/>
            <w:tcBorders/>
            <w:vAlign w:val="center"/>
          </w:tcPr>
          <w:p>
            <w:pPr>
              <w:pStyle w:val="TableContents"/>
              <w:bidi w:val="0"/>
              <w:spacing w:before="0" w:after="1"/>
              <w:ind w:left="0" w:right="0" w:hanging="0"/>
              <w:jc w:val="center"/>
              <w:rPr/>
            </w:pPr>
            <w:r>
              <w:rPr/>
              <w:t> </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97" w:type="dxa"/>
            <w:tcBorders/>
            <w:vAlign w:val="center"/>
          </w:tcPr>
          <w:p>
            <w:pPr>
              <w:pStyle w:val="TableContents"/>
              <w:bidi w:val="0"/>
              <w:spacing w:before="0" w:after="1"/>
              <w:ind w:left="0" w:right="0" w:hanging="0"/>
              <w:jc w:val="center"/>
              <w:rPr/>
            </w:pPr>
            <w:r>
              <w:rPr/>
              <w:t> </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81,523</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through Business Combination and PIPE Financing, net of transaction costs and derivative liabilities (Note 3)</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34,851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159,535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righ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righ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159,538</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 </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1,353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636</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righ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righ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636</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3,937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5,039</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righ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righ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5,039</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1,361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righ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right"/>
              <w:rPr/>
            </w:pPr>
            <w:r>
              <w:rPr/>
              <w:t>​</w:t>
            </w:r>
          </w:p>
        </w:tc>
        <w:tc>
          <w:tcPr>
            <w:tcW w:w="743" w:type="dxa"/>
            <w:tcBorders/>
            <w:vAlign w:val="center"/>
          </w:tcPr>
          <w:p>
            <w:pPr>
              <w:pStyle w:val="TableContents"/>
              <w:bidi w:val="0"/>
              <w:spacing w:before="0" w:after="1"/>
              <w:ind w:left="0" w:right="0" w:hanging="0"/>
              <w:jc w:val="right"/>
              <w:rPr/>
            </w:pPr>
            <w:r>
              <w:rPr/>
              <w:t>—</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Reclassification of loan and security agreement warrants to equity</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righ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righ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6,370</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Settlement of the first tranche of forward contract</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(3,305)</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righ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righ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(3,305)</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22,522</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righ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righ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22,522</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(848)</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right"/>
              <w:rPr/>
            </w:pPr>
            <w:r>
              <w:rPr/>
              <w:t>​</w:t>
            </w:r>
          </w:p>
        </w:tc>
        <w:tc>
          <w:tcPr>
            <w:tcW w:w="6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right"/>
              <w:rPr/>
            </w:pPr>
            <w:r>
              <w:rPr/>
              <w:t>​</w:t>
            </w:r>
          </w:p>
        </w:tc>
        <w:tc>
          <w:tcPr>
            <w:tcW w:w="6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right"/>
              <w:rPr/>
            </w:pPr>
            <w:r>
              <w:rPr/>
              <w:t>​</w:t>
            </w:r>
          </w:p>
        </w:tc>
        <w:tc>
          <w:tcPr>
            <w:tcW w:w="74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(848)</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translation gain</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 </w:t>
            </w:r>
          </w:p>
        </w:tc>
        <w:tc>
          <w:tcPr>
            <w:tcW w:w="55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right"/>
              <w:rPr/>
            </w:pPr>
            <w:r>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righ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righ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1443"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(29,894)</w:t>
            </w:r>
          </w:p>
        </w:tc>
        <w:tc>
          <w:tcPr>
            <w:tcW w:w="326" w:type="dxa"/>
            <w:tcBorders/>
            <w:vAlign w:val="center"/>
          </w:tcPr>
          <w:p>
            <w:pPr>
              <w:pStyle w:val="TableContents"/>
              <w:bidi w:val="0"/>
              <w:spacing w:before="0" w:after="1"/>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(29,894)</w:t>
            </w:r>
          </w:p>
        </w:tc>
      </w:tr>
      <w:tr>
        <w:trPr/>
        <w:tc>
          <w:tcPr>
            <w:tcW w:w="144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117,103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407,015</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(237,025)</w:t>
            </w:r>
          </w:p>
        </w:tc>
        <w:tc>
          <w:tcPr>
            <w:tcW w:w="326" w:type="dxa"/>
            <w:tcBorders/>
            <w:shd w:fill="CCEEFF" w:val="clear"/>
            <w:vAlign w:val="center"/>
          </w:tcPr>
          <w:p>
            <w:pPr>
              <w:pStyle w:val="TableContents"/>
              <w:bidi w:val="0"/>
              <w:spacing w:before="0" w:after="1"/>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170,100</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of legacy Redeemable Convertible Series C Preferred Stock, Redeemable Convertible Series C-1 Preferred Stock, legacy Class A Common Stock, and legacy Class B Common Stock have been retroactively restated to give effect to the Business Combination</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86" w:name="Tc_1XQjEwjGE0mZwzsDhvzlyQ_5_5"/>
      <w:bookmarkStart w:id="887" w:name="Tc_YJZCzZU9i0iHbiWkPA5Gqg_5_2"/>
      <w:bookmarkStart w:id="888" w:name="Tc_MxQqX364SEWHY_zZBXladA_4_0"/>
      <w:bookmarkStart w:id="889" w:name="Tc__J4rL5GOYUGzkKDr_nrw-w_3_6"/>
      <w:bookmarkStart w:id="890" w:name="Tc_MxhHr8XzlUS0mJvYvm-C6Q_3_5"/>
      <w:bookmarkStart w:id="891" w:name="Tc_i9sg1p94HEObXDyyOdnpSw_3_2"/>
      <w:bookmarkStart w:id="892" w:name="Tc_Z2a7jT21jEq0u7F9QSIH1g_3_0"/>
      <w:bookmarkStart w:id="893" w:name="Tc_CV9njdnJO0ukix9FMqKRBA_2_5"/>
      <w:bookmarkStart w:id="894" w:name="Tc_rvy_nwzRI0OB2ZEtQJM7SQ_2_2"/>
      <w:bookmarkStart w:id="895" w:name="Tc_XLl3_XioBU-HJu0_zHEdEQ_2_0"/>
      <w:bookmarkStart w:id="896" w:name="Tc_-e2JlOrP6EWTx5wiQGVPfQ_1_2"/>
      <w:bookmarkStart w:id="897" w:name="_2444c5a9_4001_4a20_be59_721cfc9c92b3"/>
      <w:bookmarkStart w:id="898" w:name="Tc_ANS6sT0FRkeNDE_DkwwFRQ_5_5"/>
      <w:bookmarkStart w:id="899" w:name="Tc_tZ3qrrqBMECtVxg3I8QRTg_5_2"/>
      <w:bookmarkStart w:id="900" w:name="Tc_ldUsDFuRFkmbJsXJeVyYgA_4_0"/>
      <w:bookmarkStart w:id="901" w:name="Tc_JhWkvICQFEmLZ4QGCGrkcw_3_6"/>
      <w:bookmarkStart w:id="902" w:name="Tc_2lIEdGl56k2uaW71sBtnow_3_5"/>
      <w:bookmarkStart w:id="903" w:name="Tc_SHJeFRBYbkqOeDsgEI0VXg_3_2"/>
      <w:bookmarkStart w:id="904" w:name="Tc_hMD4_jvBxEyEY6D9zYQ7tA_3_0"/>
      <w:bookmarkStart w:id="905" w:name="Tc__08FCMcu2kCA8cABpU-esg_2_5"/>
      <w:bookmarkStart w:id="906" w:name="Tc_mkoMh31xKEO0R6KjQ-AKiA_2_2"/>
      <w:bookmarkStart w:id="907" w:name="Tc_RmmZDpqrvUuJOFISVJGNOw_2_0"/>
      <w:bookmarkStart w:id="908" w:name="Tc_cIUiuecTYk6eFeNZ9ura-A_1_2"/>
      <w:bookmarkStart w:id="909" w:name="_c35674a0_56d3_43b3_830e_cc4e9c2ac048"/>
      <w:bookmarkStart w:id="910" w:name="Tc_wjwHJIKiL0-TQyIhGdV5pw_5_5"/>
      <w:bookmarkStart w:id="911" w:name="Tc_lzYAoXrJtUyYxDX3wD7xyQ_5_2"/>
      <w:bookmarkStart w:id="912" w:name="Tc_ZdjYhb_XikqT2yd1Axq9EQ_4_0"/>
      <w:bookmarkStart w:id="913" w:name="Tc_ioJYmDeZ10emPbQRib4X8Q_3_5"/>
      <w:bookmarkStart w:id="914" w:name="Tc_HnY1Zo7BEU-nGZnTAZIq4Q_3_2"/>
      <w:bookmarkStart w:id="915" w:name="Tc_2Ito-n1Lek65kWuY6NAgyw_3_0"/>
      <w:bookmarkStart w:id="916" w:name="Tc_aG8XK8sxXU22NlrzvvkBkQ_2_5"/>
      <w:bookmarkStart w:id="917" w:name="Tc_Dikeys7FD0mVyP1N8W83PQ_2_2"/>
      <w:bookmarkStart w:id="918" w:name="Tc_TfALCfREX0aZcIcBWYiguA_2_0"/>
      <w:bookmarkStart w:id="919" w:name="Tc_k7SUjK_XwkO22RRPiD8Apw_1_2"/>
      <w:bookmarkStart w:id="920" w:name="_23d537bb_4b6a_4e7f_8dc6_32696836f7a0"/>
      <w:bookmarkStart w:id="921" w:name="Tc_qdBcmoUt7EG2ZHf0zWwLrA_5_5"/>
      <w:bookmarkStart w:id="922" w:name="Tc_jr12yS-exkK7UwjONzN2JA_5_2"/>
      <w:bookmarkStart w:id="923" w:name="Tc_gRz3QjPQtk67di2L5dlAkw_4_0"/>
      <w:bookmarkStart w:id="924" w:name="Tc_80vJ9Bcm-EGB4oKHXc8MSQ_3_5"/>
      <w:bookmarkStart w:id="925" w:name="Tc_BfUifteSP02UZAHfFE7xvQ_3_2"/>
      <w:bookmarkStart w:id="926" w:name="Tc_fF-ipyq8ekSJYMEJ-IyAeA_3_0"/>
      <w:bookmarkStart w:id="927" w:name="Tc_HOI-6hyiv02FYW-Dt7LYiA_2_5"/>
      <w:bookmarkStart w:id="928" w:name="Tc_Eu-rqBddZ06c5iPB8YIDzQ_2_2"/>
      <w:bookmarkStart w:id="929" w:name="Tc_i5Q1DSYtPEOEKfj1u1KpNA_2_0"/>
      <w:bookmarkStart w:id="930" w:name="Tc_hbRFBfiGVUWlkAkIzUA75g_1_2"/>
      <w:bookmarkStart w:id="931" w:name="_9d35e9f2_475a_4eb4_8408_0ff6b3ee6140"/>
      <w:bookmarkStart w:id="932" w:name="Tc_1XQjEwjGE0mZwzsDhvzlyQ_5_5"/>
      <w:bookmarkStart w:id="933" w:name="Tc_YJZCzZU9i0iHbiWkPA5Gqg_5_2"/>
      <w:bookmarkStart w:id="934" w:name="Tc_MxQqX364SEWHY_zZBXladA_4_0"/>
      <w:bookmarkStart w:id="935" w:name="Tc__J4rL5GOYUGzkKDr_nrw-w_3_6"/>
      <w:bookmarkStart w:id="936" w:name="Tc_MxhHr8XzlUS0mJvYvm-C6Q_3_5"/>
      <w:bookmarkStart w:id="937" w:name="Tc_i9sg1p94HEObXDyyOdnpSw_3_2"/>
      <w:bookmarkStart w:id="938" w:name="Tc_Z2a7jT21jEq0u7F9QSIH1g_3_0"/>
      <w:bookmarkStart w:id="939" w:name="Tc_CV9njdnJO0ukix9FMqKRBA_2_5"/>
      <w:bookmarkStart w:id="940" w:name="Tc_rvy_nwzRI0OB2ZEtQJM7SQ_2_2"/>
      <w:bookmarkStart w:id="941" w:name="Tc_XLl3_XioBU-HJu0_zHEdEQ_2_0"/>
      <w:bookmarkStart w:id="942" w:name="Tc_-e2JlOrP6EWTx5wiQGVPfQ_1_2"/>
      <w:bookmarkStart w:id="943" w:name="_2444c5a9_4001_4a20_be59_721cfc9c92b3"/>
      <w:bookmarkStart w:id="944" w:name="Tc_ANS6sT0FRkeNDE_DkwwFRQ_5_5"/>
      <w:bookmarkStart w:id="945" w:name="Tc_tZ3qrrqBMECtVxg3I8QRTg_5_2"/>
      <w:bookmarkStart w:id="946" w:name="Tc_ldUsDFuRFkmbJsXJeVyYgA_4_0"/>
      <w:bookmarkStart w:id="947" w:name="Tc_JhWkvICQFEmLZ4QGCGrkcw_3_6"/>
      <w:bookmarkStart w:id="948" w:name="Tc_2lIEdGl56k2uaW71sBtnow_3_5"/>
      <w:bookmarkStart w:id="949" w:name="Tc_SHJeFRBYbkqOeDsgEI0VXg_3_2"/>
      <w:bookmarkStart w:id="950" w:name="Tc_hMD4_jvBxEyEY6D9zYQ7tA_3_0"/>
      <w:bookmarkStart w:id="951" w:name="Tc__08FCMcu2kCA8cABpU-esg_2_5"/>
      <w:bookmarkStart w:id="952" w:name="Tc_mkoMh31xKEO0R6KjQ-AKiA_2_2"/>
      <w:bookmarkStart w:id="953" w:name="Tc_RmmZDpqrvUuJOFISVJGNOw_2_0"/>
      <w:bookmarkStart w:id="954" w:name="Tc_cIUiuecTYk6eFeNZ9ura-A_1_2"/>
      <w:bookmarkStart w:id="955" w:name="_c35674a0_56d3_43b3_830e_cc4e9c2ac048"/>
      <w:bookmarkStart w:id="956" w:name="Tc_wjwHJIKiL0-TQyIhGdV5pw_5_5"/>
      <w:bookmarkStart w:id="957" w:name="Tc_lzYAoXrJtUyYxDX3wD7xyQ_5_2"/>
      <w:bookmarkStart w:id="958" w:name="Tc_ZdjYhb_XikqT2yd1Axq9EQ_4_0"/>
      <w:bookmarkStart w:id="959" w:name="Tc_ioJYmDeZ10emPbQRib4X8Q_3_5"/>
      <w:bookmarkStart w:id="960" w:name="Tc_HnY1Zo7BEU-nGZnTAZIq4Q_3_2"/>
      <w:bookmarkStart w:id="961" w:name="Tc_2Ito-n1Lek65kWuY6NAgyw_3_0"/>
      <w:bookmarkStart w:id="962" w:name="Tc_aG8XK8sxXU22NlrzvvkBkQ_2_5"/>
      <w:bookmarkStart w:id="963" w:name="Tc_Dikeys7FD0mVyP1N8W83PQ_2_2"/>
      <w:bookmarkStart w:id="964" w:name="Tc_TfALCfREX0aZcIcBWYiguA_2_0"/>
      <w:bookmarkStart w:id="965" w:name="Tc_k7SUjK_XwkO22RRPiD8Apw_1_2"/>
      <w:bookmarkStart w:id="966" w:name="_23d537bb_4b6a_4e7f_8dc6_32696836f7a0"/>
      <w:bookmarkStart w:id="967" w:name="Tc_qdBcmoUt7EG2ZHf0zWwLrA_5_5"/>
      <w:bookmarkStart w:id="968" w:name="Tc_jr12yS-exkK7UwjONzN2JA_5_2"/>
      <w:bookmarkStart w:id="969" w:name="Tc_gRz3QjPQtk67di2L5dlAkw_4_0"/>
      <w:bookmarkStart w:id="970" w:name="Tc_80vJ9Bcm-EGB4oKHXc8MSQ_3_5"/>
      <w:bookmarkStart w:id="971" w:name="Tc_BfUifteSP02UZAHfFE7xvQ_3_2"/>
      <w:bookmarkStart w:id="972" w:name="Tc_fF-ipyq8ekSJYMEJ-IyAeA_3_0"/>
      <w:bookmarkStart w:id="973" w:name="Tc_HOI-6hyiv02FYW-Dt7LYiA_2_5"/>
      <w:bookmarkStart w:id="974" w:name="Tc_Eu-rqBddZ06c5iPB8YIDzQ_2_2"/>
      <w:bookmarkStart w:id="975" w:name="Tc_i5Q1DSYtPEOEKfj1u1KpNA_2_0"/>
      <w:bookmarkStart w:id="976" w:name="Tc_hbRFBfiGVUWlkAkIzUA75g_1_2"/>
      <w:bookmarkStart w:id="977" w:name="_9d35e9f2_475a_4eb4_8408_0ff6b3ee6140"/>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tbl>
      <w:tblPr>
        <w:tblW w:w="2882" w:type="dxa"/>
        <w:jc w:val="left"/>
        <w:tblInd w:w="0" w:type="dxa"/>
        <w:tblLayout w:type="fixed"/>
        <w:tblCellMar>
          <w:top w:w="0" w:type="dxa"/>
          <w:left w:w="0" w:type="dxa"/>
          <w:bottom w:w="0" w:type="dxa"/>
          <w:right w:w="0" w:type="dxa"/>
        </w:tblCellMar>
      </w:tblPr>
      <w:tblGrid>
        <w:gridCol w:w="271"/>
        <w:gridCol w:w="26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26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six months ended June 30, 2023 and June 30, 2022:</w:t>
      </w:r>
    </w:p>
    <w:tbl>
      <w:tblPr>
        <w:tblW w:w="8591" w:type="dxa"/>
        <w:jc w:val="left"/>
        <w:tblInd w:w="0" w:type="dxa"/>
        <w:tblLayout w:type="fixed"/>
        <w:tblCellMar>
          <w:top w:w="0" w:type="dxa"/>
          <w:left w:w="0" w:type="dxa"/>
          <w:bottom w:w="0" w:type="dxa"/>
          <w:right w:w="0" w:type="dxa"/>
        </w:tblCellMar>
      </w:tblPr>
      <w:tblGrid>
        <w:gridCol w:w="5911"/>
        <w:gridCol w:w="326"/>
        <w:gridCol w:w="249"/>
        <w:gridCol w:w="674"/>
        <w:gridCol w:w="384"/>
        <w:gridCol w:w="249"/>
        <w:gridCol w:w="798"/>
      </w:tblGrid>
      <w:tr>
        <w:trPr/>
        <w:tc>
          <w:tcPr>
            <w:tcW w:w="5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8115" cy="175260"/>
                      <wp:effectExtent l="0" t="0" r="0" b="0"/>
                      <wp:wrapNone/>
                      <wp:docPr id="140" name="Frame14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7990" cy="175260"/>
                      <wp:effectExtent l="0" t="0" r="0" b="0"/>
                      <wp:wrapNone/>
                      <wp:docPr id="141" name="Frame141"/>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43840" cy="175260"/>
                      <wp:effectExtent l="0" t="0" r="0" b="0"/>
                      <wp:wrapNone/>
                      <wp:docPr id="142" name="Frame14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8115" cy="175260"/>
                      <wp:effectExtent l="0" t="0" r="0" b="0"/>
                      <wp:wrapNone/>
                      <wp:docPr id="143" name="Frame1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06730" cy="175260"/>
                      <wp:effectExtent l="0" t="0" r="0" b="0"/>
                      <wp:wrapNone/>
                      <wp:docPr id="144" name="Frame144"/>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5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Collaborative research, other professional services and related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2,484</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1,477</w:t>
            </w:r>
          </w:p>
        </w:tc>
      </w:tr>
      <w:tr>
        <w:trPr/>
        <w:tc>
          <w:tcPr>
            <w:tcW w:w="5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84"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59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384"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2,134</w:t>
            </w:r>
          </w:p>
        </w:tc>
      </w:tr>
    </w:tbl>
    <w:p>
      <w:pPr>
        <w:pStyle w:val="TextBody"/>
        <w:bidi w:val="0"/>
        <w:spacing w:before="0" w:after="0"/>
        <w:ind w:left="0" w:right="0" w:hanging="0"/>
        <w:jc w:val="left"/>
        <w:rPr/>
      </w:pPr>
      <w:r>
        <w:rPr/>
        <w:t>​</w:t>
      </w:r>
    </w:p>
    <w:tbl>
      <w:tblPr>
        <w:tblW w:w="8505" w:type="dxa"/>
        <w:jc w:val="left"/>
        <w:tblInd w:w="0" w:type="dxa"/>
        <w:tblLayout w:type="fixed"/>
        <w:tblCellMar>
          <w:top w:w="0" w:type="dxa"/>
          <w:left w:w="0" w:type="dxa"/>
          <w:bottom w:w="0" w:type="dxa"/>
          <w:right w:w="0" w:type="dxa"/>
        </w:tblCellMar>
      </w:tblPr>
      <w:tblGrid>
        <w:gridCol w:w="5911"/>
        <w:gridCol w:w="326"/>
        <w:gridCol w:w="236"/>
        <w:gridCol w:w="639"/>
        <w:gridCol w:w="364"/>
        <w:gridCol w:w="236"/>
        <w:gridCol w:w="639"/>
        <w:gridCol w:w="154"/>
      </w:tblGrid>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49860" cy="175260"/>
                      <wp:effectExtent l="0" t="0" r="0" b="0"/>
                      <wp:wrapNone/>
                      <wp:docPr id="146" name="Frame14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5765" cy="175260"/>
                      <wp:effectExtent l="0" t="0" r="0" b="0"/>
                      <wp:wrapNone/>
                      <wp:docPr id="147" name="Frame147"/>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31140" cy="175260"/>
                      <wp:effectExtent l="0" t="0" r="0" b="0"/>
                      <wp:wrapNone/>
                      <wp:docPr id="148" name="Frame14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9860" cy="175260"/>
                      <wp:effectExtent l="0" t="0" r="0" b="0"/>
                      <wp:wrapNone/>
                      <wp:docPr id="149" name="Frame14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05765" cy="175260"/>
                      <wp:effectExtent l="0" t="0" r="0" b="0"/>
                      <wp:wrapNone/>
                      <wp:docPr id="150" name="Frame150"/>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7790" cy="175260"/>
                      <wp:effectExtent l="0" t="0" r="0" b="0"/>
                      <wp:wrapNone/>
                      <wp:docPr id="151" name="Frame1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1"/>
              <w:ind w:left="0" w:right="0" w:hanging="0"/>
              <w:jc w:val="center"/>
              <w:rPr/>
            </w:pPr>
            <w:r>
              <w:rPr/>
              <w:t>​</w:t>
            </w:r>
          </w:p>
        </w:tc>
      </w:tr>
      <w:tr>
        <w:trPr/>
        <w:tc>
          <w:tcPr>
            <w:tcW w:w="5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1"/>
              <w:ind w:left="0" w:right="0" w:hanging="0"/>
              <w:jc w:val="center"/>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before="0" w:after="1"/>
              <w:ind w:left="0" w:right="0" w:hanging="0"/>
              <w:jc w:val="center"/>
              <w:rPr/>
            </w:pPr>
            <w:r>
              <w:rPr/>
              <w:t>    </w:t>
            </w:r>
          </w:p>
        </w:tc>
        <w:tc>
          <w:tcPr>
            <w:tcW w:w="8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other professional services and related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4,294</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c>
          <w:tcPr>
            <w:tcW w:w="364"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1,246</w:t>
            </w:r>
          </w:p>
        </w:tc>
        <w:tc>
          <w:tcPr>
            <w:tcW w:w="154" w:type="dxa"/>
            <w:tcBorders/>
            <w:vAlign w:val="center"/>
          </w:tcPr>
          <w:p>
            <w:pPr>
              <w:pStyle w:val="TableContents"/>
              <w:bidi w:val="0"/>
              <w:spacing w:before="0" w:after="1"/>
              <w:ind w:left="0" w:right="0" w:hanging="0"/>
              <w:jc w:val="left"/>
              <w:rPr/>
            </w:pPr>
            <w:r>
              <w:rPr/>
              <w:t>​</w:t>
            </w:r>
          </w:p>
        </w:tc>
      </w:tr>
      <w:tr>
        <w:trPr/>
        <w:tc>
          <w:tcPr>
            <w:tcW w:w="59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5,527</w:t>
            </w:r>
          </w:p>
        </w:tc>
        <w:tc>
          <w:tcPr>
            <w:tcW w:w="364"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5891" w:type="dxa"/>
        <w:jc w:val="left"/>
        <w:tblInd w:w="0" w:type="dxa"/>
        <w:tblLayout w:type="fixed"/>
        <w:tblCellMar>
          <w:top w:w="0" w:type="dxa"/>
          <w:left w:w="0" w:type="dxa"/>
          <w:bottom w:w="0" w:type="dxa"/>
          <w:right w:w="0" w:type="dxa"/>
        </w:tblCellMar>
      </w:tblPr>
      <w:tblGrid>
        <w:gridCol w:w="3211"/>
        <w:gridCol w:w="326"/>
        <w:gridCol w:w="249"/>
        <w:gridCol w:w="674"/>
        <w:gridCol w:w="384"/>
        <w:gridCol w:w="249"/>
        <w:gridCol w:w="798"/>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38985" cy="175260"/>
                      <wp:effectExtent l="0" t="0" r="0" b="0"/>
                      <wp:wrapNone/>
                      <wp:docPr id="152" name="Frame152"/>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8115" cy="175260"/>
                      <wp:effectExtent l="0" t="0" r="0" b="0"/>
                      <wp:wrapNone/>
                      <wp:docPr id="154" name="Frame1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7990" cy="175260"/>
                      <wp:effectExtent l="0" t="0" r="0" b="0"/>
                      <wp:wrapNone/>
                      <wp:docPr id="155" name="Frame155"/>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43840" cy="175260"/>
                      <wp:effectExtent l="0" t="0" r="0" b="0"/>
                      <wp:wrapNone/>
                      <wp:docPr id="156" name="Frame156"/>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8115" cy="175260"/>
                      <wp:effectExtent l="0" t="0" r="0" b="0"/>
                      <wp:wrapNone/>
                      <wp:docPr id="157" name="Frame15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06730" cy="175260"/>
                      <wp:effectExtent l="0" t="0" r="0" b="0"/>
                      <wp:wrapNone/>
                      <wp:docPr id="158" name="Frame158"/>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3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    </w:t>
            </w:r>
          </w:p>
        </w:tc>
        <w:tc>
          <w:tcPr>
            <w:tcW w:w="9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1"/>
              <w:ind w:left="0" w:right="0" w:hanging="0"/>
              <w:jc w:val="center"/>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384" w:type="dxa"/>
            <w:tcBorders/>
            <w:shd w:fill="CCEEFF" w:val="clear"/>
            <w:vAlign w:val="center"/>
          </w:tcPr>
          <w:p>
            <w:pPr>
              <w:pStyle w:val="TableContents"/>
              <w:bidi w:val="0"/>
              <w:spacing w:before="0" w:after="1"/>
              <w:ind w:left="0" w:right="0" w:hanging="0"/>
              <w:jc w:val="center"/>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1"/>
              <w:ind w:left="0" w:right="0" w:hanging="0"/>
              <w:jc w:val="righ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1"/>
              <w:ind w:left="0" w:right="0" w:hanging="0"/>
              <w:jc w:val="left"/>
              <w:rPr/>
            </w:pPr>
            <w:r>
              <w:rPr/>
              <w:t> </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84" w:type="dxa"/>
            <w:tcBorders/>
            <w:vAlign w:val="center"/>
          </w:tcPr>
          <w:p>
            <w:pPr>
              <w:pStyle w:val="TableContents"/>
              <w:bidi w:val="0"/>
              <w:spacing w:before="0" w:after="1"/>
              <w:ind w:left="0" w:right="0" w:hanging="0"/>
              <w:jc w:val="left"/>
              <w:rPr/>
            </w:pPr>
            <w:r>
              <w:rPr/>
              <w:t> </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2,134</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3,327</w:t>
            </w:r>
          </w:p>
        </w:tc>
        <w:tc>
          <w:tcPr>
            <w:tcW w:w="384"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2,134</w:t>
            </w:r>
          </w:p>
        </w:tc>
      </w:tr>
    </w:tbl>
    <w:p>
      <w:pPr>
        <w:pStyle w:val="TextBody"/>
        <w:bidi w:val="0"/>
        <w:spacing w:before="0" w:after="240"/>
        <w:ind w:left="0" w:right="0" w:hanging="0"/>
        <w:jc w:val="left"/>
        <w:rPr/>
      </w:pPr>
      <w:r>
        <w:rPr/>
        <w:t>​</w:t>
      </w:r>
    </w:p>
    <w:tbl>
      <w:tblPr>
        <w:tblW w:w="5696" w:type="dxa"/>
        <w:jc w:val="left"/>
        <w:tblInd w:w="0" w:type="dxa"/>
        <w:tblLayout w:type="fixed"/>
        <w:tblCellMar>
          <w:top w:w="0" w:type="dxa"/>
          <w:left w:w="0" w:type="dxa"/>
          <w:bottom w:w="0" w:type="dxa"/>
          <w:right w:w="0" w:type="dxa"/>
        </w:tblCellMar>
      </w:tblPr>
      <w:tblGrid>
        <w:gridCol w:w="3211"/>
        <w:gridCol w:w="326"/>
        <w:gridCol w:w="228"/>
        <w:gridCol w:w="618"/>
        <w:gridCol w:w="353"/>
        <w:gridCol w:w="228"/>
        <w:gridCol w:w="732"/>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38985" cy="175260"/>
                      <wp:effectExtent l="0" t="0" r="0" b="0"/>
                      <wp:wrapNone/>
                      <wp:docPr id="159" name="Frame15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4780" cy="175260"/>
                      <wp:effectExtent l="0" t="0" r="0" b="0"/>
                      <wp:wrapNone/>
                      <wp:docPr id="161" name="Frame16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2430" cy="175260"/>
                      <wp:effectExtent l="0" t="0" r="0" b="0"/>
                      <wp:wrapNone/>
                      <wp:docPr id="162" name="Frame162"/>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4155" cy="175260"/>
                      <wp:effectExtent l="0" t="0" r="0" b="0"/>
                      <wp:wrapNone/>
                      <wp:docPr id="163" name="Frame16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4780" cy="175260"/>
                      <wp:effectExtent l="0" t="0" r="0" b="0"/>
                      <wp:wrapNone/>
                      <wp:docPr id="164" name="Frame16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64820" cy="175260"/>
                      <wp:effectExtent l="0" t="0" r="0" b="0"/>
                      <wp:wrapNone/>
                      <wp:docPr id="165" name="Frame165"/>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3" w:type="dxa"/>
            <w:tcBorders/>
            <w:vAlign w:val="center"/>
          </w:tcPr>
          <w:p>
            <w:pPr>
              <w:pStyle w:val="TableContents"/>
              <w:bidi w:val="0"/>
              <w:spacing w:before="0" w:after="0"/>
              <w:ind w:left="0" w:right="0" w:hanging="0"/>
              <w:jc w:val="center"/>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53"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5,191</w:t>
            </w:r>
          </w:p>
        </w:tc>
        <w:tc>
          <w:tcPr>
            <w:tcW w:w="353"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4,238</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978" w:name="Tc_EF8a6lf3q0i_DPsT6IQeIw_6_5"/>
      <w:bookmarkStart w:id="979" w:name="Tc_H2XZw12bZk6XwIpwJhM5FA_6_2"/>
      <w:bookmarkStart w:id="980" w:name="Tc_lMaCiyo4Zky87butBzeImQ_6_0"/>
      <w:bookmarkStart w:id="981" w:name="Tc_5puTWEeXtkGj2BRmiSGxLw_5_0"/>
      <w:bookmarkStart w:id="982" w:name="Tc_eHMhQzW8LEmVKrYUf6LSjw_4_0"/>
      <w:bookmarkStart w:id="983" w:name="Tc_O93oRos1O0qs7X618VAwrg_3_5"/>
      <w:bookmarkStart w:id="984" w:name="Tc_uWIE-RX3LUiS-efX2-263g_3_2"/>
      <w:bookmarkStart w:id="985" w:name="Tc_JjsMPhupykioyi-q9w00qg_3_0"/>
      <w:bookmarkStart w:id="986" w:name="Tc_P3UCtb_1ukGz_5NZIQ-X-Q_2_5"/>
      <w:bookmarkStart w:id="987" w:name="Tc_OMiHrVNxzkGnAehgwfZIAQ_2_2"/>
      <w:bookmarkStart w:id="988" w:name="Tc_3Giy15LgjkqXhjKE7jFL-g_2_0"/>
      <w:bookmarkStart w:id="989" w:name="Tc_raxfPrDyd0Wv3_17wKRIbQ_1_2"/>
      <w:bookmarkStart w:id="990" w:name="_bc09869d_e2be_46f4_b7e4_1117a6e54703"/>
      <w:bookmarkStart w:id="991" w:name="Tc_cMSRMjhhy0O9JFEHTa-32A_4_5"/>
      <w:bookmarkStart w:id="992" w:name="Tc_dYGb9JMiQ0G1HIxwB44mug_4_2"/>
      <w:bookmarkStart w:id="993" w:name="Tc_SuVp2PxcJUOuTMNeLLWrZg_4_0"/>
      <w:bookmarkStart w:id="994" w:name="Tc_wye2vutxYUyrz6Rc9jGhmg_3_5"/>
      <w:bookmarkStart w:id="995" w:name="Tc_VBfn4aQU60uDiofueoZUnw_3_2"/>
      <w:bookmarkStart w:id="996" w:name="Tc_gw_SXUTToE-GmqpNS35Ypg_3_0"/>
      <w:bookmarkStart w:id="997" w:name="Tc_iHKaBeWiekmhssq3nPNoZA_2_5"/>
      <w:bookmarkStart w:id="998" w:name="Tc_hPzWpStoc0yaYb9wDJQjYg_2_2"/>
      <w:bookmarkStart w:id="999" w:name="Tc_lNxHBj693kWbK2KKdJByfg_2_0"/>
      <w:bookmarkStart w:id="1000" w:name="Tc_sMmBX6l7906ncOv6NxpuTQ_1_5"/>
      <w:bookmarkStart w:id="1001" w:name="Tc_n0oghPJ0JkWnHzdcbrR0yA_1_2"/>
      <w:bookmarkStart w:id="1002" w:name="Tc_9iYkdhWWpkuCUlVxMJB0BQ_1_0"/>
      <w:bookmarkStart w:id="1003" w:name="_1141a5a0_9a0c_4fed_99f5_df96cf13625d"/>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r>
        <w:rPr>
          <w:rFonts w:ascii="Times New Roman;Times;serif" w:hAnsi="Times New Roman;Times;serif"/>
          <w:sz w:val="20"/>
        </w:rPr>
        <w:t>Selected condensed consolidated balance sheet line items that reflect accounts receivable, contract assets and liabilities as of June 30, 2023 and December 31, 2022 were as follows:</w:t>
      </w:r>
    </w:p>
    <w:tbl>
      <w:tblPr>
        <w:tblW w:w="5234" w:type="dxa"/>
        <w:jc w:val="left"/>
        <w:tblInd w:w="0" w:type="dxa"/>
        <w:tblLayout w:type="fixed"/>
        <w:tblCellMar>
          <w:top w:w="0" w:type="dxa"/>
          <w:left w:w="0" w:type="dxa"/>
          <w:bottom w:w="0" w:type="dxa"/>
          <w:right w:w="0" w:type="dxa"/>
        </w:tblCellMar>
      </w:tblPr>
      <w:tblGrid>
        <w:gridCol w:w="1801"/>
        <w:gridCol w:w="326"/>
        <w:gridCol w:w="303"/>
        <w:gridCol w:w="823"/>
        <w:gridCol w:w="326"/>
        <w:gridCol w:w="405"/>
        <w:gridCol w:w="1096"/>
        <w:gridCol w:w="154"/>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43635" cy="175260"/>
                      <wp:effectExtent l="0" t="0" r="0" b="0"/>
                      <wp:wrapNone/>
                      <wp:docPr id="166" name="Frame16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92405" cy="175260"/>
                      <wp:effectExtent l="0" t="0" r="0" b="0"/>
                      <wp:wrapNone/>
                      <wp:docPr id="168" name="Frame16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22605" cy="175260"/>
                      <wp:effectExtent l="0" t="0" r="0" b="0"/>
                      <wp:wrapNone/>
                      <wp:docPr id="169" name="Frame169"/>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7175" cy="175260"/>
                      <wp:effectExtent l="0" t="0" r="0" b="0"/>
                      <wp:wrapNone/>
                      <wp:docPr id="171" name="Frame17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5960" cy="175260"/>
                      <wp:effectExtent l="0" t="0" r="0" b="0"/>
                      <wp:wrapNone/>
                      <wp:docPr id="172" name="Frame17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7790" cy="175260"/>
                      <wp:effectExtent l="0" t="0" r="0" b="0"/>
                      <wp:wrapNone/>
                      <wp:docPr id="173" name="Frame17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154"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7,576</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54"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tbl>
      <w:tblPr>
        <w:tblW w:w="5881" w:type="dxa"/>
        <w:jc w:val="left"/>
        <w:tblInd w:w="0" w:type="dxa"/>
        <w:tblLayout w:type="fixed"/>
        <w:tblCellMar>
          <w:top w:w="0" w:type="dxa"/>
          <w:left w:w="0" w:type="dxa"/>
          <w:bottom w:w="0" w:type="dxa"/>
          <w:right w:w="0" w:type="dxa"/>
        </w:tblCellMar>
      </w:tblPr>
      <w:tblGrid>
        <w:gridCol w:w="3271"/>
        <w:gridCol w:w="326"/>
        <w:gridCol w:w="211"/>
        <w:gridCol w:w="691"/>
        <w:gridCol w:w="326"/>
        <w:gridCol w:w="211"/>
        <w:gridCol w:w="691"/>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8785" cy="175260"/>
                      <wp:effectExtent l="0" t="0" r="0" b="0"/>
                      <wp:wrapNone/>
                      <wp:docPr id="176" name="Frame1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8785" cy="175260"/>
                      <wp:effectExtent l="0" t="0" r="0" b="0"/>
                      <wp:wrapNone/>
                      <wp:docPr id="179"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7790" cy="175260"/>
                      <wp:effectExtent l="0" t="0" r="0" b="0"/>
                      <wp:wrapNone/>
                      <wp:docPr id="180" name="Frame1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recognized as revenue from beginning contract liabilities in the three and six months ended June 30, 2023 totaled $0.1 million and $0.5 million, respectively. Amounts recognized as revenue from beginning contract liabilities in the three and six months ended June 30, 2022 totaled $0.1 million and $0.6 million, respectively. Remaining performance obligations represent the portion of the transaction price that has not yet been satisfied or achieved. As of June 30, 2023, the aggregate amount of the transaction price allocated to remaining performance obligations was approximately $5.4 million. The Company expects to recognize estimated revenues related to performance obligations that are unsatisfied (or partially satisfied) in the amounts of approximately $3.5 million during the remainder of the year ended December 31, 2023, and $1.9 million during the year ended December 31,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June 30, 2023 and December 31, 2022.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04" w:name="Tc_zekjiiAU70GGzQf1bp2vGw_11_11"/>
      <w:bookmarkStart w:id="1005" w:name="Tc_lvwbvweGvUOZB0hQ8ta6Ng_11_8"/>
      <w:bookmarkStart w:id="1006" w:name="Tc_dPz2MGvTH0Gk9W1fsGdNdA_11_5"/>
      <w:bookmarkStart w:id="1007" w:name="Tc_CXBFO71Kdk6U2LWzlrmaGA_11_2"/>
      <w:bookmarkStart w:id="1008" w:name="Tc__c8CxoGmbE-G88nD16SaxA_11_0"/>
      <w:bookmarkStart w:id="1009" w:name="Tc_POCb7SzAnUWGvNV-3s0Amw_10_9"/>
      <w:bookmarkStart w:id="1010" w:name="Tc_A_z9x9HUu0-V8lOhY68Pyw_10_6"/>
      <w:bookmarkStart w:id="1011" w:name="Tc_PrSy03jWIUucLTfba-kl9g_10_0"/>
      <w:bookmarkStart w:id="1012" w:name="Tc_ae_TJ6XTA02wZWbkd1eX1Q_9_6"/>
      <w:bookmarkStart w:id="1013" w:name="Tc_yW7402mEoESdfOfIItlknw_9_0"/>
      <w:bookmarkStart w:id="1014" w:name="Tc_UuMAVIw3qk6jpRixgXAvYg_8_0"/>
      <w:bookmarkStart w:id="1015" w:name="Tc_s7R2kg9F1UKrVud3jy09bA_7_11"/>
      <w:bookmarkStart w:id="1016" w:name="Tc_yWaJMe5wckqZG1pJwEDD8Q_7_8"/>
      <w:bookmarkStart w:id="1017" w:name="Tc_BgSoK1Dm3Uirv_ZAmqLMCg_7_6"/>
      <w:bookmarkStart w:id="1018" w:name="Tc_y1Ewogg7YUmBqU6T-qYuew_7_5"/>
      <w:bookmarkStart w:id="1019" w:name="Tc_7PRQrCZyo0m44wvjSDluMA_7_2"/>
      <w:bookmarkStart w:id="1020" w:name="Tc_8nQpYSRDd0-cfiRTEeGjfw_7_0"/>
      <w:bookmarkStart w:id="1021" w:name="Tc_XOKim6PGNE6l4vuTaz7hBQ_6_0"/>
      <w:bookmarkStart w:id="1022" w:name="Tc__e4NIasC5Uehg1XJ8kt8NA_5_11"/>
      <w:bookmarkStart w:id="1023" w:name="Tc_C0KCqHyhSEqpm-fBVfdpAg_5_8"/>
      <w:bookmarkStart w:id="1024" w:name="Tc_gm5kPIBXO0y3_DAMmZsyQA_5_5"/>
      <w:bookmarkStart w:id="1025" w:name="Tc_OVHCR3Ajr0OhUX3k0lr4qQ_5_2"/>
      <w:bookmarkStart w:id="1026" w:name="Tc_nmYTvxWxw0CmKbdw52hQfg_5_0"/>
      <w:bookmarkStart w:id="1027" w:name="Tc__EkOZTKvc0mc8JekvqyL4g_4_0"/>
      <w:bookmarkStart w:id="1028" w:name="Tc_Z43XvOC7wkuYEA819TEY-A_3_11"/>
      <w:bookmarkStart w:id="1029" w:name="Tc_CH7_QlF3R0yM-WAZE3FJXQ_3_8"/>
      <w:bookmarkStart w:id="1030" w:name="Tc_D1wPcd8bjE6eeOuX_rwEEA_3_5"/>
      <w:bookmarkStart w:id="1031" w:name="Tc_6A1Ggubm2ESB5uELXvUItw_3_2"/>
      <w:bookmarkStart w:id="1032" w:name="Tc_FqubzT6hkUeEvIHnXVEl2g_3_0"/>
      <w:bookmarkStart w:id="1033" w:name="Tc_j0d_yaG7w0mr2TYCTVzXwQ_2_11"/>
      <w:bookmarkStart w:id="1034" w:name="Tc_Au-JGJy2ZkGTmEIA03Qhew_2_8"/>
      <w:bookmarkStart w:id="1035" w:name="Tc_xVq8fDnDV0Wubbzt3WbWUg_2_5"/>
      <w:bookmarkStart w:id="1036" w:name="Tc_lWwPzW11wUWjvr7YdQSHXQ_2_2"/>
      <w:bookmarkStart w:id="1037" w:name="Tc_BI1ceLO540O1_Cl0_V-J4w_1_2"/>
      <w:bookmarkStart w:id="1038" w:name="_1e4d5122_7d71_4397_96b1_61a4c47b722b"/>
      <w:bookmarkStart w:id="1039" w:name="Tc_zekjiiAU70GGzQf1bp2vGw_11_11"/>
      <w:bookmarkStart w:id="1040" w:name="Tc_lvwbvweGvUOZB0hQ8ta6Ng_11_8"/>
      <w:bookmarkStart w:id="1041" w:name="Tc_dPz2MGvTH0Gk9W1fsGdNdA_11_5"/>
      <w:bookmarkStart w:id="1042" w:name="Tc_CXBFO71Kdk6U2LWzlrmaGA_11_2"/>
      <w:bookmarkStart w:id="1043" w:name="Tc__c8CxoGmbE-G88nD16SaxA_11_0"/>
      <w:bookmarkStart w:id="1044" w:name="Tc_POCb7SzAnUWGvNV-3s0Amw_10_9"/>
      <w:bookmarkStart w:id="1045" w:name="Tc_A_z9x9HUu0-V8lOhY68Pyw_10_6"/>
      <w:bookmarkStart w:id="1046" w:name="Tc_PrSy03jWIUucLTfba-kl9g_10_0"/>
      <w:bookmarkStart w:id="1047" w:name="Tc_ae_TJ6XTA02wZWbkd1eX1Q_9_6"/>
      <w:bookmarkStart w:id="1048" w:name="Tc_yW7402mEoESdfOfIItlknw_9_0"/>
      <w:bookmarkStart w:id="1049" w:name="Tc_UuMAVIw3qk6jpRixgXAvYg_8_0"/>
      <w:bookmarkStart w:id="1050" w:name="Tc_s7R2kg9F1UKrVud3jy09bA_7_11"/>
      <w:bookmarkStart w:id="1051" w:name="Tc_yWaJMe5wckqZG1pJwEDD8Q_7_8"/>
      <w:bookmarkStart w:id="1052" w:name="Tc_BgSoK1Dm3Uirv_ZAmqLMCg_7_6"/>
      <w:bookmarkStart w:id="1053" w:name="Tc_y1Ewogg7YUmBqU6T-qYuew_7_5"/>
      <w:bookmarkStart w:id="1054" w:name="Tc_7PRQrCZyo0m44wvjSDluMA_7_2"/>
      <w:bookmarkStart w:id="1055" w:name="Tc_8nQpYSRDd0-cfiRTEeGjfw_7_0"/>
      <w:bookmarkStart w:id="1056" w:name="Tc_XOKim6PGNE6l4vuTaz7hBQ_6_0"/>
      <w:bookmarkStart w:id="1057" w:name="Tc__e4NIasC5Uehg1XJ8kt8NA_5_11"/>
      <w:bookmarkStart w:id="1058" w:name="Tc_C0KCqHyhSEqpm-fBVfdpAg_5_8"/>
      <w:bookmarkStart w:id="1059" w:name="Tc_gm5kPIBXO0y3_DAMmZsyQA_5_5"/>
      <w:bookmarkStart w:id="1060" w:name="Tc_OVHCR3Ajr0OhUX3k0lr4qQ_5_2"/>
      <w:bookmarkStart w:id="1061" w:name="Tc_nmYTvxWxw0CmKbdw52hQfg_5_0"/>
      <w:bookmarkStart w:id="1062" w:name="Tc__EkOZTKvc0mc8JekvqyL4g_4_0"/>
      <w:bookmarkStart w:id="1063" w:name="Tc_Z43XvOC7wkuYEA819TEY-A_3_11"/>
      <w:bookmarkStart w:id="1064" w:name="Tc_CH7_QlF3R0yM-WAZE3FJXQ_3_8"/>
      <w:bookmarkStart w:id="1065" w:name="Tc_D1wPcd8bjE6eeOuX_rwEEA_3_5"/>
      <w:bookmarkStart w:id="1066" w:name="Tc_6A1Ggubm2ESB5uELXvUItw_3_2"/>
      <w:bookmarkStart w:id="1067" w:name="Tc_FqubzT6hkUeEvIHnXVEl2g_3_0"/>
      <w:bookmarkStart w:id="1068" w:name="Tc_j0d_yaG7w0mr2TYCTVzXwQ_2_11"/>
      <w:bookmarkStart w:id="1069" w:name="Tc_Au-JGJy2ZkGTmEIA03Qhew_2_8"/>
      <w:bookmarkStart w:id="1070" w:name="Tc_xVq8fDnDV0Wubbzt3WbWUg_2_5"/>
      <w:bookmarkStart w:id="1071" w:name="Tc_lWwPzW11wUWjvr7YdQSHXQ_2_2"/>
      <w:bookmarkStart w:id="1072" w:name="Tc_BI1ceLO540O1_Cl0_V-J4w_1_2"/>
      <w:bookmarkStart w:id="1073" w:name="_1e4d5122_7d71_4397_96b1_61a4c47b722b"/>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tbl>
      <w:tblPr>
        <w:tblW w:w="1892" w:type="dxa"/>
        <w:jc w:val="left"/>
        <w:tblInd w:w="0" w:type="dxa"/>
        <w:tblLayout w:type="fixed"/>
        <w:tblCellMar>
          <w:top w:w="0" w:type="dxa"/>
          <w:left w:w="0" w:type="dxa"/>
          <w:bottom w:w="0" w:type="dxa"/>
          <w:right w:w="0" w:type="dxa"/>
        </w:tblCellMar>
      </w:tblPr>
      <w:tblGrid>
        <w:gridCol w:w="271"/>
        <w:gridCol w:w="162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6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are classified as cash equivalents and investments in fixed income securities are classified as available-for-sale in the consolidated balance sheets. Available-for-sale fixed income securities are recorded at their estimated fair value. The amortized cost, gross unrealized holding gains and losses included in other comprehensive income and the fair value of the available-for-sale fixed income securities at June 30, 2023 and December 31, 2022 are presented in the tables below.</w:t>
      </w:r>
    </w:p>
    <w:p>
      <w:pPr>
        <w:pStyle w:val="TextBody"/>
        <w:bidi w:val="0"/>
        <w:spacing w:before="0" w:after="0"/>
        <w:ind w:left="0" w:right="0" w:hanging="0"/>
        <w:jc w:val="left"/>
        <w:rPr/>
      </w:pPr>
      <w:r>
        <w:rPr/>
        <w:t>​</w:t>
      </w:r>
    </w:p>
    <w:tbl>
      <w:tblPr>
        <w:tblW w:w="8620"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18"/>
        <w:gridCol w:w="568"/>
        <w:gridCol w:w="326"/>
        <w:gridCol w:w="211"/>
        <w:gridCol w:w="676"/>
        <w:gridCol w:w="154"/>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2725" cy="175260"/>
                      <wp:effectExtent l="0" t="0" r="0" b="0"/>
                      <wp:wrapNone/>
                      <wp:docPr id="185" name="Frame18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49885" cy="175260"/>
                      <wp:effectExtent l="0" t="0" r="0" b="0"/>
                      <wp:wrapNone/>
                      <wp:docPr id="186" name="Frame18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1930" cy="175260"/>
                      <wp:effectExtent l="0" t="0" r="0" b="0"/>
                      <wp:wrapNone/>
                      <wp:docPr id="188" name="Frame18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0680" cy="175260"/>
                      <wp:effectExtent l="0" t="0" r="0" b="0"/>
                      <wp:wrapNone/>
                      <wp:docPr id="189" name="Frame189"/>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9260" cy="175260"/>
                      <wp:effectExtent l="0" t="0" r="0" b="0"/>
                      <wp:wrapNone/>
                      <wp:docPr id="192" name="Frame1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7790" cy="175260"/>
                      <wp:effectExtent l="0" t="0" r="0" b="0"/>
                      <wp:wrapNone/>
                      <wp:docPr id="193" name="Frame1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16,947</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16,947</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6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20,939</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20,911</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45,107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83,838</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83,765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1074" w:name="Tc_fcdpzxPnk0aSfxPUbMlKfg_10_11"/>
      <w:bookmarkStart w:id="1075" w:name="Tc_nuSTMcv3702uLgpQPjQVvw_10_8"/>
      <w:bookmarkStart w:id="1076" w:name="Tc_d-dOM5vkNU-94Kui2k1OIw_10_6"/>
      <w:bookmarkStart w:id="1077" w:name="Tc_nHgYjzm8nUKfntk-dG250g_10_5"/>
      <w:bookmarkStart w:id="1078" w:name="Tc_3ipDbpVOOkaBYFhXDNuWZQ_10_2"/>
      <w:bookmarkStart w:id="1079" w:name="Tc_lxF8eEke9EWEqSbvxSbz7g_10_0"/>
      <w:bookmarkStart w:id="1080" w:name="Tc_7tamEA0740yVDWJsEK-64Q_9_9"/>
      <w:bookmarkStart w:id="1081" w:name="Tc_majNAZ0nz0q5wDO5AciCig_9_6"/>
      <w:bookmarkStart w:id="1082" w:name="Tc_49ij-axDlEi2ag7UAzrlRQ_9_0"/>
      <w:bookmarkStart w:id="1083" w:name="Tc_9b2s2gCDR06QPzNaU6lp0Q_8_6"/>
      <w:bookmarkStart w:id="1084" w:name="Tc_RqO_fkyNJEqTJwzaxtTmbQ_8_0"/>
      <w:bookmarkStart w:id="1085" w:name="Tc_TvOiU3DkVkmqEt7FY1rpRw_7_11"/>
      <w:bookmarkStart w:id="1086" w:name="Tc_s_yPPCHzO0ulbss_o2dmnw_7_8"/>
      <w:bookmarkStart w:id="1087" w:name="Tc_D_HBPh88Tkie83eMUTqa8Q_7_6"/>
      <w:bookmarkStart w:id="1088" w:name="Tc_DMm4bwMS5Ee0HtSaZ9C-iA_7_5"/>
      <w:bookmarkStart w:id="1089" w:name="Tc_4NY6yT-SYUKmt-ur9y49JQ_7_2"/>
      <w:bookmarkStart w:id="1090" w:name="Tc_rQGWEHHQs0u3ra7mNwfFpg_7_0"/>
      <w:bookmarkStart w:id="1091" w:name="Tc_gxLiwIWrzE-cdXkhrMUIiw_6_0"/>
      <w:bookmarkStart w:id="1092" w:name="Tc_4NRVAKyr1U--SmJWt6ge1Q_5_11"/>
      <w:bookmarkStart w:id="1093" w:name="Tc_tnAnmvVi8UCwcq2BHHgEhg_5_9"/>
      <w:bookmarkStart w:id="1094" w:name="Tc_YEpDzKmfq0ysXN3SCXjonA_5_8"/>
      <w:bookmarkStart w:id="1095" w:name="Tc_GmUjMVEqQkW2i7TBgXJTvQ_5_6"/>
      <w:bookmarkStart w:id="1096" w:name="Tc_ID_OYEN9ikm7BM8DXwOjwA_5_5"/>
      <w:bookmarkStart w:id="1097" w:name="Tc_pZffD_GHmUaxjeZoRINRDQ_5_2"/>
      <w:bookmarkStart w:id="1098" w:name="Tc_y1lS-Mip50KbJt-JnuzuQA_5_0"/>
      <w:bookmarkStart w:id="1099" w:name="Tc_Afjb0tK3yUqsQi8Ywp4-SA_4_0"/>
      <w:bookmarkStart w:id="1100" w:name="Tc_-RnRJgfcek-M-3FWNu4V9w_3_11"/>
      <w:bookmarkStart w:id="1101" w:name="Tc_3JgVsFq8OEWcp0p3AIJ_UA_3_8"/>
      <w:bookmarkStart w:id="1102" w:name="Tc_SE_e2dhKl06rLz2XfbhZ8w_3_5"/>
      <w:bookmarkStart w:id="1103" w:name="Tc_X2TD9TDGjEilnAGNrJXQCA_3_2"/>
      <w:bookmarkStart w:id="1104" w:name="Tc_SgRFzn3UA0eCMymO9j1hlg_3_0"/>
      <w:bookmarkStart w:id="1105" w:name="Tc_uMmGVBR6iEa3N0SLFn17-Q_2_11"/>
      <w:bookmarkStart w:id="1106" w:name="Tc_XaU2bTFiIU-wRyGL_Syj5A_2_8"/>
      <w:bookmarkStart w:id="1107" w:name="Tc_VvPxB0TjHEujyHRAZr-J5Q_2_5"/>
      <w:bookmarkStart w:id="1108" w:name="Tc_l7ClDqedPkWKbLUfjJA5tw_2_2"/>
      <w:bookmarkStart w:id="1109" w:name="Tc_hbot9u1Ymk-KAL_9H5mh7A_1_2"/>
      <w:bookmarkStart w:id="1110" w:name="_34ae83b5_5fc0_4896_912e_dd0979131730"/>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t>​</w:t>
      </w:r>
    </w:p>
    <w:tbl>
      <w:tblPr>
        <w:tblW w:w="8571"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270"/>
        <w:gridCol w:w="616"/>
        <w:gridCol w:w="326"/>
        <w:gridCol w:w="211"/>
        <w:gridCol w:w="781"/>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6" name="Frame19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2725" cy="175260"/>
                      <wp:effectExtent l="0" t="0" r="0" b="0"/>
                      <wp:wrapNone/>
                      <wp:docPr id="198" name="Frame19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49885" cy="175260"/>
                      <wp:effectExtent l="0" t="0" r="0" b="0"/>
                      <wp:wrapNone/>
                      <wp:docPr id="199" name="Frame19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1450" cy="175260"/>
                      <wp:effectExtent l="0" t="0" r="0" b="0"/>
                      <wp:wrapNone/>
                      <wp:docPr id="201" name="Frame20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91160" cy="175260"/>
                      <wp:effectExtent l="0" t="0" r="0" b="0"/>
                      <wp:wrapNone/>
                      <wp:docPr id="202" name="Frame20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5935" cy="175260"/>
                      <wp:effectExtent l="0" t="0" r="0" b="0"/>
                      <wp:wrapNone/>
                      <wp:docPr id="205" name="Frame2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58,514</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85,237</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84,923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June 30, 2023 or December 31, 2022. 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 Accordingly, the Company determined that none of the unrealized losses were other-than-temporary, and that recognition of an impairment charge was not required as of June 30, 2023 or December 31, 2022. As of June 30, 2023, there were 14 securities that were in an unrealized loss position with a market value of $64.6 million, with the largest loss for any single security being inconsequential. None of the Company’s available-for-sale securities have been in an unrealized loss position for more than one year. No available-for-sale securities were sold in the three and six months ended June 30, 2023 or the three and six months ended June 30,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8 for additional information regarding the fair value of the Company’s available-for-sale securities.</w:t>
      </w:r>
    </w:p>
    <w:p>
      <w:pPr>
        <w:pStyle w:val="TextBody"/>
        <w:bidi w:val="0"/>
        <w:spacing w:before="0" w:after="0"/>
        <w:ind w:left="0" w:right="0" w:hanging="0"/>
        <w:jc w:val="left"/>
        <w:rPr/>
      </w:pPr>
      <w:r>
        <w:rPr/>
        <w:t>​</w:t>
      </w:r>
    </w:p>
    <w:tbl>
      <w:tblPr>
        <w:tblW w:w="3362" w:type="dxa"/>
        <w:jc w:val="left"/>
        <w:tblInd w:w="0" w:type="dxa"/>
        <w:tblLayout w:type="fixed"/>
        <w:tblCellMar>
          <w:top w:w="0" w:type="dxa"/>
          <w:left w:w="0" w:type="dxa"/>
          <w:bottom w:w="0" w:type="dxa"/>
          <w:right w:w="0" w:type="dxa"/>
        </w:tblCellMar>
      </w:tblPr>
      <w:tblGrid>
        <w:gridCol w:w="271"/>
        <w:gridCol w:w="30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30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11" w:name="Tc_BZYUaj1FfEeJftsj5aEQ5A_21_8"/>
      <w:bookmarkStart w:id="1112" w:name="Tc_rvQlk2Rrk0-et-ZUVeBU3Q_21_5"/>
      <w:bookmarkStart w:id="1113" w:name="Tc_v9aTiI3LT0aENZjTGKNFMA_21_2"/>
      <w:bookmarkStart w:id="1114" w:name="Tc_WaHU1a32x0WDa2HoN0tkGg_21_0"/>
      <w:bookmarkStart w:id="1115" w:name="Tc_gymMjk_n50WXDU3hjrZ1mw_20_0"/>
      <w:bookmarkStart w:id="1116" w:name="Tc_0i2k4n4YtkaVOinBkDMj-w_19_0"/>
      <w:bookmarkStart w:id="1117" w:name="Tc_lNFgr3H--Um-lm7lSqlHtQ_18_8"/>
      <w:bookmarkStart w:id="1118" w:name="Tc_SWj8nUexcE2B2Z4hkE1g2Q_18_5"/>
      <w:bookmarkStart w:id="1119" w:name="Tc_kslht0l4gECkj8Q5LkGMmg_18_2"/>
      <w:bookmarkStart w:id="1120" w:name="Tc_WIUr04OX9ESpsWWHf7cjkg_18_0"/>
      <w:bookmarkStart w:id="1121" w:name="Tc_XNVD7flzuUGbfgcrhgFa8g_17_0"/>
      <w:bookmarkStart w:id="1122" w:name="Tc_srM4YpkEVEyXj5ksXBeIAQ_16_8"/>
      <w:bookmarkStart w:id="1123" w:name="Tc_0Snb_HnGfUODuE2IYwfO8A_16_5"/>
      <w:bookmarkStart w:id="1124" w:name="Tc_N6IMal2N00imlseSQqFSfw_16_2"/>
      <w:bookmarkStart w:id="1125" w:name="Tc_CbETW9BCVEO_57qqtJ93jg_16_0"/>
      <w:bookmarkStart w:id="1126" w:name="Tc_V0Uwd3qqTE6bwXCHBG194Q_15_0"/>
      <w:bookmarkStart w:id="1127" w:name="Tc_1Sbt97VmYkGwP-N9IQm0jw_14_0"/>
      <w:bookmarkStart w:id="1128" w:name="Tc_HZwmqEMIPUenfZ1zybnT3Q_13_0"/>
      <w:bookmarkStart w:id="1129" w:name="Tc_4H2X3mhwxkus4fEOAHhO1g_12_0"/>
      <w:bookmarkStart w:id="1130" w:name="Tc_NP8v3XLLokuKvNeisS4niQ_11_0"/>
      <w:bookmarkStart w:id="1131" w:name="Tc_9xh0O177bkWnO6oVwU-slA_10_8"/>
      <w:bookmarkStart w:id="1132" w:name="Tc_p6uKhfSlfEy72oQ9YhZssQ_10_5"/>
      <w:bookmarkStart w:id="1133" w:name="Tc_WUwy4TJOaUKY1XXrEVyucw_10_2"/>
      <w:bookmarkStart w:id="1134" w:name="Tc_z0TDwHFMI0Olk6he3DmkIQ_10_0"/>
      <w:bookmarkStart w:id="1135" w:name="Tc_V8rOtCMBSE2fYsvUs6EOQA_9_0"/>
      <w:bookmarkStart w:id="1136" w:name="Tc_z3qwlpAqXUSjxfQmKcMl4A_8_0"/>
      <w:bookmarkStart w:id="1137" w:name="Tc_R26j4kf7wUORS7LkHpx4sw_7_8"/>
      <w:bookmarkStart w:id="1138" w:name="Tc_Ap81ECVubUiIsC97sE2uEw_7_5"/>
      <w:bookmarkStart w:id="1139" w:name="Tc_YEL7sYCQH0O-PoVo-cpYqg_7_2"/>
      <w:bookmarkStart w:id="1140" w:name="Tc_fO03MScFDUGd-SuK4aPcTA_7_0"/>
      <w:bookmarkStart w:id="1141" w:name="Tc_sgSxYRHlgUiX8U7y1V6AzQ_6_8"/>
      <w:bookmarkStart w:id="1142" w:name="Tc_NxkyS01_wEujOOvslbvxZw_6_5"/>
      <w:bookmarkStart w:id="1143" w:name="Tc_d2gy5cCBXUWQ04c1Ey_d0w_6_2"/>
      <w:bookmarkStart w:id="1144" w:name="Tc_xCcJJHOhDk26qMHdsfJwUg_5_8"/>
      <w:bookmarkStart w:id="1145" w:name="Tc_1It-FImV5UCi-j8ftNrkTA_5_5"/>
      <w:bookmarkStart w:id="1146" w:name="Tc_g_idgPVr5k6v9P2VpMUiwQ_5_2"/>
      <w:bookmarkStart w:id="1147" w:name="Tc_e2TdJc128EOUKfHenczlUg_4_8"/>
      <w:bookmarkStart w:id="1148" w:name="Tc_tBZ3UU-jiUuB5etaKf4UOg_4_5"/>
      <w:bookmarkStart w:id="1149" w:name="Tc_OpQDmhnUv0CPV0Fb2X5OfQ_4_2"/>
      <w:bookmarkStart w:id="1150" w:name="Tc_rP1m_iXMOUO45f_03rWizw_3_5"/>
      <w:bookmarkStart w:id="1151" w:name="Tc_GcKhvpZQnEuAcNHvVnitKA_3_2"/>
      <w:bookmarkStart w:id="1152" w:name="Tc_GdVv6jxXzUKBy2sBk2afaA_2_2"/>
      <w:bookmarkStart w:id="1153" w:name="Tc_heYfdvtYHki70-yHtNvpqw_1_2"/>
      <w:bookmarkStart w:id="1154" w:name="_42d2fb24_d8fd_4d3c_a49d_5b5eba6b87c8"/>
      <w:bookmarkStart w:id="1155" w:name="Tc_gxhkSohfMk-Qsb1TNUTLqQ_22_8"/>
      <w:bookmarkStart w:id="1156" w:name="Tc_PXblffCYW0K0KZhbvx8zag_22_5"/>
      <w:bookmarkStart w:id="1157" w:name="Tc_-BBwezaQIEK5gLyaD6WHEw_22_2"/>
      <w:bookmarkStart w:id="1158" w:name="Tc_tfIee50wWUGRZfws1h-8Zw_22_0"/>
      <w:bookmarkStart w:id="1159" w:name="Tc_G6H8dE-uXEekaokOXfsFxg_21_0"/>
      <w:bookmarkStart w:id="1160" w:name="Tc_LWTX7aXq50ybX5BDXjvUfw_20_0"/>
      <w:bookmarkStart w:id="1161" w:name="Tc_bVb4z1LODEW_T8kKRydpqA_19_8"/>
      <w:bookmarkStart w:id="1162" w:name="Tc_GAy_dGQFKUOJ0CUd9priaw_19_5"/>
      <w:bookmarkStart w:id="1163" w:name="Tc_1XPP6qOMak2EbQpcO3kziw_19_2"/>
      <w:bookmarkStart w:id="1164" w:name="Tc_kn-on1NE60O_DGM41bfb8Q_19_0"/>
      <w:bookmarkStart w:id="1165" w:name="Tc_ywehL8w-KUShSqhvn_gM7A_18_0"/>
      <w:bookmarkStart w:id="1166" w:name="Tc_P1nTbymjWk-OOrBhm6IMRQ_17_8"/>
      <w:bookmarkStart w:id="1167" w:name="Tc_YMpI6ICQzUy0WqSgTbrZkQ_17_5"/>
      <w:bookmarkStart w:id="1168" w:name="Tc_YqAF_1c1MEmjygpk-Ve7eA_17_2"/>
      <w:bookmarkStart w:id="1169" w:name="Tc_JHJ_afaocUCp_nsKhwN01Q_17_0"/>
      <w:bookmarkStart w:id="1170" w:name="Tc_lKxvsk9cxUiDxw88KRfesA_16_0"/>
      <w:bookmarkStart w:id="1171" w:name="Tc_z3C-XVa3tkix8wNI3aAYkg_15_0"/>
      <w:bookmarkStart w:id="1172" w:name="Tc_BRFmlKQgE0eqndTt-GpKVQ_14_0"/>
      <w:bookmarkStart w:id="1173" w:name="Tc_AXZBhVacPE2Lsl1luo5IHw_13_0"/>
      <w:bookmarkStart w:id="1174" w:name="Tc_9iedANtN6E6INzugwLhqpw_12_0"/>
      <w:bookmarkStart w:id="1175" w:name="Tc_ZFBjmwi8fESCNg7J_eot1w_11_0"/>
      <w:bookmarkStart w:id="1176" w:name="Tc_UCpm44gjYEiWQ8ln1fh0EQ_10_8"/>
      <w:bookmarkStart w:id="1177" w:name="Tc_ZkanKEe8lE-e6Z6-3AOfQA_10_5"/>
      <w:bookmarkStart w:id="1178" w:name="Tc_U6QYWGgzmk-hAce5_W0Tqw_10_2"/>
      <w:bookmarkStart w:id="1179" w:name="Tc_Zr03vnDOlkurYHgN-rWWbw_10_0"/>
      <w:bookmarkStart w:id="1180" w:name="Tc_9Vqipmdhv0GYf-GuopEE1A_9_0"/>
      <w:bookmarkStart w:id="1181" w:name="Tc_VI5vHmKaZUWDB4ovo737DA_8_0"/>
      <w:bookmarkStart w:id="1182" w:name="Tc_OQwb7Zqwp0u8BYkSjoLWWQ_7_8"/>
      <w:bookmarkStart w:id="1183" w:name="Tc_mK8qhqmCEEKulZBGqyaUzQ_7_5"/>
      <w:bookmarkStart w:id="1184" w:name="Tc_lY48ITovMEKZpcCAn-TlFw_7_2"/>
      <w:bookmarkStart w:id="1185" w:name="Tc_Vyoll_sDG0WwO7VXLo37Eg_7_0"/>
      <w:bookmarkStart w:id="1186" w:name="Tc_22MZtavXbEiEqiEeBhbH5Q_6_8"/>
      <w:bookmarkStart w:id="1187" w:name="Tc_QIM7NHsPKE-SFKT86wWQ3Q_6_5"/>
      <w:bookmarkStart w:id="1188" w:name="Tc__y3ajdMjoU2gsG73ACYXUQ_6_2"/>
      <w:bookmarkStart w:id="1189" w:name="Tc_N1SsiI46qUm_izcN6fTcpw_5_8"/>
      <w:bookmarkStart w:id="1190" w:name="Tc_VhtqawsOnUONkVHNhEnIQQ_5_5"/>
      <w:bookmarkStart w:id="1191" w:name="Tc_5IksvkOZr0-dVkmJ6-TP9Q_5_2"/>
      <w:bookmarkStart w:id="1192" w:name="Tc_NkcKKThbf0C6nzsdPVEcOw_4_8"/>
      <w:bookmarkStart w:id="1193" w:name="Tc_6YD0G0E800iiebFRZrqVFw_4_5"/>
      <w:bookmarkStart w:id="1194" w:name="Tc_npyaQUL13U23vZRtJwjxxw_4_2"/>
      <w:bookmarkStart w:id="1195" w:name="Tc_pzUbGXPuS0aebmnobMsTkw_3_5"/>
      <w:bookmarkStart w:id="1196" w:name="Tc_YeMt9jmJ40yYZmtHfm9y1g_3_2"/>
      <w:bookmarkStart w:id="1197" w:name="Tc_SZj96CaqUEeM3UB-Ry5RIA_2_2"/>
      <w:bookmarkStart w:id="1198" w:name="Tc_AkBxU41d6EqgvUSGNIbxug_1_2"/>
      <w:bookmarkStart w:id="1199" w:name="_795cc3c0_ac8c_44a3_9511_86db4026b985"/>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r>
        <w:rPr>
          <w:rFonts w:ascii="Times New Roman;Times;serif" w:hAnsi="Times New Roman;Times;serif"/>
          <w:sz w:val="20"/>
        </w:rPr>
        <w:t>The fair value measurements of financial assets and liabilities that are measured at fair value at June 30, 2023 and December 31, 2022 are as follows:</w:t>
      </w:r>
    </w:p>
    <w:tbl>
      <w:tblPr>
        <w:tblW w:w="8031" w:type="dxa"/>
        <w:jc w:val="left"/>
        <w:tblInd w:w="0" w:type="dxa"/>
        <w:tblLayout w:type="fixed"/>
        <w:tblCellMar>
          <w:top w:w="0" w:type="dxa"/>
          <w:left w:w="0" w:type="dxa"/>
          <w:bottom w:w="0" w:type="dxa"/>
          <w:right w:w="0" w:type="dxa"/>
        </w:tblCellMar>
      </w:tblPr>
      <w:tblGrid>
        <w:gridCol w:w="3856"/>
        <w:gridCol w:w="326"/>
        <w:gridCol w:w="267"/>
        <w:gridCol w:w="858"/>
        <w:gridCol w:w="326"/>
        <w:gridCol w:w="221"/>
        <w:gridCol w:w="710"/>
        <w:gridCol w:w="326"/>
        <w:gridCol w:w="270"/>
        <w:gridCol w:w="87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9545" cy="175260"/>
                      <wp:effectExtent l="0" t="0" r="0" b="0"/>
                      <wp:wrapNone/>
                      <wp:docPr id="207" name="Frame207"/>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44830" cy="175260"/>
                      <wp:effectExtent l="0" t="0" r="0" b="0"/>
                      <wp:wrapNone/>
                      <wp:docPr id="208" name="Frame208"/>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0335" cy="175260"/>
                      <wp:effectExtent l="0" t="0" r="0" b="0"/>
                      <wp:wrapNone/>
                      <wp:docPr id="210" name="Frame21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50850" cy="175260"/>
                      <wp:effectExtent l="0" t="0" r="0" b="0"/>
                      <wp:wrapNone/>
                      <wp:docPr id="211" name="Frame211"/>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71450" cy="175260"/>
                      <wp:effectExtent l="0" t="0" r="0" b="0"/>
                      <wp:wrapNone/>
                      <wp:docPr id="213" name="Frame21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53085" cy="175260"/>
                      <wp:effectExtent l="0" t="0" r="0" b="0"/>
                      <wp:wrapNone/>
                      <wp:docPr id="214" name="Frame21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4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8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45,084</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warrant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37,858</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62,854</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3,237</w:t>
            </w:r>
          </w:p>
        </w:tc>
      </w:tr>
    </w:tbl>
    <w:p>
      <w:pPr>
        <w:pStyle w:val="TextBody"/>
        <w:bidi w:val="0"/>
        <w:spacing w:before="0" w:after="0"/>
        <w:ind w:left="0" w:right="0" w:hanging="0"/>
        <w:jc w:val="left"/>
        <w:rPr/>
      </w:pPr>
      <w:r>
        <w:rPr/>
        <w:t>​</w:t>
      </w:r>
    </w:p>
    <w:tbl>
      <w:tblPr>
        <w:tblW w:w="8031" w:type="dxa"/>
        <w:jc w:val="left"/>
        <w:tblInd w:w="0" w:type="dxa"/>
        <w:tblLayout w:type="fixed"/>
        <w:tblCellMar>
          <w:top w:w="0" w:type="dxa"/>
          <w:left w:w="0" w:type="dxa"/>
          <w:bottom w:w="0" w:type="dxa"/>
          <w:right w:w="0" w:type="dxa"/>
        </w:tblCellMar>
      </w:tblPr>
      <w:tblGrid>
        <w:gridCol w:w="3856"/>
        <w:gridCol w:w="326"/>
        <w:gridCol w:w="267"/>
        <w:gridCol w:w="858"/>
        <w:gridCol w:w="326"/>
        <w:gridCol w:w="221"/>
        <w:gridCol w:w="710"/>
        <w:gridCol w:w="326"/>
        <w:gridCol w:w="270"/>
        <w:gridCol w:w="871"/>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9545" cy="175260"/>
                      <wp:effectExtent l="0" t="0" r="0" b="0"/>
                      <wp:wrapNone/>
                      <wp:docPr id="216" name="Frame21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44830" cy="175260"/>
                      <wp:effectExtent l="0" t="0" r="0" b="0"/>
                      <wp:wrapNone/>
                      <wp:docPr id="217" name="Frame21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0335" cy="175260"/>
                      <wp:effectExtent l="0" t="0" r="0" b="0"/>
                      <wp:wrapNone/>
                      <wp:docPr id="219" name="Frame21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50850" cy="175260"/>
                      <wp:effectExtent l="0" t="0" r="0" b="0"/>
                      <wp:wrapNone/>
                      <wp:docPr id="220" name="Frame22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1450" cy="175260"/>
                      <wp:effectExtent l="0" t="0" r="0" b="0"/>
                      <wp:wrapNone/>
                      <wp:docPr id="222" name="Frame22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53085" cy="175260"/>
                      <wp:effectExtent l="0" t="0" r="0" b="0"/>
                      <wp:wrapNone/>
                      <wp:docPr id="223" name="Frame2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4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center"/>
              <w:rPr/>
            </w:pPr>
            <w:r>
              <w:rPr/>
              <w:t>​</w:t>
            </w:r>
          </w:p>
        </w:tc>
        <w:tc>
          <w:tcPr>
            <w:tcW w:w="270"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8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36,346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58,210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Warrant Agreement</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26,713</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2,274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2023 and December 31, 2022, the Company has recorded the following financial instruments subject to fair value measurements: 1) Derivative warrant liabilities—Public Warrants and Private Warrants, 2) Forward Warrant Agreement, and 3) Earn-out liability. The Company also has long-term debt and a line of credit that provides for variable interest, and therefore, the carrying value approximates the fair value. The carrying values as of June 30, 2023 and December 31, 2022 represent the original principal amounts borrowed less principal payments and debt issuance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fair value of the Public Warrants has been measured based on the observable listed prices for such warrants, a Level 1 measurement. The Company’s money market funds and U.S. Treasury securities are classified within Level 1 due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00" w:name="Tc_4QF0VIXJP0-SBp-2jc4OPg_15_11"/>
      <w:bookmarkStart w:id="1201" w:name="Tc_dWHNK2-XbkacbiXqSRtaUA_15_8"/>
      <w:bookmarkStart w:id="1202" w:name="Tc_5w4kWcgLDEySNeIu4_dZqQ_15_5"/>
      <w:bookmarkStart w:id="1203" w:name="Tc_3ztDDbIp20qzmlt26yzXdw_15_2"/>
      <w:bookmarkStart w:id="1204" w:name="Tc_ZxOqMapLw0COWAUylV5Sng_15_0"/>
      <w:bookmarkStart w:id="1205" w:name="Tc_ycX8XH-6Y0qFJvYP1mVgTQ_14_0"/>
      <w:bookmarkStart w:id="1206" w:name="Tc_jsnVEDLsZ0ie-xxk23LHnQ_13_0"/>
      <w:bookmarkStart w:id="1207" w:name="Tc_30ZrhA29iUGZFbofY2UbUA_12_0"/>
      <w:bookmarkStart w:id="1208" w:name="Tc_4wfX3Dv1E0SU4qf_09TWVQ_11_0"/>
      <w:bookmarkStart w:id="1209" w:name="Tc_2Up_u53200qXcA5ZLabvqw_10_11"/>
      <w:bookmarkStart w:id="1210" w:name="Tc_fTNVFmQVYkytND0Pv_W1hw_10_8"/>
      <w:bookmarkStart w:id="1211" w:name="Tc_8CK_RRixbkCuQYUwY0XNag_10_5"/>
      <w:bookmarkStart w:id="1212" w:name="Tc_MbSswQuMBUi3MoiMTcNVkg_10_2"/>
      <w:bookmarkStart w:id="1213" w:name="Tc_3AfROVRClEu5wWTsCK67XQ_10_0"/>
      <w:bookmarkStart w:id="1214" w:name="Tc_x_6rG2UyHEuk2_we1UAkjA_8_11"/>
      <w:bookmarkStart w:id="1215" w:name="Tc_tzVMPdcMYkOhXMUeSdVOKQ_8_8"/>
      <w:bookmarkStart w:id="1216" w:name="Tc_KPquqQEv-UeUYNRiK47rDQ_8_5"/>
      <w:bookmarkStart w:id="1217" w:name="Tc_6x6n2uWUW0qmO8KEqBLURg_8_2"/>
      <w:bookmarkStart w:id="1218" w:name="Tc_KOQfCEq3BUGSKWzh5Zsl7g_8_0"/>
      <w:bookmarkStart w:id="1219" w:name="Tc_PgXWBX6HxU6d_m7RsxriLA_7_0"/>
      <w:bookmarkStart w:id="1220" w:name="Tc_DQvVuG9xlU2yOhSGS0_53w_6_0"/>
      <w:bookmarkStart w:id="1221" w:name="Tc_8Snt-_rc6ES_p1-2muCwHQ_5_0"/>
      <w:bookmarkStart w:id="1222" w:name="Tc_E0Q4ndFNYU2LHE5VWLbo0w_4_11"/>
      <w:bookmarkStart w:id="1223" w:name="Tc_IG4sy6kLy0S6D7yG7Nxa3A_4_8"/>
      <w:bookmarkStart w:id="1224" w:name="Tc_7Ii4KwmZdUG1rb2uObFd5A_4_5"/>
      <w:bookmarkStart w:id="1225" w:name="Tc_ObeoeKAR_kCtCYr0iD3mJg_4_2"/>
      <w:bookmarkStart w:id="1226" w:name="Tc_u9c_ASC5pUmawJdfyHeRCg_4_0"/>
      <w:bookmarkStart w:id="1227" w:name="Tc_6nuZoDkSqUaF0N0kGm72fA_3_11"/>
      <w:bookmarkStart w:id="1228" w:name="Tc_rPtLaOP2fESnSk45Wilvtg_3_8"/>
      <w:bookmarkStart w:id="1229" w:name="Tc_zlzQdHa_S0m_nJBb_pLplg_3_5"/>
      <w:bookmarkStart w:id="1230" w:name="Tc_hlp3CHagD0uTsO3882Cfmw_3_2"/>
      <w:bookmarkStart w:id="1231" w:name="Tc_c5AcFlKeJkW6tRqyGhu5_w_3_0"/>
      <w:bookmarkStart w:id="1232" w:name="Tc_L9BxcXznjkK8sy4NVQwrKA_2_11"/>
      <w:bookmarkStart w:id="1233" w:name="Tc_9NVk_7hfCkeb930uV-V2_A_2_8"/>
      <w:bookmarkStart w:id="1234" w:name="Tc_wUWU2v_TdkeIOMh7RrBbbg_2_5"/>
      <w:bookmarkStart w:id="1235" w:name="Tc_RPcsyXV4oU6aDeX000xoBA_2_2"/>
      <w:bookmarkStart w:id="1236" w:name="Tc_h1LjdTofbUGK77VuyuvSFw_1_8"/>
      <w:bookmarkStart w:id="1237" w:name="Tc_mF08576TZkujkK1jP2kk5Q_1_5"/>
      <w:bookmarkStart w:id="1238" w:name="Tc_JGYvOAxDU0uQrX33IrDa3g_1_2"/>
      <w:bookmarkStart w:id="1239" w:name="_cf66f3f5_b9b9_48d5_95d5_e01294a9e4ea"/>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sz w:val="20"/>
        </w:rPr>
        <w:t>the highly liquid nature of these assets with quoted prices in active markets. The fair value of the investments in available-for-sale securities (i.e., U.S government agency bonds, corporate bonds, commercial paper and corporate debt securities) and long-term debt and a line of credit issued by the Company are classified within Level 2. The fair value of the Company’s Level 2 financial assets is determined by using inputs based on quoted market prices for similar instruments. All other financial instruments are classified as Level 3 liabilities as they all include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Private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Notes 12 and 13 to the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the Earn-out liability is estimated using a Monte Carlo simulation model. The Company has further discussed the key aspects of the valuation inputs in Note 4 to the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December 31, 2021, the Company recorded a derivative warrant liability for the Trinity Warrants (as defined below) at fair value using a Black- Scholes option model with unobservable inputs including volatility. The Company estimates the volatility of its ordinary share warrants based on implied volatility from the Company’s publicly traded warrants and from historical volatility of select peer company’s ordinary shares that matches the expected remaining life of the warrants. On June 2, 2022, all outstanding Trinity Warrants were exercised into shares of the Company’s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six months ended June 30, 2023, the Company reduced the estimated probability of occurrence for the forward warrant agreement from 50% to 25% due to less than favorable market conditions and reduced time until expiration (see Note 13). There were no other changes in fair value measurement techniques in the six months ended June 30, 2023, or the year ended December 31, 2022, (other than the change in valuation assumptions described in Note 1). There were no transfers between Level 1 or Level 2 of the fair value hierarchy in the six months ended June 30, 2023 or the year ended December 31, 2022. There were no transfers in or out of Level 3 of the fair value hierarchy in the six months ended June 30, 2023 or the year ended December 31, 2022, except that in the six months ended June 30, 2023, the derivative liability for 450,000 warrants was transferred from Level 3 to Level 1 of the fair value hierarchy because the warrants were converted from Private to Public warrants. The transfer had a $0.1 million favorable impact on the Company’s net loss. The fair value estimates are based on pertinent information available to management as of June 30, 2023 and December 31, 2022. Although management is not aware of any factors, other than those noted above, that would significantly affect the estimated fair value amounts, such amounts have not been comprehensively revalued for the purpose of these financial statements. Current estimates of fair value may differ from the amounts presented.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in the six months ended June 30, 2023 and June 30, 2022 are as follows: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36"/>
        <w:gridCol w:w="326"/>
        <w:gridCol w:w="341"/>
        <w:gridCol w:w="1070"/>
        <w:gridCol w:w="326"/>
        <w:gridCol w:w="341"/>
        <w:gridCol w:w="1070"/>
        <w:gridCol w:w="326"/>
        <w:gridCol w:w="211"/>
        <w:gridCol w:w="690"/>
        <w:gridCol w:w="326"/>
        <w:gridCol w:w="211"/>
        <w:gridCol w:w="731"/>
      </w:tblGrid>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6535" cy="175260"/>
                      <wp:effectExtent l="0" t="0" r="0" b="0"/>
                      <wp:wrapNone/>
                      <wp:docPr id="225" name="Frame225"/>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79450" cy="175260"/>
                      <wp:effectExtent l="0" t="0" r="0" b="0"/>
                      <wp:wrapNone/>
                      <wp:docPr id="226" name="Frame226"/>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6535" cy="175260"/>
                      <wp:effectExtent l="0" t="0" r="0" b="0"/>
                      <wp:wrapNone/>
                      <wp:docPr id="228" name="Frame22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79450" cy="175260"/>
                      <wp:effectExtent l="0" t="0" r="0" b="0"/>
                      <wp:wrapNone/>
                      <wp:docPr id="229" name="Frame229"/>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38150" cy="175260"/>
                      <wp:effectExtent l="0" t="0" r="0" b="0"/>
                      <wp:wrapNone/>
                      <wp:docPr id="232" name="Frame2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64185" cy="175260"/>
                      <wp:effectExtent l="0" t="0" r="0" b="0"/>
                      <wp:wrapNone/>
                      <wp:docPr id="235" name="Frame23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center"/>
              <w:rPr/>
            </w:pPr>
            <w:r>
              <w:rPr/>
              <w:t>    </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Forward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center"/>
              <w:rPr/>
            </w:pPr>
            <w:r>
              <w:rPr/>
              <w:t>​</w: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center"/>
              <w:rPr/>
            </w:pPr>
            <w:r>
              <w:rPr/>
              <w:t>​</w:t>
            </w:r>
          </w:p>
        </w:tc>
        <w:tc>
          <w:tcPr>
            <w:tcW w:w="14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9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4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Trinity Warrants</w:t>
            </w:r>
          </w:p>
        </w:tc>
        <w:tc>
          <w:tcPr>
            <w:tcW w:w="326" w:type="dxa"/>
            <w:tcBorders/>
            <w:vAlign w:val="center"/>
          </w:tcPr>
          <w:p>
            <w:pPr>
              <w:pStyle w:val="TableContents"/>
              <w:bidi w:val="0"/>
              <w:spacing w:before="0" w:after="0"/>
              <w:ind w:left="0" w:right="0" w:hanging="0"/>
              <w:jc w:val="center"/>
              <w:rPr/>
            </w:pPr>
            <w:r>
              <w:rPr/>
              <w:t>​</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0"/>
              <w:ind w:left="0" w:right="0" w:hanging="0"/>
              <w:jc w:val="center"/>
              <w:rPr/>
            </w:pPr>
            <w:r>
              <w:rPr/>
              <w:t>​</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2023</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2023</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w:t>
            </w:r>
          </w:p>
        </w:tc>
      </w:tr>
      <w:tr>
        <w:trPr/>
        <w:tc>
          <w:tcPr>
            <w:tcW w:w="4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measurement upon Business Combination March 2, 2022 (Note 3)</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20,413</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2022</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0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(6,566)</w:t>
            </w:r>
          </w:p>
        </w:tc>
      </w:tr>
      <w:tr>
        <w:trPr/>
        <w:tc>
          <w:tcPr>
            <w:tcW w:w="4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Extinguishment due to exercise of the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(6,370)</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2022</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40" w:name="Tc_jjFYiNlYTESQZ4tu9_3MTw_10_4"/>
      <w:bookmarkStart w:id="1241" w:name="Tc_veYV5swuPkal3xYwUZ49RQ_10_0"/>
      <w:bookmarkStart w:id="1242" w:name="Tc_vJ39MzpOWkm-e9eUGYzpUQ_9_4"/>
      <w:bookmarkStart w:id="1243" w:name="Tc_9z6yL4eKUUqI-2nFnPl1Lw_9_0"/>
      <w:bookmarkStart w:id="1244" w:name="Tc_GtxmpwD8x0CM-QxrvRhpRg_8_0"/>
      <w:bookmarkStart w:id="1245" w:name="Tc_KhLTc8x-z0S9DuVouutTyw_7_0"/>
      <w:bookmarkStart w:id="1246" w:name="Tc_L5bwLaE_PkyxJu7uxUgZtA_6_0"/>
      <w:bookmarkStart w:id="1247" w:name="Tc_f9sXdOnL5UyCcjt-obY-kw_5_4"/>
      <w:bookmarkStart w:id="1248" w:name="Tc_xNxh9ez-DUyKga-cyGGTjQ_5_0"/>
      <w:bookmarkStart w:id="1249" w:name="Tc_SYU2NQZ71kmqYUwR-IJvhQ_4_4"/>
      <w:bookmarkStart w:id="1250" w:name="Tc_SeoZVadlkkKQRPToQHspKw_4_2"/>
      <w:bookmarkStart w:id="1251" w:name="Tc_dp1uw1dTL0ax2ZUFPgwu0w_3_4"/>
      <w:bookmarkStart w:id="1252" w:name="Tc_oNOnB94JrUGaucSGOxWaJg_2_4"/>
      <w:bookmarkStart w:id="1253" w:name="Tc_op07Yyab7U2xND5LCCZIHQ_1_4"/>
      <w:bookmarkStart w:id="1254" w:name="_62c2bda4_3293_46be_bc38_5fc0f0874bcf"/>
      <w:bookmarkStart w:id="1255" w:name="Tc_jjFYiNlYTESQZ4tu9_3MTw_10_4"/>
      <w:bookmarkStart w:id="1256" w:name="Tc_veYV5swuPkal3xYwUZ49RQ_10_0"/>
      <w:bookmarkStart w:id="1257" w:name="Tc_vJ39MzpOWkm-e9eUGYzpUQ_9_4"/>
      <w:bookmarkStart w:id="1258" w:name="Tc_9z6yL4eKUUqI-2nFnPl1Lw_9_0"/>
      <w:bookmarkStart w:id="1259" w:name="Tc_GtxmpwD8x0CM-QxrvRhpRg_8_0"/>
      <w:bookmarkStart w:id="1260" w:name="Tc_KhLTc8x-z0S9DuVouutTyw_7_0"/>
      <w:bookmarkStart w:id="1261" w:name="Tc_L5bwLaE_PkyxJu7uxUgZtA_6_0"/>
      <w:bookmarkStart w:id="1262" w:name="Tc_f9sXdOnL5UyCcjt-obY-kw_5_4"/>
      <w:bookmarkStart w:id="1263" w:name="Tc_xNxh9ez-DUyKga-cyGGTjQ_5_0"/>
      <w:bookmarkStart w:id="1264" w:name="Tc_SYU2NQZ71kmqYUwR-IJvhQ_4_4"/>
      <w:bookmarkStart w:id="1265" w:name="Tc_SeoZVadlkkKQRPToQHspKw_4_2"/>
      <w:bookmarkStart w:id="1266" w:name="Tc_dp1uw1dTL0ax2ZUFPgwu0w_3_4"/>
      <w:bookmarkStart w:id="1267" w:name="Tc_oNOnB94JrUGaucSGOxWaJg_2_4"/>
      <w:bookmarkStart w:id="1268" w:name="Tc_op07Yyab7U2xND5LCCZIHQ_1_4"/>
      <w:bookmarkStart w:id="1269" w:name="_62c2bda4_3293_46be_bc38_5fc0f0874bcf"/>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tbl>
      <w:tblPr>
        <w:tblW w:w="3482" w:type="dxa"/>
        <w:jc w:val="left"/>
        <w:tblInd w:w="0" w:type="dxa"/>
        <w:tblLayout w:type="fixed"/>
        <w:tblCellMar>
          <w:top w:w="0" w:type="dxa"/>
          <w:left w:w="0" w:type="dxa"/>
          <w:bottom w:w="0" w:type="dxa"/>
          <w:right w:w="0" w:type="dxa"/>
        </w:tblCellMar>
      </w:tblPr>
      <w:tblGrid>
        <w:gridCol w:w="271"/>
        <w:gridCol w:w="32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32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2013, the Company adopted the 2013 Equity Incentive Plan (the “2013 Plan”) which provided for the grant of qualified incentive stock options (“ISO”) and nonqualified stock options (“NSO”), restricted stock, restricted stock units (“RSU”) or other awards to the Company’s employees, officers, directors, advisors, and outside consultants. After the Closing Date and consummation of the Business Combination effective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Business Combination (Note 3), the shareholders approved the Rigetti Computing, Inc. 2022 Equity Incentive Plan (the “2022 Plan”) in February, 2022, which became effective immediately upon the Closing Date. The 2022 Plan provides for the grant of ISOs, NSOs, stock appreciation rights, restricted stock awards, restricted stock unit awards (RSUs), performance awards and other forms of awards to employees, directors, and consultants, including employees and consultants of Company’s affiliates. The aggregate number of shares of Common Stock initially reserved for issuance under the 2022 Plan was 20,184,797 shares. As of June 30, 2023, 9,420,706 shares were available for future issuance under the 2022 Plan. The number of shares reserved for issuance under the 2022 Plan will automatically increase on January 1 of each year for a period of nine years commencing on January 1, 2023 and ending on (and including) January 1, 2032, in an amount equal to 5% of the Common Stock of all classes outstanding on December 31 of the preceding year; provided, however, that the board of directors of the Company may act prior to January 1 of a given year to provide that the increase for such year will be a lesser number of shares of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stock option activity in the six months ended June 30, 2023:</w:t>
      </w:r>
    </w:p>
    <w:tbl>
      <w:tblPr>
        <w:tblW w:w="6354" w:type="dxa"/>
        <w:jc w:val="left"/>
        <w:tblInd w:w="0" w:type="dxa"/>
        <w:tblLayout w:type="fixed"/>
        <w:tblCellMar>
          <w:top w:w="0" w:type="dxa"/>
          <w:left w:w="0" w:type="dxa"/>
          <w:bottom w:w="0" w:type="dxa"/>
          <w:right w:w="0" w:type="dxa"/>
        </w:tblCellMar>
      </w:tblPr>
      <w:tblGrid>
        <w:gridCol w:w="2791"/>
        <w:gridCol w:w="326"/>
        <w:gridCol w:w="1621"/>
        <w:gridCol w:w="326"/>
        <w:gridCol w:w="346"/>
        <w:gridCol w:w="944"/>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029335" cy="175260"/>
                      <wp:effectExtent l="0" t="0" r="0" b="0"/>
                      <wp:wrapNone/>
                      <wp:docPr id="237" name="Frame237"/>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9440" cy="175260"/>
                      <wp:effectExtent l="0" t="0" r="0" b="0"/>
                      <wp:wrapNone/>
                      <wp:docPr id="240" name="Frame240"/>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8,845,903</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(3,423,699)</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(455,654)</w:t>
            </w:r>
          </w:p>
        </w:tc>
        <w:tc>
          <w:tcPr>
            <w:tcW w:w="3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6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5,466,550</w:t>
            </w:r>
          </w:p>
        </w:tc>
        <w:tc>
          <w:tcPr>
            <w:tcW w:w="32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June 30, 2023</w:t>
            </w:r>
          </w:p>
        </w:tc>
        <w:tc>
          <w:tcPr>
            <w:tcW w:w="326" w:type="dxa"/>
            <w:tcBorders/>
            <w:vAlign w:val="center"/>
          </w:tcPr>
          <w:p>
            <w:pPr>
              <w:pStyle w:val="TableContents"/>
              <w:bidi w:val="0"/>
              <w:spacing w:before="0" w:after="0"/>
              <w:ind w:left="0" w:right="0" w:hanging="0"/>
              <w:jc w:val="left"/>
              <w:rPr/>
            </w:pPr>
            <w:r>
              <w:rPr/>
              <w:t> </w:t>
            </w:r>
          </w:p>
        </w:tc>
        <w:tc>
          <w:tcPr>
            <w:tcW w:w="1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2,451,923</w:t>
            </w:r>
          </w:p>
        </w:tc>
        <w:tc>
          <w:tcPr>
            <w:tcW w:w="326" w:type="dxa"/>
            <w:tcBorders/>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0.27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weighted-average grant date fair value of stock options granted during the six months ended June 30, 2023 was $0.55 per share. No stock options were granted in the six months ended June 30, 2022. The intrinsic value of an option is the amount by which the market price of the underlying common stock exceeds the option’s exercise price. For options outstanding at June 30, 2023, the weighted average remaining contractual term of all outstanding options was 7.70 years and their aggregate intrinsic value was $3.6 million. At June 30, 2023, the weighted average remaining contractual term of options that were exercisable was 6.3 years and their aggregate intrinsic value was $2.2 million. The aggregate intrinsic value of stock options exercised was $1.4 million in the six months ended June 30, 2023 and $7.1 million in the six months ended June 30, 2022. We received proceeds from stock option exercises of $0.9 million in the six months ended June 30, 2023 and $0.6 million in the six months ended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70" w:name="Tc_QRJVZwNn-0S4zqq6d_t1Tg_8_4"/>
      <w:bookmarkStart w:id="1271" w:name="Tc_YnxzCXNh9EOyMKmOGrMBTA_8_0"/>
      <w:bookmarkStart w:id="1272" w:name="Tc_c6BjWCwQP0q-MOHM7sv90w_7_0"/>
      <w:bookmarkStart w:id="1273" w:name="Tc_2KErDnwJ9katy9qRxdsxrQ_6_0"/>
      <w:bookmarkStart w:id="1274" w:name="Tc_LltCA2Pu6Ee9lhxxd_wFJA_5_0"/>
      <w:bookmarkStart w:id="1275" w:name="Tc_wkwgl3fRO0y7VG2mNphLAg_4_4"/>
      <w:bookmarkStart w:id="1276" w:name="Tc_JW-FPvw_8kaSlQD4-NQyyw_4_0"/>
      <w:bookmarkStart w:id="1277" w:name="Tc_bOtl6ByeAkSKjyJOKCI0cg_3_4"/>
      <w:bookmarkStart w:id="1278" w:name="Tc_-Yy55Zki3kGZ77b4kuIWTg_3_2"/>
      <w:bookmarkStart w:id="1279" w:name="Tc_QORjmyBUtUicGHwQytgh_A_3_0"/>
      <w:bookmarkStart w:id="1280" w:name="Tc_g76u70kI_E-LzxaWhxWgZQ_2_4"/>
      <w:bookmarkStart w:id="1281" w:name="Tc_Pyapv8oOwUWrTRpSpFZTOQ_1_4"/>
      <w:bookmarkStart w:id="1282" w:name="_baf2d1e3_bf2c_471c_8027_9d3c26c0e052"/>
      <w:bookmarkStart w:id="1283" w:name="Tc_K33oaW3iDU2zyo3NafOFdA_7_0"/>
      <w:bookmarkStart w:id="1284" w:name="Tc_t2ROK-Cj6U-3zvYu8sK3Tw_6_4"/>
      <w:bookmarkStart w:id="1285" w:name="Tc_Kpec0nHMzE-qKV62lzVHGg_6_0"/>
      <w:bookmarkStart w:id="1286" w:name="Tc_l_FXkDdXfEavLZ1EWZv-7A_5_4"/>
      <w:bookmarkStart w:id="1287" w:name="Tc_kg_ZslDwbEOBNT_-1kRGDA_5_0"/>
      <w:bookmarkStart w:id="1288" w:name="Tc_6GjnRTVBkUSItI3f9IZEZQ_4_2"/>
      <w:bookmarkStart w:id="1289" w:name="Tc_kWCgJGkolkKL-OIXbfc-bQ_4_0"/>
      <w:bookmarkStart w:id="1290" w:name="Tc_nlCQTNwa90GJMZhPUzS7PQ_3_2"/>
      <w:bookmarkStart w:id="1291" w:name="Tc_DyZ9OQrI0kSWLV-cMi_VaQ_3_0"/>
      <w:bookmarkStart w:id="1292" w:name="Tc_VjneHGEALUO8XFyOR3jcLQ_2_2"/>
      <w:bookmarkStart w:id="1293" w:name="Tc_BOFTUHJoBUegbObIhAd1rw_1_2"/>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r>
        <w:rPr>
          <w:rFonts w:ascii="Times New Roman;Times;serif" w:hAnsi="Times New Roman;Times;serif"/>
          <w:b/>
          <w:sz w:val="20"/>
        </w:rPr>
        <w:t>Fair Value of Stock Option Grants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 In determining the exercise prices for options granted, the Company’s board of directors has considered the fair value of the Common Stock as of the grant date. Before the Company’s common stock was publicly traded,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stock options were granted in the six months ended June 30, 2022. All stock options granted in the six months ended June 30, 2023 were time-based grants. Significant inputs to the Black-Scholes option-pricing model used to value stock option grants in the six months ended June 30, 2023 were as follows:</w:t>
      </w:r>
    </w:p>
    <w:p>
      <w:pPr>
        <w:pStyle w:val="TextBody"/>
        <w:bidi w:val="0"/>
        <w:spacing w:before="0" w:after="240"/>
        <w:ind w:left="0" w:right="0" w:hanging="0"/>
        <w:jc w:val="left"/>
        <w:rPr/>
      </w:pPr>
      <w:r>
        <w:rPr/>
        <w:t>​</w:t>
      </w:r>
    </w:p>
    <w:tbl>
      <w:tblPr>
        <w:tblW w:w="3583" w:type="dxa"/>
        <w:jc w:val="left"/>
        <w:tblInd w:w="0" w:type="dxa"/>
        <w:tblLayout w:type="fixed"/>
        <w:tblCellMar>
          <w:top w:w="0" w:type="dxa"/>
          <w:left w:w="0" w:type="dxa"/>
          <w:bottom w:w="0" w:type="dxa"/>
          <w:right w:w="0" w:type="dxa"/>
        </w:tblCellMar>
      </w:tblPr>
      <w:tblGrid>
        <w:gridCol w:w="1876"/>
        <w:gridCol w:w="326"/>
        <w:gridCol w:w="287"/>
        <w:gridCol w:w="778"/>
        <w:gridCol w:w="31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91260" cy="175260"/>
                      <wp:effectExtent l="0" t="0" r="0" b="0"/>
                      <wp:wrapNone/>
                      <wp:docPr id="241" name="Frame241"/>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2245" cy="175260"/>
                      <wp:effectExtent l="0" t="0" r="0" b="0"/>
                      <wp:wrapNone/>
                      <wp:docPr id="243" name="Frame24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94030" cy="175260"/>
                      <wp:effectExtent l="0" t="0" r="0" b="0"/>
                      <wp:wrapNone/>
                      <wp:docPr id="244" name="Frame244"/>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0660" cy="175260"/>
                      <wp:effectExtent l="0" t="0" r="0" b="0"/>
                      <wp:wrapNone/>
                      <wp:docPr id="245" name="Frame2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Time-based</w:t>
            </w:r>
          </w:p>
        </w:tc>
        <w:tc>
          <w:tcPr>
            <w:tcW w:w="316"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Option</w:t>
            </w:r>
          </w:p>
        </w:tc>
        <w:tc>
          <w:tcPr>
            <w:tcW w:w="316" w:type="dxa"/>
            <w:tcBorders/>
            <w:vAlign w:val="center"/>
          </w:tcPr>
          <w:p>
            <w:pPr>
              <w:pStyle w:val="TableContents"/>
              <w:bidi w:val="0"/>
              <w:spacing w:before="0" w:after="0"/>
              <w:ind w:left="0" w:right="0" w:hanging="0"/>
              <w:jc w:val="center"/>
              <w:rPr/>
            </w:pPr>
            <w:r>
              <w:rPr/>
              <w:t>​</w:t>
            </w:r>
          </w:p>
        </w:tc>
      </w:tr>
      <w:tr>
        <w:trPr/>
        <w:tc>
          <w:tcPr>
            <w:tcW w:w="1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Grants</w:t>
            </w:r>
          </w:p>
        </w:tc>
        <w:tc>
          <w:tcPr>
            <w:tcW w:w="316" w:type="dxa"/>
            <w:tcBorders/>
            <w:vAlign w:val="center"/>
          </w:tcPr>
          <w:p>
            <w:pPr>
              <w:pStyle w:val="TableContents"/>
              <w:bidi w:val="0"/>
              <w:spacing w:before="0" w:after="0"/>
              <w:ind w:left="0" w:right="0" w:hanging="0"/>
              <w:jc w:val="center"/>
              <w:rPr/>
            </w:pPr>
            <w:r>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$0.4 million and $0.8 million in the three and six months ended June 30, 2023, respectively. Stock-based compensation expense related to stock options granted to employees was $0.3 million and $0.6 million in the three and six months ended June 30, 2022, respectively. As of June 30, 2023, the unrecognized compensation expense related to unvested stock options was approximately $2.7 million which is expected to be recognized over a weighted-average period of approximately 2.46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Restricted Stock Units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activity in RSUs in the six months ended June 30, 2023:</w:t>
      </w:r>
    </w:p>
    <w:tbl>
      <w:tblPr>
        <w:tblW w:w="6069" w:type="dxa"/>
        <w:jc w:val="left"/>
        <w:tblInd w:w="0" w:type="dxa"/>
        <w:tblLayout w:type="fixed"/>
        <w:tblCellMar>
          <w:top w:w="0" w:type="dxa"/>
          <w:left w:w="0" w:type="dxa"/>
          <w:bottom w:w="0" w:type="dxa"/>
          <w:right w:w="0" w:type="dxa"/>
        </w:tblCellMar>
      </w:tblPr>
      <w:tblGrid>
        <w:gridCol w:w="2866"/>
        <w:gridCol w:w="326"/>
        <w:gridCol w:w="1051"/>
        <w:gridCol w:w="326"/>
        <w:gridCol w:w="403"/>
        <w:gridCol w:w="1097"/>
      </w:tblGrid>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67385" cy="175260"/>
                      <wp:effectExtent l="0" t="0" r="0" b="0"/>
                      <wp:wrapNone/>
                      <wp:docPr id="247" name="Frame24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5905" cy="175260"/>
                      <wp:effectExtent l="0" t="0" r="0" b="0"/>
                      <wp:wrapNone/>
                      <wp:docPr id="249" name="Frame24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6595" cy="175260"/>
                      <wp:effectExtent l="0" t="0" r="0" b="0"/>
                      <wp:wrapNone/>
                      <wp:docPr id="250" name="Frame250"/>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Restricted stock units </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11,332,591</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5,453,371</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(1,784,713)</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(3,812,238)</w:t>
            </w:r>
          </w:p>
        </w:tc>
        <w:tc>
          <w:tcPr>
            <w:tcW w:w="326" w:type="dxa"/>
            <w:tcBorders/>
            <w:vAlign w:val="center"/>
          </w:tcPr>
          <w:p>
            <w:pPr>
              <w:pStyle w:val="TableContents"/>
              <w:bidi w:val="0"/>
              <w:spacing w:before="0" w:after="0"/>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11,189,011</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 2022, the performance condition of all then outstanding RSUs was met due to the closing of the Business Combination. As a result, the Company recorded a cumulative catch-up compensation expense for the vesting period that was satisfied as of March 2, 2022 and continues amortizing compensation expenses for unvested RSUs over their remaining vesting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94" w:name="Tc_HjziW9qgXkyNTeevTSRb2A_5_5"/>
      <w:bookmarkStart w:id="1295" w:name="Tc_EwAAQNiTf0O1pmpA_VSxWg_5_2"/>
      <w:bookmarkStart w:id="1296" w:name="Tc_smIP_XKSpEmenCqvbuVJMw_5_0"/>
      <w:bookmarkStart w:id="1297" w:name="Tc_m-GigEoiSk2MZVnP3Oujpw_4_0"/>
      <w:bookmarkStart w:id="1298" w:name="Tc_kx5DUKmtCkKusa8Nww_pMA_3_5"/>
      <w:bookmarkStart w:id="1299" w:name="Tc__jVqEaZRR0iH7VQjsy-61Q_3_2"/>
      <w:bookmarkStart w:id="1300" w:name="Tc_R2465BVRhEyLVm6LV9Bs-Q_3_0"/>
      <w:bookmarkStart w:id="1301" w:name="Tc_M5wTViIA806PwMeW9CbJ5g_2_5"/>
      <w:bookmarkStart w:id="1302" w:name="Tc_dgkqM7FbBkexEFxSMYembg_2_2"/>
      <w:bookmarkStart w:id="1303" w:name="Tc_KeM1SN2WE0e4FkcnXyu_Tw_2_0"/>
      <w:bookmarkStart w:id="1304" w:name="Tc_fzSDwFyCCUqJ53ym138-Lw_1_2"/>
      <w:bookmarkStart w:id="1305" w:name="_b91dd343_997d_4870_a130_2c8967533a54"/>
      <w:bookmarkStart w:id="1306" w:name="Tc_LOhGNq7Db069Q1sVCNWY8A_5_5"/>
      <w:bookmarkStart w:id="1307" w:name="Tc_aRfze-95dEWZgaD5L0sxOg_5_2"/>
      <w:bookmarkStart w:id="1308" w:name="Tc_I34IeYkKsUSQDUvxmMJ9HQ_5_0"/>
      <w:bookmarkStart w:id="1309" w:name="Tc_SNRS63Mtf0ixAcUGwd8oTQ_4_0"/>
      <w:bookmarkStart w:id="1310" w:name="Tc_pCwhWnb5ME2dbJ7RO04OxA_3_5"/>
      <w:bookmarkStart w:id="1311" w:name="Tc_fakMMxxSX0ycQjTBgmgGxg_3_2"/>
      <w:bookmarkStart w:id="1312" w:name="Tc_YocBROhEM0uWWq6rM5c5cA_3_0"/>
      <w:bookmarkStart w:id="1313" w:name="Tc_JXqqeCBBlUC4XuWViAYTBQ_2_5"/>
      <w:bookmarkStart w:id="1314" w:name="Tc_gASW0t7v9kunu1ixMFmzhw_2_2"/>
      <w:bookmarkStart w:id="1315" w:name="Tc_iTBp_Hojl0eaDzh3A3eo0w_2_0"/>
      <w:bookmarkStart w:id="1316" w:name="Tc_PMhstGeoGUerCuAyZWRS2w_1_2"/>
      <w:bookmarkStart w:id="1317" w:name="_7935cb91_e7bf_4b82_be34_83bbb1778829"/>
      <w:bookmarkStart w:id="1318" w:name="Tc_mPgS-XRmtUmE4F9cWal2Dg_8_0"/>
      <w:bookmarkStart w:id="1319" w:name="Tc_yu8YtEJ7j0SA_h00eVa_WQ_7_4"/>
      <w:bookmarkStart w:id="1320" w:name="Tc_LhUguw59MUe_K2eFwaLRFg_7_0"/>
      <w:bookmarkStart w:id="1321" w:name="Tc_jVvKYoRFSE-BjMO5QQa6-g_6_4"/>
      <w:bookmarkStart w:id="1322" w:name="Tc_NGpkRJKfkkm3Gq3dFNvx3w_6_0"/>
      <w:bookmarkStart w:id="1323" w:name="Tc_H1zmKUPVzU-1lZHgKkDU0Q_5_0"/>
      <w:bookmarkStart w:id="1324" w:name="Tc_0CjltziuVU6cyINxTHwuJA_4_2"/>
      <w:bookmarkStart w:id="1325" w:name="Tc_2qEmrtZJlkaiTgPVyTCObg_4_0"/>
      <w:bookmarkStart w:id="1326" w:name="Tc_7KwYo5Hd0ESoDdHgr4aVnw_3_2"/>
      <w:bookmarkStart w:id="1327" w:name="Tc_gL4g2DIKg0GdMF_0uYe-vA_3_0"/>
      <w:bookmarkStart w:id="1328" w:name="Tc_wit8jKbcKUytC0MsCz6ZYg_2_2"/>
      <w:bookmarkStart w:id="1329" w:name="Tc_3B3zxA1Tpkm0RSwq46402w_1_2"/>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ascii="Times New Roman;Times;serif" w:hAnsi="Times New Roman;Times;serif"/>
          <w:sz w:val="20"/>
        </w:rPr>
        <w:t>The aggregate fair value of outstanding RSUs based on the closing share price of our common stock as of June 30, 2023 was $13.3 million. The aggregate fair value of the RSUs that vested, based on the closing price of our common stock on the vesting date, in the six months ended June 30, 2023 was $1.4 million.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Fair Value RSUs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six months ended June 30, 2023, the Company issued 1,603,371 time-based RSUs and 3,850,000 market-based performance RSUs. The time- based RSUs vest over periods ranging from 1-4 years and require continuous employment. The market-based performance RSUs vest only if certain share price thresholds are achieved and require continuous employment. Based upon the terms of such awards, 50% of the shares vest if the Company’s Common Stock trades at or above $2.00 per share, and the other 50% of the shares vest if the Company’s Common Stock trades at above $4.00 per share, for 20 out of 30 trading days through the fifth anniversary of the grant date. The fair value of the Company’s time-based RSUs was calculated based on the fair market value of the Company’s stock on the date of grant. The fair value of the Company’s market-based performance RSUs was calculated using a Monte Carlo simulation model at the date of grant. The weighted-average grant date fair value for market-based RSUs granted in the six months ended June 30, 2023 was $0.56 per RSU.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Significant inputs into the Monte Carlo simulation model used to value market-based RSUs granted in the six months ended June 30, 2023 were as follows:</w:t>
      </w:r>
    </w:p>
    <w:p>
      <w:pPr>
        <w:pStyle w:val="TextBody"/>
        <w:bidi w:val="0"/>
        <w:spacing w:before="0" w:after="0"/>
        <w:ind w:left="0" w:right="0" w:hanging="0"/>
        <w:jc w:val="left"/>
        <w:rPr/>
      </w:pPr>
      <w:r>
        <w:rPr/>
        <w:t>​</w:t>
      </w:r>
    </w:p>
    <w:tbl>
      <w:tblPr>
        <w:tblW w:w="4769" w:type="dxa"/>
        <w:jc w:val="left"/>
        <w:tblInd w:w="0" w:type="dxa"/>
        <w:tblLayout w:type="fixed"/>
        <w:tblCellMar>
          <w:top w:w="0" w:type="dxa"/>
          <w:left w:w="0" w:type="dxa"/>
          <w:bottom w:w="0" w:type="dxa"/>
          <w:right w:w="0" w:type="dxa"/>
        </w:tblCellMar>
      </w:tblPr>
      <w:tblGrid>
        <w:gridCol w:w="3016"/>
        <w:gridCol w:w="326"/>
        <w:gridCol w:w="299"/>
        <w:gridCol w:w="812"/>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915160" cy="175260"/>
                      <wp:effectExtent l="0" t="0" r="0" b="0"/>
                      <wp:wrapNone/>
                      <wp:docPr id="251" name="Frame25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9865" cy="175260"/>
                      <wp:effectExtent l="0" t="0" r="0" b="0"/>
                      <wp:wrapNone/>
                      <wp:docPr id="253" name="Frame25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15620" cy="175260"/>
                      <wp:effectExtent l="0" t="0" r="0" b="0"/>
                      <wp:wrapNone/>
                      <wp:docPr id="254" name="Frame25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0660" cy="175260"/>
                      <wp:effectExtent l="0" t="0" r="0" b="0"/>
                      <wp:wrapNone/>
                      <wp:docPr id="255" name="Frame2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Market-based</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Performance</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1,260</w:t>
            </w:r>
          </w:p>
        </w:tc>
        <w:tc>
          <w:tcPr>
            <w:tcW w:w="316"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expense related to RSUs granted to employees was $3.0 million and $4.3 million in the three and six months ended June 30, 2023, respectively. Stock-based compensation expense related to RSUs granted to employees was $10.7 million and $21.9 million in the three and six months ended June 30, 2022, respectively. As of June 30, 2023, the unrecognized compensation expense related to unvested RSUs was approximately $23.2 million which is expected to be recognized over a weighted-average period of approximately 2.20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Summarized Stock-Based Compensation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summarizes total stock-based compensation expenses in the three and six months ended June 30, 2023 and June 30, 2022:</w:t>
      </w:r>
    </w:p>
    <w:tbl>
      <w:tblPr>
        <w:tblW w:w="6417" w:type="dxa"/>
        <w:jc w:val="left"/>
        <w:tblInd w:w="0" w:type="dxa"/>
        <w:tblLayout w:type="fixed"/>
        <w:tblCellMar>
          <w:top w:w="0" w:type="dxa"/>
          <w:left w:w="0" w:type="dxa"/>
          <w:bottom w:w="0" w:type="dxa"/>
          <w:right w:w="0" w:type="dxa"/>
        </w:tblCellMar>
      </w:tblPr>
      <w:tblGrid>
        <w:gridCol w:w="3736"/>
        <w:gridCol w:w="326"/>
        <w:gridCol w:w="264"/>
        <w:gridCol w:w="714"/>
        <w:gridCol w:w="136"/>
        <w:gridCol w:w="264"/>
        <w:gridCol w:w="977"/>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7640" cy="175260"/>
                      <wp:effectExtent l="0" t="0" r="0" b="0"/>
                      <wp:wrapNone/>
                      <wp:docPr id="257" name="Frame25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3390" cy="175260"/>
                      <wp:effectExtent l="0" t="0" r="0" b="0"/>
                      <wp:wrapNone/>
                      <wp:docPr id="258" name="Frame258"/>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6360" cy="175260"/>
                      <wp:effectExtent l="0" t="0" r="0" b="0"/>
                      <wp:wrapNone/>
                      <wp:docPr id="259" name="Frame259"/>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7640" cy="175260"/>
                      <wp:effectExtent l="0" t="0" r="0" b="0"/>
                      <wp:wrapNone/>
                      <wp:docPr id="260" name="Frame26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20395" cy="175260"/>
                      <wp:effectExtent l="0" t="0" r="0" b="0"/>
                      <wp:wrapNone/>
                      <wp:docPr id="261" name="Frame261"/>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6" w:type="dxa"/>
            <w:tcBorders/>
            <w:vAlign w:val="center"/>
          </w:tcPr>
          <w:p>
            <w:pPr>
              <w:pStyle w:val="TableContents"/>
              <w:bidi w:val="0"/>
              <w:spacing w:before="0" w:after="0"/>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13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136"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3,355</w:t>
            </w:r>
          </w:p>
        </w:tc>
        <w:tc>
          <w:tcPr>
            <w:tcW w:w="136"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11,041</w:t>
            </w:r>
          </w:p>
        </w:tc>
      </w:tr>
    </w:tbl>
    <w:p>
      <w:pPr>
        <w:pStyle w:val="TextBody"/>
        <w:bidi w:val="0"/>
        <w:spacing w:before="0" w:after="0"/>
        <w:ind w:left="0" w:right="0" w:hanging="0"/>
        <w:jc w:val="left"/>
        <w:rPr/>
      </w:pPr>
      <w:r>
        <w:rPr/>
        <w:t>​</w:t>
      </w:r>
    </w:p>
    <w:tbl>
      <w:tblPr>
        <w:tblW w:w="6329" w:type="dxa"/>
        <w:jc w:val="left"/>
        <w:tblInd w:w="0" w:type="dxa"/>
        <w:tblLayout w:type="fixed"/>
        <w:tblCellMar>
          <w:top w:w="0" w:type="dxa"/>
          <w:left w:w="0" w:type="dxa"/>
          <w:bottom w:w="0" w:type="dxa"/>
          <w:right w:w="0" w:type="dxa"/>
        </w:tblCellMar>
      </w:tblPr>
      <w:tblGrid>
        <w:gridCol w:w="3736"/>
        <w:gridCol w:w="326"/>
        <w:gridCol w:w="223"/>
        <w:gridCol w:w="605"/>
        <w:gridCol w:w="345"/>
        <w:gridCol w:w="223"/>
        <w:gridCol w:w="717"/>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1605" cy="175260"/>
                      <wp:effectExtent l="0" t="0" r="0" b="0"/>
                      <wp:wrapNone/>
                      <wp:docPr id="263" name="Frame26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84175" cy="175260"/>
                      <wp:effectExtent l="0" t="0" r="0" b="0"/>
                      <wp:wrapNone/>
                      <wp:docPr id="264" name="Frame264"/>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075" cy="175260"/>
                      <wp:effectExtent l="0" t="0" r="0" b="0"/>
                      <wp:wrapNone/>
                      <wp:docPr id="265" name="Frame265"/>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1605" cy="175260"/>
                      <wp:effectExtent l="0" t="0" r="0" b="0"/>
                      <wp:wrapNone/>
                      <wp:docPr id="266" name="Frame26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55295" cy="175260"/>
                      <wp:effectExtent l="0" t="0" r="0" b="0"/>
                      <wp:wrapNone/>
                      <wp:docPr id="267" name="Frame267"/>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7790" cy="175260"/>
                      <wp:effectExtent l="0" t="0" r="0" b="0"/>
                      <wp:wrapNone/>
                      <wp:docPr id="268" name="Frame26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5" w:type="dxa"/>
            <w:tcBorders/>
            <w:vAlign w:val="center"/>
          </w:tcPr>
          <w:p>
            <w:pPr>
              <w:pStyle w:val="TableContents"/>
              <w:bidi w:val="0"/>
              <w:spacing w:before="0" w:after="0"/>
              <w:ind w:left="0" w:right="0" w:hanging="0"/>
              <w:jc w:val="center"/>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17,924</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22,522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317" w:type="dxa"/>
        <w:jc w:val="left"/>
        <w:tblInd w:w="0" w:type="dxa"/>
        <w:tblLayout w:type="fixed"/>
        <w:tblCellMar>
          <w:top w:w="0" w:type="dxa"/>
          <w:left w:w="0" w:type="dxa"/>
          <w:bottom w:w="0" w:type="dxa"/>
          <w:right w:w="0" w:type="dxa"/>
        </w:tblCellMar>
      </w:tblPr>
      <w:tblGrid>
        <w:gridCol w:w="376"/>
        <w:gridCol w:w="29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2021, the Company entered into an agreement (the “Loan Agreement”) with Trinity Capital Inc. (“Trinity”) to secure a debt commitment of $12.0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“Initial Trinity Warrants”) which is recorded at fair value using the Black-Scholes model, see Note 12 for the fair value assumptions.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Loan Agreement contains customary representations, warranties and covenants; however, the Loan Agreement does not include any financial covenants. In May 2021, the Loan Agreement was modified to increase the overall debt commitment by $15.0 million (the “Tranche B” or the “First Amendment”) and $8.0 million of the additional commitment was drawn at the closing and the remaining commitment of $7.0 million was available at the Company’s option at any time through March 10, 2022, subject to certain conditions. The Company drew the remaining $7.0 million commitment in November 2021. In conjunction with the Amendment, the Company cancelled the Initial Trinity Warrants and issued 995,099 (783,129 shares post conversion upon the closing of the Business Combination) warrants to purchase the Common Stock (the “Trinity Warrants”) which was an incremental cost allocated between Tranche A and Tranche B, see Note 12 for further information on the Trinity Warrants. The First Amendment was considered a modification for accounting purposes. The Company capitalized $2.8 million of debt issuance costs which consist of incremental costs incurred for the lenders and third-party legal firms as well as the fair value of the warrant issued in conjunction with the term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First Amendment, the maturity date was modified to be the date equal to 48 months from the first payment date of each specific cash advance. Subject to an interest only period of 19 months following each specific cash advance date, the term loan incurs interest at a rate of the greater of 11% or the US Prime Rate plus 7.50% per annum, payable monthly. The Loan Agreement includes certain negative covenants, primarily consisting of restrictions on the Company’s ability to incur indebtedness, pay dividends, execute fundamental change transactions, and other specified 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was between 21.40-27.61% for all tranches of the debt as of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January 2022, the Loan Agreement was modified to increase the overall debt commitment by $5.0 million (the “Tranche C” or the “Third Amendment”) which was drawn on January 27, 2022. Subject to an interest only period of 19 months, Tranche C incurs interest at a rate of the greater of 11% or the US Prime Rate plus 7.50% per annum, payable monthly, until the maturity date, February 1, 2026. Other modifications per the Third Amendment included an extension of the requirement to raise an additional $75 million of equity until April 1, 2022 and a defined exit fee for the additional $5.0 million to be at 20% of the advanced funds under the amendment. The Company met the requirement to raise additional equity of $75 million through the Business Combination mentioned in Note 3. The Company paid an exit fee of $1.0 million which is 20% of the Tranche C amount upon the consummation of the Business Combination. The exit fee was capitalized as a debt issuance cost and is amortized using the effective interest method over the life of Tranche C. The exit fee was not applicable to Tranche A and Tranche B. In conjunction with the Third Amendment, the Company also guaranteed payment of all monetary amounts owed and performance of all covenants, obligations and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30" w:name="Tc_y_bW14WvO02deZlcOuvMZw_6_5"/>
      <w:bookmarkStart w:id="1331" w:name="Tc_Vcq2Ffe6RUqf8QtJzFzDgg_6_2"/>
      <w:bookmarkStart w:id="1332" w:name="Tc_So4sLvA8mEWA4QfzAoo8dw_5_0"/>
      <w:bookmarkStart w:id="1333" w:name="Tc_xxi0ZFi8-EuxJIyYpL2mMQ_4_0"/>
      <w:bookmarkStart w:id="1334" w:name="Tc_ug0IU7uTCkyWUz3hrsYpWw_3_0"/>
      <w:bookmarkStart w:id="1335" w:name="Tc_8RU9OypL1EyUePdAJzhFLA_2_5"/>
      <w:bookmarkStart w:id="1336" w:name="Tc_uPW1n9kFlkyGgNLJo8nzWg_2_2"/>
      <w:bookmarkStart w:id="1337" w:name="Tc_R0iuJdvURUmJClc2RRV15g_2_0"/>
      <w:bookmarkStart w:id="1338" w:name="Tc_TS2qlPQ5-kK_IFTZKNxXiw_1_5"/>
      <w:bookmarkStart w:id="1339" w:name="Tc_1HzxxvrSDkakMKd3dHkG_g_1_2"/>
      <w:bookmarkStart w:id="1340" w:name="Tc_Y7ztjx8tuE6mQF5Yn_EvfQ_1_0"/>
      <w:bookmarkStart w:id="1341" w:name="_e56099af_876c_445c_95a9_41baebbd672e"/>
      <w:bookmarkStart w:id="1342" w:name="Tc_gjvIBtdKcUueKSKplf9lwg_9_5"/>
      <w:bookmarkStart w:id="1343" w:name="Tc_ZEiYlaucRE-bT53A_ZDD1g_9_2"/>
      <w:bookmarkStart w:id="1344" w:name="Tc_JTd5NibZ3Eu2vnX_QwthUQ_9_0"/>
      <w:bookmarkStart w:id="1345" w:name="Tc_dcUaFFGJuEutHU_8wFWlbg_8_5"/>
      <w:bookmarkStart w:id="1346" w:name="Tc_vUZ9AVe-U0mzMFM9eNwGfw_8_2"/>
      <w:bookmarkStart w:id="1347" w:name="Tc_0eyGnkVX4EKyruTOTW2n2A_8_0"/>
      <w:bookmarkStart w:id="1348" w:name="Tc_qsWViOf1Tk2qHCSrHCXoGA_7_0"/>
      <w:bookmarkStart w:id="1349" w:name="Tc_ZP6OZK-ovUuUIQppu6RtUg_6_5"/>
      <w:bookmarkStart w:id="1350" w:name="Tc_DVCI3DId2U-A4j9aEmfhKw_6_2"/>
      <w:bookmarkStart w:id="1351" w:name="Tc_zfxVzN1cHEKtQLshsx_xxg_6_0"/>
      <w:bookmarkStart w:id="1352" w:name="Tc_VDxjI76H-UOGW7Ewi_KnVw_5_0"/>
      <w:bookmarkStart w:id="1353" w:name="Tc_ZKVUwAp-V0i2L3b1NiHJ4A_4_0"/>
      <w:bookmarkStart w:id="1354" w:name="Tc_bF-7uZuYAkuSuURvpUm43w_3_0"/>
      <w:bookmarkStart w:id="1355" w:name="Tc_XvWc3nitJ02s8snf5FaTig_2_5"/>
      <w:bookmarkStart w:id="1356" w:name="Tc_M3y8-QZna0mXnSiyKoqraw_2_2"/>
      <w:bookmarkStart w:id="1357" w:name="Tc_FibId07gbkiyshPdpi2IPQ_2_0"/>
      <w:bookmarkStart w:id="1358" w:name="Tc_KwweduX1pkWDn-FQelohRw_1_5"/>
      <w:bookmarkStart w:id="1359" w:name="Tc_h_UPLBhsWkaElEple4ul3A_1_2"/>
      <w:bookmarkStart w:id="1360" w:name="Tc_i69ojnP8WEO9exSZqewEog_1_0"/>
      <w:bookmarkStart w:id="1361" w:name="_43b244e3_6206_45b4_98b2_90977b961d30"/>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r>
        <w:rPr>
          <w:rFonts w:ascii="Times New Roman;Times;serif" w:hAnsi="Times New Roman;Times;serif"/>
          <w:sz w:val="20"/>
        </w:rPr>
        <w:t>The book value of debt approximates its fair value given its maturity and variable interest rate. Long term debt and the unamortized discount balances are as follows:</w:t>
      </w:r>
    </w:p>
    <w:tbl>
      <w:tblPr>
        <w:tblW w:w="7555" w:type="dxa"/>
        <w:jc w:val="left"/>
        <w:tblInd w:w="0" w:type="dxa"/>
        <w:tblLayout w:type="fixed"/>
        <w:tblCellMar>
          <w:top w:w="0" w:type="dxa"/>
          <w:left w:w="0" w:type="dxa"/>
          <w:bottom w:w="0" w:type="dxa"/>
          <w:right w:w="0" w:type="dxa"/>
        </w:tblCellMar>
      </w:tblPr>
      <w:tblGrid>
        <w:gridCol w:w="4231"/>
        <w:gridCol w:w="326"/>
        <w:gridCol w:w="250"/>
        <w:gridCol w:w="876"/>
        <w:gridCol w:w="326"/>
        <w:gridCol w:w="350"/>
        <w:gridCol w:w="1196"/>
      </w:tblGrid>
      <w:tr>
        <w:trPr/>
        <w:tc>
          <w:tcPr>
            <w:tcW w:w="4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8750" cy="175260"/>
                      <wp:effectExtent l="0" t="0" r="0" b="0"/>
                      <wp:wrapNone/>
                      <wp:docPr id="270" name="Frame27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56260" cy="175260"/>
                      <wp:effectExtent l="0" t="0" r="0" b="0"/>
                      <wp:wrapNone/>
                      <wp:docPr id="271" name="Frame271"/>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2250" cy="175260"/>
                      <wp:effectExtent l="0" t="0" r="0" b="0"/>
                      <wp:wrapNone/>
                      <wp:docPr id="273" name="Frame27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759460" cy="175260"/>
                      <wp:effectExtent l="0" t="0" r="0" b="0"/>
                      <wp:wrapNone/>
                      <wp:docPr id="274" name="Frame274"/>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amount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30,709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long-term</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 </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 principal</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(11,689)</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20,635</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 – principal</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11,689</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unamortized debt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10,666</w:t>
            </w:r>
          </w:p>
        </w:tc>
        <w:tc>
          <w:tcPr>
            <w:tcW w:w="326" w:type="dxa"/>
            <w:tcBorders/>
            <w:vAlign w:val="center"/>
          </w:tcPr>
          <w:p>
            <w:pPr>
              <w:pStyle w:val="TableContents"/>
              <w:bidi w:val="0"/>
              <w:spacing w:before="0" w:after="0"/>
              <w:ind w:left="0" w:right="0" w:hanging="0"/>
              <w:jc w:val="left"/>
              <w:rPr/>
            </w:pPr>
            <w:r>
              <w:rPr/>
              <w:t>​</w:t>
            </w:r>
          </w:p>
        </w:tc>
        <w:tc>
          <w:tcPr>
            <w:tcW w:w="3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8,303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three and six months ended June 30, 2023, the Company recorded interest expense of $1.6 million and $3.0 million, respectively, which includes accretion of the end-of-term liability, amortization of the commitment fee and amortization of debt issuance costs totaling $0.3 million and $0.7 million, respectively. In the three and six months ended June 30, 2022, the Company recorded interest expense of $1.0 million and $2.2 million, respectively, which includes accretion of the end-of-term liability, amortization of the commitment fee asset and amortization of debt issuance costs totaling $0.3 million and $0.7 million, respectively. The unamortized debt discount as of June 30, 2023 and December 31, 2022 of $1.6 million and $2.2 million, respectively, is offset against the carrying value of the term loan in the condensed consolidated balance sheet.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Scheduled principal payments on total outstanding debt as of June 30, 2023 and December 31,2022 are as follows:</w:t>
      </w:r>
    </w:p>
    <w:tbl>
      <w:tblPr>
        <w:tblW w:w="4480" w:type="dxa"/>
        <w:jc w:val="left"/>
        <w:tblInd w:w="0" w:type="dxa"/>
        <w:tblLayout w:type="fixed"/>
        <w:tblCellMar>
          <w:top w:w="0" w:type="dxa"/>
          <w:left w:w="0" w:type="dxa"/>
          <w:bottom w:w="0" w:type="dxa"/>
          <w:right w:w="0" w:type="dxa"/>
        </w:tblCellMar>
      </w:tblPr>
      <w:tblGrid>
        <w:gridCol w:w="1156"/>
        <w:gridCol w:w="326"/>
        <w:gridCol w:w="267"/>
        <w:gridCol w:w="859"/>
        <w:gridCol w:w="326"/>
        <w:gridCol w:w="328"/>
        <w:gridCol w:w="1218"/>
      </w:tblGrid>
      <w:tr>
        <w:trPr/>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69545" cy="175260"/>
                      <wp:effectExtent l="0" t="0" r="0" b="0"/>
                      <wp:wrapNone/>
                      <wp:docPr id="276" name="Frame27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45465" cy="175260"/>
                      <wp:effectExtent l="0" t="0" r="0" b="0"/>
                      <wp:wrapNone/>
                      <wp:docPr id="277" name="Frame27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8280" cy="175260"/>
                      <wp:effectExtent l="0" t="0" r="0" b="0"/>
                      <wp:wrapNone/>
                      <wp:docPr id="279" name="Frame27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73430" cy="175260"/>
                      <wp:effectExtent l="0" t="0" r="0" b="0"/>
                      <wp:wrapNone/>
                      <wp:docPr id="280" name="Frame28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5,476</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9,491</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13,007</w:t>
            </w:r>
          </w:p>
        </w:tc>
      </w:tr>
      <w:tr>
        <w:trPr/>
        <w:tc>
          <w:tcPr>
            <w:tcW w:w="1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9,047</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8,020</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30,709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62" w:name="_8a757b1a_f409_470d_a5e6_e00c2a281614_3"/>
      <w:bookmarkStart w:id="1363" w:name="_8a757b1a_f409_470d_a5e6_e00c2a281614_2"/>
      <w:bookmarkStart w:id="1364" w:name="_8a757b1a_f409_470d_a5e6_e00c2a281614"/>
      <w:bookmarkStart w:id="1365" w:name="_8a757b1a_f409_470d_a5e6_e00c2a281614_3"/>
      <w:bookmarkStart w:id="1366" w:name="_8a757b1a_f409_470d_a5e6_e00c2a281614_2"/>
      <w:bookmarkStart w:id="1367" w:name="_8a757b1a_f409_470d_a5e6_e00c2a281614"/>
      <w:bookmarkEnd w:id="1365"/>
      <w:bookmarkEnd w:id="1366"/>
      <w:bookmarkEnd w:id="1367"/>
    </w:p>
    <w:tbl>
      <w:tblPr>
        <w:tblW w:w="2177" w:type="dxa"/>
        <w:jc w:val="left"/>
        <w:tblInd w:w="0" w:type="dxa"/>
        <w:tblLayout w:type="fixed"/>
        <w:tblCellMar>
          <w:top w:w="0" w:type="dxa"/>
          <w:left w:w="0" w:type="dxa"/>
          <w:bottom w:w="0" w:type="dxa"/>
          <w:right w:w="0" w:type="dxa"/>
        </w:tblCellMar>
      </w:tblPr>
      <w:tblGrid>
        <w:gridCol w:w="376"/>
        <w:gridCol w:w="180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18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COMMON STOCK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Note 3, on March 2, 2022, the Company consummated a Business Combination which has been accounted for as a reverse 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June 30, 2023 or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warrants and stock-based awards outstanding prior to March 2, 2022 to give effect to the Exchange Ratio used to determine the number of shares of Common Stock into which they were converted.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68" w:name="Tc_ATpuxWi9uECW0xFKkMWWrQ_4_0"/>
      <w:bookmarkStart w:id="1369" w:name="Tc_Nl_xBck1MUqwZc80H9xZSw_3_0"/>
      <w:bookmarkStart w:id="1370" w:name="Tc_d3xN_qXLgkGmKK1WdWKjQw_2_0"/>
      <w:bookmarkStart w:id="1371" w:name="Tc_-6AUHg2yGkagBUQIC6nrng_1_0"/>
      <w:bookmarkStart w:id="1372" w:name="_409fc796_a75d_4cac_b50a_dae934945943"/>
      <w:bookmarkEnd w:id="1368"/>
      <w:bookmarkEnd w:id="1369"/>
      <w:bookmarkEnd w:id="1370"/>
      <w:bookmarkEnd w:id="1371"/>
      <w:bookmarkEnd w:id="1372"/>
      <w:r>
        <w:rPr>
          <w:rFonts w:ascii="Times New Roman;Times;serif" w:hAnsi="Times New Roman;Times;serif"/>
          <w:sz w:val="20"/>
        </w:rPr>
        <w:t>As of June 30, 2023, the Company has reserved the following shares of Common Stock for issuance upon the conversion, exercise or vesting of the underlying instruments:</w:t>
      </w:r>
    </w:p>
    <w:tbl>
      <w:tblPr>
        <w:tblW w:w="5143" w:type="dxa"/>
        <w:jc w:val="left"/>
        <w:tblInd w:w="0" w:type="dxa"/>
        <w:tblLayout w:type="fixed"/>
        <w:tblCellMar>
          <w:top w:w="0" w:type="dxa"/>
          <w:left w:w="0" w:type="dxa"/>
          <w:bottom w:w="0" w:type="dxa"/>
          <w:right w:w="0" w:type="dxa"/>
        </w:tblCellMar>
      </w:tblPr>
      <w:tblGrid>
        <w:gridCol w:w="3676"/>
        <w:gridCol w:w="326"/>
        <w:gridCol w:w="1141"/>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24535" cy="175260"/>
                      <wp:effectExtent l="0" t="0" r="0" b="0"/>
                      <wp:wrapNone/>
                      <wp:docPr id="282" name="Frame28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17,064,096</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11,189,011</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5,466,550</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33,719,657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entered into a Common Stock Purchase Agreement (the “Purchase Agreement”) with B. Riley Principal Capital II, LLC (“B. Riley”) on August 11, 2022 pursuant to which the Company may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In the three and six months ended June 30, 2023, the Company received proceeds of $2.3 million from the issuance and sale of 1,869,419 shares of Common Stock to B. Riley under the Purchase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 which registration statement was declared effective on September 14,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the initial satisfaction of the conditions to B. Riley’s purchase obligation set forth in the Purchase Agreement, as of September 14, 2022 (the “Commencement Date”) the Company has the right, but not the obligation, from time to time at the Company’s sole discretion over the 24-month period from and after the Commencement Date, to direct B. Riley to purchase a specified amount of shares not to exceed the lesser of (i) 1,000,000 shares of Common Stock and (ii) 20% of the total aggregate number (or volume) of shares of Common Stock traded on The Nasdaq Capital Market (“Nasdaq”) during the applicable period beginning at the official open (or “commencement”) of the regular trading session on the applicable purchase date for such purchase and ending at such time that the total aggregate volume of shares of common stock traded on Nasdaq reaches the Purchase Share Volume Maximum (as defined below) for such purchase (as applicable) (such period for each purchase, the “Purchase Valuation Period”), provided, that, (i) the closing sale price of the Common Stock on the trading day immediately prior to such Purchase Date (as defined in the Purchase Agreement) is not less than $1.00 and (ii) all shares of Common Stock subject to all prior Purchases (as defined in the Purchase Agreement) and all prior Intraday Purchases (as defined in the Purchase Agreement) by B. Riley under the Purchase Agreement have been received by B. Riley prior to the time the Company delivers a purchase notice to B. Riley. “Purchase Share Volume Maximum” means, with respect to a purchase made pursuant to the Purchase Agreement, the number of shares of Common Stock equal to the quotient obtained by dividing the (i) total number of shares of Common Stock to be purchased by B. Riley in the relevant purchase (the “Purchase Share Amount”), by (ii) 0.20 (subject to certain adjustments). The Company did not identify any feature within the Purchase Agreement that needs to be bifurcated and recorded as a derivative.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share price had traded below $1.00 per share for an extended period in early 2023. As a result, the Company recognized impairment charges in the three and six months ended June 30, 2023 of $0.1 million and $0.8 million, respectively, for previously deferred offering costs primarily related to the Purchase Agreement, which were recorded as general and administrative expense in the accompanying condensed consolidated statement of operations.</w:t>
      </w:r>
    </w:p>
    <w:p>
      <w:pPr>
        <w:pStyle w:val="TextBody"/>
        <w:bidi w:val="0"/>
        <w:spacing w:before="0" w:after="0"/>
        <w:ind w:left="0" w:right="0" w:hanging="0"/>
        <w:jc w:val="left"/>
        <w:rPr/>
      </w:pPr>
      <w:r>
        <w:rPr/>
        <w:t>​</w:t>
      </w:r>
    </w:p>
    <w:tbl>
      <w:tblPr>
        <w:tblW w:w="1637" w:type="dxa"/>
        <w:jc w:val="left"/>
        <w:tblInd w:w="0" w:type="dxa"/>
        <w:tblLayout w:type="fixed"/>
        <w:tblCellMar>
          <w:top w:w="0" w:type="dxa"/>
          <w:left w:w="0" w:type="dxa"/>
          <w:bottom w:w="0" w:type="dxa"/>
          <w:right w:w="0" w:type="dxa"/>
        </w:tblCellMar>
      </w:tblPr>
      <w:tblGrid>
        <w:gridCol w:w="376"/>
        <w:gridCol w:w="126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126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WARRANTS</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a result of the Business Combination (see Note 3), the Company has retroactively adjusted the number and corresponding strike price of Rigetti warrants outstanding prior to March 2, 2022, the date of the Business Combination,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give effect to the Exchange Ratio used to determine the number of shares of Common Stock into which they were converted.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Liability Classified Warrants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June 30, 2023 there were 9,075,000 Public Warrants issued and outstanding (Refer to Note 8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calculated fair value of the derivative liability for the Public Warrants at June 30, 2023 and December 31, 2022 was $1.2 million and $0.7 million, respectively. The change in the fair value of the Public Warrants included in the condensed consolidated statement of operations in the three and six months ended June 30, 2023 was a loss of $0.3 million and $0.5 million, respectively. The change in the fair value of the Public Warrants included in the condensed consolidated statement of operations in the three and six months ended June 30, 2022 was a gain of $5.6 million and $10.7 million,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On August 18, 2022, the Private Warrants were transferred from the initial purchasers to permitted transferees and remain unredeemable by the Company as of June 30, 2023. The Private Warrants are accounted for as a derivative liability. The fair value of the Private Warrants is determined using the Black- Scholes option-pricing model, with subsequent changes in the fair value recognized in the condensed consolidated statements of operations at each reporting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calculated fair value of the derivative liability for the Private Warrants at June 30, 2023 and December 31, 2022 was $1.4 million and $1.1 million, respectively. The change in the fair value of the Private Warrants included in the condensed consolidated statements of operations in the three and six months ended June 30, 2023 was a gain of $0.3 million and a loss of $0.3 million, respectively. The change in the fair value of the Private Warrants included in the condensed consolidated statements of operations in the three and six months ended June 30, 2022 was a loss of $3.9 million and $3.1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73" w:name="Tc_2RI7I3rPEEuR3y04VBOx2A_7_4"/>
      <w:bookmarkStart w:id="1374" w:name="Tc_i6SQ2yWOYkqPNIoWZoxz-A_7_0"/>
      <w:bookmarkStart w:id="1375" w:name="Tc_9c_DXCVJ8UuVpR5HVDLp0Q_6_0"/>
      <w:bookmarkStart w:id="1376" w:name="Tc_x1kYPlhTaUmJL_3r9h4L6Q_5_4"/>
      <w:bookmarkStart w:id="1377" w:name="Tc_QDJy-6OAc0akA4JVr7ublg_5_0"/>
      <w:bookmarkStart w:id="1378" w:name="Tc_LycxCP5baUSsWkGzepKSvw_4_4"/>
      <w:bookmarkStart w:id="1379" w:name="Tc_a7OUzLRSM0CKe_FUSnsniw_4_0"/>
      <w:bookmarkStart w:id="1380" w:name="Tc_Uxy57zhyJkqLgjTontfiNw_3_2"/>
      <w:bookmarkStart w:id="1381" w:name="Tc_eWX3tvqzNE28R5gnbTv-Tg_3_0"/>
      <w:bookmarkStart w:id="1382" w:name="Tc_vQN2Zgnh70qPqfGozFNXKg_2_2"/>
      <w:bookmarkStart w:id="1383" w:name="Tc_eg9bPW5AbUi-qUwA-7hksw_2_0"/>
      <w:bookmarkStart w:id="1384" w:name="Tc__pzTXdess0O5L5XI3kiWRw_1_2"/>
      <w:bookmarkStart w:id="1385" w:name="Tc_N154c9L2O0uHJnGYNt-2IQ_1_0"/>
      <w:bookmarkStart w:id="1386" w:name="Tc_-5rffkB2ekqfyGX-qBEaFg_7_10"/>
      <w:bookmarkStart w:id="1387" w:name="Tc_Jtm9AHjPakibQhSGfIXNXg_7_7"/>
      <w:bookmarkStart w:id="1388" w:name="Tc_CwXcf76LUUmNrjEiNq6G3w_7_4"/>
      <w:bookmarkStart w:id="1389" w:name="Tc_h2vyl5WZd0iBXBqodwXMBQ_7_0"/>
      <w:bookmarkStart w:id="1390" w:name="Tc_QVGnK4JmhkmYlD-2ePixww_6_0"/>
      <w:bookmarkStart w:id="1391" w:name="Tc_hzS3Qqnhp0C9Ptgc9iO6Cw_5_10"/>
      <w:bookmarkStart w:id="1392" w:name="Tc_PR-jnqZYtkau3_EaUfArcg_5_7"/>
      <w:bookmarkStart w:id="1393" w:name="Tc_w_zPGNGivU2KCne9f_s08w_5_4"/>
      <w:bookmarkStart w:id="1394" w:name="Tc_pgMu6ccwMUqVm4Fe1pORWg_5_0"/>
      <w:bookmarkStart w:id="1395" w:name="Tc_Wx340vSHZEyUlW-zNQ-KOw_4_10"/>
      <w:bookmarkStart w:id="1396" w:name="Tc_ONQ_H5UE70aqmOoctoTOIg_4_7"/>
      <w:bookmarkStart w:id="1397" w:name="Tc_PCix0Iwb20-sbQ50T1dDJA_4_4"/>
      <w:bookmarkStart w:id="1398" w:name="Tc_SGjPcUzZBkaodsaDyegJ2Q_4_0"/>
      <w:bookmarkStart w:id="1399" w:name="Tc_j5YOrTJ9OUuh8r_Q-JAgOQ_3_8"/>
      <w:bookmarkStart w:id="1400" w:name="Tc_vEwdRdVDJUeeFOkPIPf3GA_3_5"/>
      <w:bookmarkStart w:id="1401" w:name="Tc_Ec14jrKhPUi72JYCRH6E-Q_3_2"/>
      <w:bookmarkStart w:id="1402" w:name="Tc_45fiC3Dw9U-HU1C9gPElEw_3_0"/>
      <w:bookmarkStart w:id="1403" w:name="Tc_DvWxAXryq0yEC7ltoeCVYw_2_8"/>
      <w:bookmarkStart w:id="1404" w:name="Tc_cbdGBTP3O0qG0zY1Mqmuqw_2_5"/>
      <w:bookmarkStart w:id="1405" w:name="Tc_o5k5AHctJ060B_o17ihFOg_2_2"/>
      <w:bookmarkStart w:id="1406" w:name="Tc_FCbA7vPRLkCgorWo9EAKeQ_2_0"/>
      <w:bookmarkStart w:id="1407" w:name="Tc_vPOx894_skK4lnJl14EvPA_1_8"/>
      <w:bookmarkStart w:id="1408" w:name="Tc_g-vlLTtwMk-jOFuSHMm8hg_1_5"/>
      <w:bookmarkStart w:id="1409" w:name="Tc_8YjCcEuyn0aSAJT9APZksA_1_2"/>
      <w:bookmarkStart w:id="1410" w:name="Tc_AXy5QxevkUmuHvu61fV8GQ_1_0"/>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sz w:val="20"/>
        </w:rPr>
        <w:t>Significant inputs into the Black-Scholes option-pricing models used to value the Private Warrants at June 30, 2023, December 31, 2022 and March 2, 2022 (initial recognition date) are as follows:</w:t>
      </w:r>
    </w:p>
    <w:p>
      <w:pPr>
        <w:pStyle w:val="TextBody"/>
        <w:bidi w:val="0"/>
        <w:spacing w:before="0" w:after="0"/>
        <w:ind w:left="0" w:right="0" w:hanging="0"/>
        <w:jc w:val="left"/>
        <w:rPr/>
      </w:pPr>
      <w:r>
        <w:rPr/>
        <w:t>​</w:t>
      </w:r>
    </w:p>
    <w:tbl>
      <w:tblPr>
        <w:tblW w:w="8287" w:type="dxa"/>
        <w:jc w:val="left"/>
        <w:tblInd w:w="0" w:type="dxa"/>
        <w:tblLayout w:type="fixed"/>
        <w:tblCellMar>
          <w:top w:w="0" w:type="dxa"/>
          <w:left w:w="0" w:type="dxa"/>
          <w:bottom w:w="0" w:type="dxa"/>
          <w:right w:w="0" w:type="dxa"/>
        </w:tblCellMar>
      </w:tblPr>
      <w:tblGrid>
        <w:gridCol w:w="3016"/>
        <w:gridCol w:w="326"/>
        <w:gridCol w:w="267"/>
        <w:gridCol w:w="859"/>
        <w:gridCol w:w="361"/>
        <w:gridCol w:w="357"/>
        <w:gridCol w:w="1144"/>
        <w:gridCol w:w="361"/>
        <w:gridCol w:w="315"/>
        <w:gridCol w:w="856"/>
        <w:gridCol w:w="271"/>
        <w:gridCol w:w="154"/>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69545" cy="175260"/>
                      <wp:effectExtent l="0" t="0" r="0" b="0"/>
                      <wp:wrapNone/>
                      <wp:docPr id="284" name="Frame28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45465" cy="175260"/>
                      <wp:effectExtent l="0" t="0" r="0" b="0"/>
                      <wp:wrapNone/>
                      <wp:docPr id="285" name="Frame28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29235" cy="175260"/>
                      <wp:effectExtent l="0" t="0" r="0" b="0"/>
                      <wp:wrapNone/>
                      <wp:docPr id="286" name="Frame2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26695" cy="175260"/>
                      <wp:effectExtent l="0" t="0" r="0" b="0"/>
                      <wp:wrapNone/>
                      <wp:docPr id="287" name="Frame28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726440" cy="175260"/>
                      <wp:effectExtent l="0" t="0" r="0" b="0"/>
                      <wp:wrapNone/>
                      <wp:docPr id="288" name="Frame288"/>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9235" cy="175260"/>
                      <wp:effectExtent l="0" t="0" r="0" b="0"/>
                      <wp:wrapNone/>
                      <wp:docPr id="289" name="Frame2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0025" cy="175260"/>
                      <wp:effectExtent l="0" t="0" r="0" b="0"/>
                      <wp:wrapNone/>
                      <wp:docPr id="290" name="Frame29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43560" cy="175260"/>
                      <wp:effectExtent l="0" t="0" r="0" b="0"/>
                      <wp:wrapNone/>
                      <wp:docPr id="291" name="Frame29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2085" cy="175260"/>
                      <wp:effectExtent l="0" t="0" r="0" b="0"/>
                      <wp:wrapNone/>
                      <wp:docPr id="292" name="Frame29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7790" cy="175260"/>
                      <wp:effectExtent l="0" t="0" r="0" b="0"/>
                      <wp:wrapNone/>
                      <wp:docPr id="293" name="Frame2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61"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61"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2, 2022</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361"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61"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61"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w:t>
            </w:r>
          </w:p>
        </w:tc>
        <w:tc>
          <w:tcPr>
            <w:tcW w:w="361"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61"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57"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15"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18, 2022, the Private Warrants were transferred from the initial purchasers to permitted transferees of the SPAC Sponsor by means of an internal partnership distribution.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Trinity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Initial Trinity Warrants were issued in March of 2021 for the purchase of 313,252 shares of common stock, and additional warrants to purchase 469,877 shares of common stock were issued in connection with the Tranche B Amendment, see Note 10. Therefore, there were a total of 783,129 Trinity warrants issued in conjunction with the Loan Agreement in 2021. The Trinity Warrants issued were classified as a liability under ASC 480, “Distinguishing Liabilities from Equity”. The Company utilized a Black-Scholes model to determine the grant fair value of the warrants which was approximately $2.7 million and was recorded as a debt issuance cost. The outstanding warrants were subsequently re-measured at each reporting period using the Black-Scholes model with changes recorded as a component of other income in the Company’s condensed consolidated statement of operations. The liability related to the Trinity Warrants was $6.4 million as of June 2, 2022, at which time all 783,129 Trinity Warrants were exercised and the fair value of the warrant liability was reclassified to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the fair value of the Trinity Warrants included in the condensed consolidated statements of operations in the three and six months ended June 30, 2022 was a loss of $1.5 million and $2.0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Significant inputs into the Black-Scholes option pricing model used to value the Trinity Warrants at June 30, 2022 were as follows:</w:t>
      </w:r>
    </w:p>
    <w:p>
      <w:pPr>
        <w:pStyle w:val="TextBody"/>
        <w:bidi w:val="0"/>
        <w:spacing w:before="0" w:after="0"/>
        <w:ind w:left="0" w:right="0" w:hanging="0"/>
        <w:jc w:val="left"/>
        <w:rPr/>
      </w:pPr>
      <w:r>
        <w:rPr/>
        <w:t>​</w:t>
      </w:r>
    </w:p>
    <w:tbl>
      <w:tblPr>
        <w:tblW w:w="4893" w:type="dxa"/>
        <w:jc w:val="left"/>
        <w:tblInd w:w="0" w:type="dxa"/>
        <w:tblLayout w:type="fixed"/>
        <w:tblCellMar>
          <w:top w:w="0" w:type="dxa"/>
          <w:left w:w="0" w:type="dxa"/>
          <w:bottom w:w="0" w:type="dxa"/>
          <w:right w:w="0" w:type="dxa"/>
        </w:tblCellMar>
      </w:tblPr>
      <w:tblGrid>
        <w:gridCol w:w="3016"/>
        <w:gridCol w:w="326"/>
        <w:gridCol w:w="267"/>
        <w:gridCol w:w="859"/>
        <w:gridCol w:w="271"/>
        <w:gridCol w:w="154"/>
      </w:tblGrid>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9545" cy="175260"/>
                      <wp:effectExtent l="0" t="0" r="0" b="0"/>
                      <wp:wrapNone/>
                      <wp:docPr id="295" name="Frame29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45465" cy="175260"/>
                      <wp:effectExtent l="0" t="0" r="0" b="0"/>
                      <wp:wrapNone/>
                      <wp:docPr id="296" name="Frame296"/>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72085" cy="175260"/>
                      <wp:effectExtent l="0" t="0" r="0" b="0"/>
                      <wp:wrapNone/>
                      <wp:docPr id="297" name="Frame2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97790" cy="175260"/>
                      <wp:effectExtent l="0" t="0" r="0" b="0"/>
                      <wp:wrapNone/>
                      <wp:docPr id="298" name="Frame29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27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Between February 2020 and May 2020, a subsidiary of Legacy Rigetti issued and sold an aggregate of 69,223,658 shares (Post conversion - 54,478,260 shares) of its Series C Preferred Stock at a purchase price of $0.906793 per share (Post conversion -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exercise price per share and have a 10-year term to expiration. The Series C Warrants can be exercised for cash or on a cashless basis. The Company determined that the Series C Warrants met the requirements for equity classification under ASC 480 and ASC 815. The Company estimated the fair value of the Series C Warrants using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11" w:name="Tc_de1w-j-BuUCmtYrfSSjsBg_3_0"/>
      <w:bookmarkStart w:id="1412" w:name="Tc_ZrGGrKG2BEqxJdgsTJKHbA_2_0"/>
      <w:bookmarkStart w:id="1413" w:name="Tc_fA-Mr2aebkKhGLJYSqi2pQ_1_4"/>
      <w:bookmarkStart w:id="1414" w:name="Tc_KDm3j6v4tESDjeKGoIq_Og_1_2"/>
      <w:bookmarkEnd w:id="1411"/>
      <w:bookmarkEnd w:id="1412"/>
      <w:bookmarkEnd w:id="1413"/>
      <w:bookmarkEnd w:id="1414"/>
      <w:r>
        <w:rPr>
          <w:rFonts w:ascii="Times New Roman;Times;serif" w:hAnsi="Times New Roman;Times;serif"/>
          <w:sz w:val="20"/>
        </w:rPr>
        <w:t>Black-Scholes model and allocated approximately $1.2 million in proceeds from the Series C Preferred Stock to the value of the Series C Warrants on a relative fair value basis, which was recorded to additional paid in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2020, the Company issued a warrant to purchase 2,680,607 shares of Class A Common Stock to a customer in conjunction with a revenue arrangement (the “Customer Warrant”). The Customer Warrant has a $1.152 exercise price per share and a 10-year term to expiration. 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June 30, 2023, the deferred asset balance outstanding is approximately $0.1 million, which will be recognized as a reduction in revenue in future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vesting status of the Customer Warrant at June 30, 2023 and December 31,2022 was as follows:</w:t>
      </w:r>
    </w:p>
    <w:p>
      <w:pPr>
        <w:pStyle w:val="TextBody"/>
        <w:bidi w:val="0"/>
        <w:spacing w:before="0" w:after="0"/>
        <w:ind w:left="0" w:right="0" w:hanging="0"/>
        <w:jc w:val="left"/>
        <w:rPr/>
      </w:pPr>
      <w:r>
        <w:rPr/>
        <w:t>​</w:t>
      </w:r>
    </w:p>
    <w:tbl>
      <w:tblPr>
        <w:tblW w:w="5905" w:type="dxa"/>
        <w:jc w:val="left"/>
        <w:tblInd w:w="0" w:type="dxa"/>
        <w:tblLayout w:type="fixed"/>
        <w:tblCellMar>
          <w:top w:w="0" w:type="dxa"/>
          <w:left w:w="0" w:type="dxa"/>
          <w:bottom w:w="0" w:type="dxa"/>
          <w:right w:w="0" w:type="dxa"/>
        </w:tblCellMar>
      </w:tblPr>
      <w:tblGrid>
        <w:gridCol w:w="2941"/>
        <w:gridCol w:w="146"/>
        <w:gridCol w:w="1126"/>
        <w:gridCol w:w="146"/>
        <w:gridCol w:w="1546"/>
      </w:tblGrid>
      <w:tr>
        <w:trPr/>
        <w:tc>
          <w:tcPr>
            <w:tcW w:w="29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2710" cy="175260"/>
                      <wp:effectExtent l="0" t="0" r="0" b="0"/>
                      <wp:wrapNone/>
                      <wp:docPr id="299" name="Frame2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15010" cy="175260"/>
                      <wp:effectExtent l="0" t="0" r="0" b="0"/>
                      <wp:wrapNone/>
                      <wp:docPr id="300" name="Frame30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92710" cy="175260"/>
                      <wp:effectExtent l="0" t="0" r="0" b="0"/>
                      <wp:wrapNone/>
                      <wp:docPr id="301" name="Frame30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81710" cy="175260"/>
                      <wp:effectExtent l="0" t="0" r="0" b="0"/>
                      <wp:wrapNone/>
                      <wp:docPr id="302" name="Frame30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146" w:type="dxa"/>
            <w:tcBorders/>
            <w:vAlign w:val="center"/>
          </w:tcPr>
          <w:p>
            <w:pPr>
              <w:pStyle w:val="TableContents"/>
              <w:bidi w:val="0"/>
              <w:spacing w:before="0" w:after="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14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14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02" w:type="dxa"/>
        <w:jc w:val="left"/>
        <w:tblInd w:w="0" w:type="dxa"/>
        <w:tblLayout w:type="fixed"/>
        <w:tblCellMar>
          <w:top w:w="0" w:type="dxa"/>
          <w:left w:w="0" w:type="dxa"/>
          <w:bottom w:w="0" w:type="dxa"/>
          <w:right w:w="0" w:type="dxa"/>
        </w:tblCellMar>
      </w:tblPr>
      <w:tblGrid>
        <w:gridCol w:w="376"/>
        <w:gridCol w:w="35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35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FORWARD WARRANT AGREEMENT</w:t>
            </w:r>
          </w:p>
        </w:tc>
      </w:tr>
    </w:tbl>
    <w:p>
      <w:pPr>
        <w:pStyle w:val="TextBody"/>
        <w:bidi w:val="0"/>
        <w:spacing w:before="0" w:after="240"/>
        <w:ind w:left="0" w:right="0" w:hanging="0"/>
        <w:jc w:val="left"/>
        <w:rPr>
          <w:rFonts w:ascii="Times New Roman;Times;serif" w:hAnsi="Times New Roman;Times;serif"/>
          <w:sz w:val="18"/>
        </w:rPr>
      </w:pPr>
      <w:r>
        <w:rPr>
          <w:rFonts w:ascii="Times New Roman;Times;serif" w:hAnsi="Times New Roman;Times;serif"/>
          <w:sz w:val="20"/>
        </w:rPr>
        <w:t>In connection with the execution of the Merger Agreement in October 2021 (See Note 1), Rigetti entered into a warrant subscription agreement (“Forward Warrant Agreement”) with a strategic partner, Ampere Computing LLC (“Ampere”) for the purchase of a warrant for an aggregate purchase price (including amounts from exercise) of $10.0</w:t>
      </w:r>
      <w:r>
        <w:rPr>
          <w:rFonts w:ascii="Times New Roman;Times;serif" w:hAnsi="Times New Roman;Times;serif"/>
          <w:sz w:val="18"/>
        </w:rPr>
        <w:t xml:space="preserve"> </w:t>
      </w:r>
      <w:r>
        <w:rPr>
          <w:rFonts w:ascii="Times New Roman;Times;serif" w:hAnsi="Times New Roman;Times;serif"/>
          <w:sz w:val="20"/>
        </w:rPr>
        <w:t>million. The Forward Warrant Agreement provides for the issuance of a warrant for the purchase of up to an aggregate of 1,000,000</w:t>
      </w:r>
      <w:r>
        <w:rPr>
          <w:rFonts w:ascii="Times New Roman;Times;serif" w:hAnsi="Times New Roman;Times;serif"/>
          <w:sz w:val="18"/>
        </w:rPr>
        <w:t xml:space="preserve"> </w:t>
      </w:r>
      <w:r>
        <w:rPr>
          <w:rFonts w:ascii="Times New Roman;Times;serif" w:hAnsi="Times New Roman;Times;serif"/>
          <w:sz w:val="20"/>
        </w:rPr>
        <w:t>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w:t>
      </w:r>
      <w:r>
        <w:rPr>
          <w:rFonts w:ascii="Times New Roman;Times;serif" w:hAnsi="Times New Roman;Times;serif"/>
          <w:sz w:val="18"/>
        </w:rPr>
        <w:t xml:space="preserve"> </w:t>
      </w:r>
      <w:r>
        <w:rPr>
          <w:rFonts w:ascii="Times New Roman;Times;serif" w:hAnsi="Times New Roman;Times;serif"/>
          <w:sz w:val="20"/>
        </w:rPr>
        <w:t xml:space="preserve">million to Rigetti no later than the later of (i) the Closing and </w:t>
      </w:r>
      <w:r>
        <w:rPr>
          <w:rFonts w:ascii="Times New Roman;Times;serif" w:hAnsi="Times New Roman;Times;serif"/>
          <w:sz w:val="18"/>
        </w:rPr>
        <w:t>(ii) June 30,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is required to pay an additional $5.0 million to Rigetti no later than the closing date of the listing of Ampere’s capital stock on a stock exchange, provided that if the listing has not occurred by the second anniversary of the Forward Warrant Agreement (October 2023), Ampere is not obligated to make the additional payment. Upon the payment of such additional amounts, the warrant will vest and be exercisable with respect to the remaining 500,000 shares. The Forward Warrant Agreement further provides that the Company will use commercially reasonable efforts to file a registration statement to register the resale of the remaining shares underlying the warrant. The Company filed a registration statement registering the resale of the initial 500,000 shares issued under the warrant which was declared effective during the year ended December 31,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15" w:name="Tc_FnF8TZq-akyKOa82zYzFSw_5_5"/>
      <w:bookmarkStart w:id="1416" w:name="Tc_WurhkwCpkEqtLU4WD6J6pQ_5_2"/>
      <w:bookmarkStart w:id="1417" w:name="Tc_Jp5qSzOA2kOmU-sbyWDRaA_5_0"/>
      <w:bookmarkStart w:id="1418" w:name="Tc_rvbId1lQmkaRcHxGOcEVKw_4_7"/>
      <w:bookmarkStart w:id="1419" w:name="Tc_ZDR6yvbHtkW7tfKr8BpBNg_4_4"/>
      <w:bookmarkStart w:id="1420" w:name="Tc_dpJ3k5CrcUaCIajoYOuvqQ_4_0"/>
      <w:bookmarkStart w:id="1421" w:name="Tc_rkfLoaaCV0acpA0Q7Y-H-g_3_7"/>
      <w:bookmarkStart w:id="1422" w:name="Tc_Vn2SzYDZkkeCp90RVoU_8A_3_4"/>
      <w:bookmarkStart w:id="1423" w:name="Tc_AUguWbC5g0GnsoS7n6wmjQ_3_0"/>
      <w:bookmarkStart w:id="1424" w:name="Tc_S4_ew5itZ0GRQK48zIG6Bw_2_0"/>
      <w:bookmarkStart w:id="1425" w:name="Tc_g2ZL1lkBCEKwoHo6GS9scA_1_5"/>
      <w:bookmarkStart w:id="1426" w:name="Tc_ZhELAWDXbEOxYJ7iy7Kpsw_1_2"/>
      <w:bookmarkStart w:id="1427" w:name="Tc_xRlpJXO_hES0M6MIjftuGQ_1_0"/>
      <w:bookmarkEnd w:id="1415"/>
      <w:bookmarkEnd w:id="1416"/>
      <w:bookmarkEnd w:id="1417"/>
      <w:bookmarkEnd w:id="1418"/>
      <w:bookmarkEnd w:id="1419"/>
      <w:bookmarkEnd w:id="1420"/>
      <w:bookmarkEnd w:id="1421"/>
      <w:bookmarkEnd w:id="1422"/>
      <w:bookmarkEnd w:id="1423"/>
      <w:bookmarkEnd w:id="1424"/>
      <w:bookmarkEnd w:id="1425"/>
      <w:bookmarkEnd w:id="1426"/>
      <w:bookmarkEnd w:id="1427"/>
      <w:r>
        <w:rPr>
          <w:rFonts w:ascii="Times New Roman;Times;serif" w:hAnsi="Times New Roman;Times;serif"/>
          <w:sz w:val="20"/>
        </w:rPr>
        <w:t>measured at each reporting period using the Forward Contract Pricing methodology with the change in fair value recorded in general and administrative expense in the condensed consolidated statement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calculated fair value of the Forward Warrant Agreement was a derivative asset at June 30, 2023 and December 31, 2022 of $1.1 million and $2.2 million, respectively. The change in the fair value of the Forward Warrant Agreement is included in selling, general and administrative expense. The change in the fair value of the Forward Agreement in the three and six months ended June 30, 2023 was a loss of less than $0.1 million and a loss of $1.1 million, respectively. The change in the fair value of the Forward Warrant Agreement in the three and six months ended June 30, 2022 was a gain of $2.1 million and $5.1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represents key valuation assumptions as of June 30, 2023 and December 31, 2022:</w:t>
      </w:r>
    </w:p>
    <w:p>
      <w:pPr>
        <w:pStyle w:val="TextBody"/>
        <w:bidi w:val="0"/>
        <w:spacing w:before="0" w:after="0"/>
        <w:ind w:left="0" w:right="0" w:hanging="0"/>
        <w:jc w:val="left"/>
        <w:rPr/>
      </w:pPr>
      <w:r>
        <w:rPr/>
        <w:t>​</w:t>
      </w:r>
    </w:p>
    <w:tbl>
      <w:tblPr>
        <w:tblW w:w="7175" w:type="dxa"/>
        <w:jc w:val="left"/>
        <w:tblInd w:w="0" w:type="dxa"/>
        <w:tblLayout w:type="fixed"/>
        <w:tblCellMar>
          <w:top w:w="0" w:type="dxa"/>
          <w:left w:w="0" w:type="dxa"/>
          <w:bottom w:w="0" w:type="dxa"/>
          <w:right w:w="0" w:type="dxa"/>
        </w:tblCellMar>
      </w:tblPr>
      <w:tblGrid>
        <w:gridCol w:w="3436"/>
        <w:gridCol w:w="326"/>
        <w:gridCol w:w="303"/>
        <w:gridCol w:w="823"/>
        <w:gridCol w:w="361"/>
        <w:gridCol w:w="405"/>
        <w:gridCol w:w="1096"/>
        <w:gridCol w:w="271"/>
        <w:gridCol w:w="154"/>
      </w:tblGrid>
      <w:tr>
        <w:trPr/>
        <w:tc>
          <w:tcPr>
            <w:tcW w:w="3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92405" cy="175260"/>
                      <wp:effectExtent l="0" t="0" r="0" b="0"/>
                      <wp:wrapNone/>
                      <wp:docPr id="304" name="Frame30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22605" cy="175260"/>
                      <wp:effectExtent l="0" t="0" r="0" b="0"/>
                      <wp:wrapNone/>
                      <wp:docPr id="305" name="Frame30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29235" cy="175260"/>
                      <wp:effectExtent l="0" t="0" r="0" b="0"/>
                      <wp:wrapNone/>
                      <wp:docPr id="306" name="Frame3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7175" cy="175260"/>
                      <wp:effectExtent l="0" t="0" r="0" b="0"/>
                      <wp:wrapNone/>
                      <wp:docPr id="307" name="Frame30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5960" cy="175260"/>
                      <wp:effectExtent l="0" t="0" r="0" b="0"/>
                      <wp:wrapNone/>
                      <wp:docPr id="308" name="Frame3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2085" cy="175260"/>
                      <wp:effectExtent l="0" t="0" r="0" b="0"/>
                      <wp:wrapNone/>
                      <wp:docPr id="309" name="Frame3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97790" cy="175260"/>
                      <wp:effectExtent l="0" t="0" r="0" b="0"/>
                      <wp:wrapNone/>
                      <wp:docPr id="310" name="Frame3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61"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Holding period (in years)</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righ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0.267</w:t>
            </w:r>
          </w:p>
        </w:tc>
        <w:tc>
          <w:tcPr>
            <w:tcW w:w="361"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0.767</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righ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05"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the contingency occurring</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righ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05"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Underlying value per share</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vAlign w:val="center"/>
          </w:tcPr>
          <w:p>
            <w:pPr>
              <w:pStyle w:val="TableContents"/>
              <w:bidi w:val="0"/>
              <w:spacing w:before="0" w:after="0"/>
              <w:ind w:left="0" w:right="0" w:hanging="0"/>
              <w:jc w:val="left"/>
              <w:rPr/>
            </w:pPr>
            <w:r>
              <w:rPr/>
              <w:t> </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six months ended June 30, 2023, the Company reduced the estimated probability of occurrence for the Forward Warrant Agreement from 50% to 25% due to less than favorable market conditions and reduced time until expiration.</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28" w:name="Tc_XLl96A84M0CYaqPJ3F27QQ_8_5"/>
      <w:bookmarkStart w:id="1429" w:name="Tc_UjjbRIC3fUGfgqh422CyPQ_8_4"/>
      <w:bookmarkStart w:id="1430" w:name="Tc_ueDZ_j-IH0e9RbbGW646UQ_8_3"/>
      <w:bookmarkStart w:id="1431" w:name="Tc_TkJlykSxdUeVLgbfz-1mQg_8_0"/>
      <w:bookmarkStart w:id="1432" w:name="Tc_u1hXyPCK9EWONOU6du-I4A_7_5"/>
      <w:bookmarkStart w:id="1433" w:name="Tc_WbLa4z3gCkKEyHijB6Ml5Q_7_4"/>
      <w:bookmarkStart w:id="1434" w:name="Tc_qAVzWhnmjUW0zHNDItAZ7A_7_3"/>
      <w:bookmarkStart w:id="1435" w:name="Tc_aRvvnPXQBkybmdfWYzLSzA_7_0"/>
      <w:bookmarkStart w:id="1436" w:name="Tc_8QyGPO_5SUqmNeWD0qExOg_6_5"/>
      <w:bookmarkStart w:id="1437" w:name="Tc_ZleDZPSy70ShcMMFo10r-Q_6_2"/>
      <w:bookmarkStart w:id="1438" w:name="Tc_0sT0g7ftgUuHoCUb74Ls-w_6_0"/>
      <w:bookmarkStart w:id="1439" w:name="Tc_fQQlp1jKj0moxCefCzRRCQ_5_5"/>
      <w:bookmarkStart w:id="1440" w:name="Tc_72H9uDNgDk27dcnpaQRueA_5_2"/>
      <w:bookmarkStart w:id="1441" w:name="Tc_Q81Je5knR0amRxT9XnPgiw_5_0"/>
      <w:bookmarkStart w:id="1442" w:name="Tc_S3rk0t9zlEWC5BdLy5ae5g_4_5"/>
      <w:bookmarkStart w:id="1443" w:name="Tc_QQNb_oXQ1EqE77Us0wD6JQ_4_3"/>
      <w:bookmarkStart w:id="1444" w:name="Tc_bn7fW2xTAUW1V3bKNklMkQ_4_0"/>
      <w:bookmarkStart w:id="1445" w:name="Tc_ionvXGno00WLVZIqJ4w3rg_3_5"/>
      <w:bookmarkStart w:id="1446" w:name="Tc_gC7PPpqLsEG4L3DMHtzzog_3_3"/>
      <w:bookmarkStart w:id="1447" w:name="Tc_6nAKDUIPcUWbVJ6ziN6gOQ_3_0"/>
      <w:bookmarkStart w:id="1448" w:name="Tc_rvHiXn2GWkWCEjDJJd8I3w_2_4"/>
      <w:bookmarkStart w:id="1449" w:name="Tc_essAMfQunUGMamlqsAyY8g_2_2"/>
      <w:bookmarkStart w:id="1450" w:name="Tc_gaUpkp-WwkKX9CN3ny2bSw_1_2"/>
      <w:bookmarkStart w:id="1451" w:name="_2b69ca8b_a0bd_4af6_a871_383c17ac7b0a"/>
      <w:bookmarkStart w:id="1452" w:name="Tc_GWsLS__MzEKCVLw_tsHM7Q_7_5"/>
      <w:bookmarkStart w:id="1453" w:name="Tc_wgjdP6TkUEqTMRkcCXDxEw_7_4"/>
      <w:bookmarkStart w:id="1454" w:name="Tc_Z7qYyYo25k6SV4uKUsOOeQ_7_3"/>
      <w:bookmarkStart w:id="1455" w:name="Tc_WOgKEm-N8EOXnTZPW4JwtA_7_0"/>
      <w:bookmarkStart w:id="1456" w:name="Tc_kSjVBa2goUmATOtc59eilQ_6_5"/>
      <w:bookmarkStart w:id="1457" w:name="Tc_di0FKiX3_0WrHgnxnQcQaA_6_3"/>
      <w:bookmarkStart w:id="1458" w:name="Tc_0jnBUTcS9020SJHuMSnJSQ_6_0"/>
      <w:bookmarkStart w:id="1459" w:name="Tc_fyEhz_jEA0OaDqJEAV2_Cw_5_5"/>
      <w:bookmarkStart w:id="1460" w:name="Tc_D_78eJPMIE-7CQPfZW2mBQ_5_2"/>
      <w:bookmarkStart w:id="1461" w:name="Tc_Vtp2A7bYTkiiYGJmRdjIPg_5_0"/>
      <w:bookmarkStart w:id="1462" w:name="Tc_MYyqnXCyi06sTBNvNl9opA_4_5"/>
      <w:bookmarkStart w:id="1463" w:name="Tc_XomVwk285UeIvRtjlfdaiw_4_3"/>
      <w:bookmarkStart w:id="1464" w:name="Tc_sy1xdGnSF0WjmTI-xYm0Iw_4_0"/>
      <w:bookmarkStart w:id="1465" w:name="Tc_KBvE0d4LXk-2Os10SRD4ww_3_5"/>
      <w:bookmarkStart w:id="1466" w:name="Tc_GwYkLzn6p0aayXKUCSI9rQ_3_3"/>
      <w:bookmarkStart w:id="1467" w:name="Tc_3qxVoeHkREOB04jn-ZepOw_3_0"/>
      <w:bookmarkStart w:id="1468" w:name="Tc_HQgvyqCWDEmVog_h7xEQQg_2_4"/>
      <w:bookmarkStart w:id="1469" w:name="Tc_lg1S38AgRUa28yBbEdB2Rw_2_2"/>
      <w:bookmarkStart w:id="1470" w:name="Tc_HmUnDLjZxEypfuFAAWSBkA_1_2"/>
      <w:bookmarkStart w:id="1471" w:name="_62bb7abb_7892_484b_9c66_989eb0d0cba4"/>
      <w:bookmarkStart w:id="1472" w:name="Tc_XLl96A84M0CYaqPJ3F27QQ_8_5"/>
      <w:bookmarkStart w:id="1473" w:name="Tc_UjjbRIC3fUGfgqh422CyPQ_8_4"/>
      <w:bookmarkStart w:id="1474" w:name="Tc_ueDZ_j-IH0e9RbbGW646UQ_8_3"/>
      <w:bookmarkStart w:id="1475" w:name="Tc_TkJlykSxdUeVLgbfz-1mQg_8_0"/>
      <w:bookmarkStart w:id="1476" w:name="Tc_u1hXyPCK9EWONOU6du-I4A_7_5"/>
      <w:bookmarkStart w:id="1477" w:name="Tc_WbLa4z3gCkKEyHijB6Ml5Q_7_4"/>
      <w:bookmarkStart w:id="1478" w:name="Tc_qAVzWhnmjUW0zHNDItAZ7A_7_3"/>
      <w:bookmarkStart w:id="1479" w:name="Tc_aRvvnPXQBkybmdfWYzLSzA_7_0"/>
      <w:bookmarkStart w:id="1480" w:name="Tc_8QyGPO_5SUqmNeWD0qExOg_6_5"/>
      <w:bookmarkStart w:id="1481" w:name="Tc_ZleDZPSy70ShcMMFo10r-Q_6_2"/>
      <w:bookmarkStart w:id="1482" w:name="Tc_0sT0g7ftgUuHoCUb74Ls-w_6_0"/>
      <w:bookmarkStart w:id="1483" w:name="Tc_fQQlp1jKj0moxCefCzRRCQ_5_5"/>
      <w:bookmarkStart w:id="1484" w:name="Tc_72H9uDNgDk27dcnpaQRueA_5_2"/>
      <w:bookmarkStart w:id="1485" w:name="Tc_Q81Je5knR0amRxT9XnPgiw_5_0"/>
      <w:bookmarkStart w:id="1486" w:name="Tc_S3rk0t9zlEWC5BdLy5ae5g_4_5"/>
      <w:bookmarkStart w:id="1487" w:name="Tc_QQNb_oXQ1EqE77Us0wD6JQ_4_3"/>
      <w:bookmarkStart w:id="1488" w:name="Tc_bn7fW2xTAUW1V3bKNklMkQ_4_0"/>
      <w:bookmarkStart w:id="1489" w:name="Tc_ionvXGno00WLVZIqJ4w3rg_3_5"/>
      <w:bookmarkStart w:id="1490" w:name="Tc_gC7PPpqLsEG4L3DMHtzzog_3_3"/>
      <w:bookmarkStart w:id="1491" w:name="Tc_6nAKDUIPcUWbVJ6ziN6gOQ_3_0"/>
      <w:bookmarkStart w:id="1492" w:name="Tc_rvHiXn2GWkWCEjDJJd8I3w_2_4"/>
      <w:bookmarkStart w:id="1493" w:name="Tc_essAMfQunUGMamlqsAyY8g_2_2"/>
      <w:bookmarkStart w:id="1494" w:name="Tc_gaUpkp-WwkKX9CN3ny2bSw_1_2"/>
      <w:bookmarkStart w:id="1495" w:name="_2b69ca8b_a0bd_4af6_a871_383c17ac7b0a"/>
      <w:bookmarkStart w:id="1496" w:name="Tc_GWsLS__MzEKCVLw_tsHM7Q_7_5"/>
      <w:bookmarkStart w:id="1497" w:name="Tc_wgjdP6TkUEqTMRkcCXDxEw_7_4"/>
      <w:bookmarkStart w:id="1498" w:name="Tc_Z7qYyYo25k6SV4uKUsOOeQ_7_3"/>
      <w:bookmarkStart w:id="1499" w:name="Tc_WOgKEm-N8EOXnTZPW4JwtA_7_0"/>
      <w:bookmarkStart w:id="1500" w:name="Tc_kSjVBa2goUmATOtc59eilQ_6_5"/>
      <w:bookmarkStart w:id="1501" w:name="Tc_di0FKiX3_0WrHgnxnQcQaA_6_3"/>
      <w:bookmarkStart w:id="1502" w:name="Tc_0jnBUTcS9020SJHuMSnJSQ_6_0"/>
      <w:bookmarkStart w:id="1503" w:name="Tc_fyEhz_jEA0OaDqJEAV2_Cw_5_5"/>
      <w:bookmarkStart w:id="1504" w:name="Tc_D_78eJPMIE-7CQPfZW2mBQ_5_2"/>
      <w:bookmarkStart w:id="1505" w:name="Tc_Vtp2A7bYTkiiYGJmRdjIPg_5_0"/>
      <w:bookmarkStart w:id="1506" w:name="Tc_MYyqnXCyi06sTBNvNl9opA_4_5"/>
      <w:bookmarkStart w:id="1507" w:name="Tc_XomVwk285UeIvRtjlfdaiw_4_3"/>
      <w:bookmarkStart w:id="1508" w:name="Tc_sy1xdGnSF0WjmTI-xYm0Iw_4_0"/>
      <w:bookmarkStart w:id="1509" w:name="Tc_KBvE0d4LXk-2Os10SRD4ww_3_5"/>
      <w:bookmarkStart w:id="1510" w:name="Tc_GwYkLzn6p0aayXKUCSI9rQ_3_3"/>
      <w:bookmarkStart w:id="1511" w:name="Tc_3qxVoeHkREOB04jn-ZepOw_3_0"/>
      <w:bookmarkStart w:id="1512" w:name="Tc_HQgvyqCWDEmVog_h7xEQQg_2_4"/>
      <w:bookmarkStart w:id="1513" w:name="Tc_lg1S38AgRUa28yBbEdB2Rw_2_2"/>
      <w:bookmarkStart w:id="1514" w:name="Tc_HmUnDLjZxEypfuFAAWSBkA_1_2"/>
      <w:bookmarkStart w:id="1515" w:name="_62bb7abb_7892_484b_9c66_989eb0d0cba4"/>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p>
    <w:tbl>
      <w:tblPr>
        <w:tblW w:w="7562" w:type="dxa"/>
        <w:jc w:val="left"/>
        <w:tblInd w:w="0" w:type="dxa"/>
        <w:tblLayout w:type="fixed"/>
        <w:tblCellMar>
          <w:top w:w="0" w:type="dxa"/>
          <w:left w:w="0" w:type="dxa"/>
          <w:bottom w:w="0" w:type="dxa"/>
          <w:right w:w="0" w:type="dxa"/>
        </w:tblCellMar>
      </w:tblPr>
      <w:tblGrid>
        <w:gridCol w:w="376"/>
        <w:gridCol w:w="718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718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CONCENTRATIONS, SIGNIFICANT CUSTOMERS AND GEOGRAPHIC AREAS: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commercial paper and corporate bonds, and trade accounts receivable. The Company’s cash and cash equivalents and short- 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left"/>
        <w:rPr/>
      </w:pPr>
      <w:r>
        <w:rPr/>
        <w:t>​</w:t>
      </w:r>
    </w:p>
    <w:tbl>
      <w:tblPr>
        <w:tblW w:w="3852" w:type="dxa"/>
        <w:jc w:val="left"/>
        <w:tblInd w:w="0" w:type="dxa"/>
        <w:tblLayout w:type="fixed"/>
        <w:tblCellMar>
          <w:top w:w="0" w:type="dxa"/>
          <w:left w:w="0" w:type="dxa"/>
          <w:bottom w:w="0" w:type="dxa"/>
          <w:right w:w="0" w:type="dxa"/>
        </w:tblCellMar>
      </w:tblPr>
      <w:tblGrid>
        <w:gridCol w:w="1081"/>
        <w:gridCol w:w="146"/>
        <w:gridCol w:w="832"/>
        <w:gridCol w:w="645"/>
        <w:gridCol w:w="832"/>
        <w:gridCol w:w="316"/>
      </w:tblGrid>
      <w:tr>
        <w:trPr/>
        <w:tc>
          <w:tcPr>
            <w:tcW w:w="10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28320" cy="175260"/>
                      <wp:effectExtent l="0" t="0" r="0" b="0"/>
                      <wp:wrapNone/>
                      <wp:docPr id="312" name="Frame312"/>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9575" cy="175260"/>
                      <wp:effectExtent l="0" t="0" r="0" b="0"/>
                      <wp:wrapNone/>
                      <wp:docPr id="313" name="Frame313"/>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28320" cy="175260"/>
                      <wp:effectExtent l="0" t="0" r="0" b="0"/>
                      <wp:wrapNone/>
                      <wp:docPr id="314" name="Frame314"/>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0660" cy="175260"/>
                      <wp:effectExtent l="0" t="0" r="0" b="0"/>
                      <wp:wrapNone/>
                      <wp:docPr id="315" name="Frame3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0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645" w:type="dxa"/>
            <w:tcBorders/>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1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146"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146" w:type="dxa"/>
            <w:tcBorders/>
            <w:shd w:fill="CCEEFF" w:val="clear"/>
            <w:vAlign w:val="center"/>
          </w:tcPr>
          <w:p>
            <w:pPr>
              <w:pStyle w:val="TableContents"/>
              <w:bidi w:val="0"/>
              <w:spacing w:before="0" w:after="0"/>
              <w:ind w:left="0" w:right="0" w:hanging="0"/>
              <w:jc w:val="left"/>
              <w:rPr/>
            </w:pPr>
            <w:r>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146"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146"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3857" w:type="dxa"/>
        <w:jc w:val="left"/>
        <w:tblInd w:w="0" w:type="dxa"/>
        <w:tblLayout w:type="fixed"/>
        <w:tblCellMar>
          <w:top w:w="0" w:type="dxa"/>
          <w:left w:w="0" w:type="dxa"/>
          <w:bottom w:w="0" w:type="dxa"/>
          <w:right w:w="0" w:type="dxa"/>
        </w:tblCellMar>
      </w:tblPr>
      <w:tblGrid>
        <w:gridCol w:w="1081"/>
        <w:gridCol w:w="326"/>
        <w:gridCol w:w="730"/>
        <w:gridCol w:w="565"/>
        <w:gridCol w:w="730"/>
        <w:gridCol w:w="271"/>
        <w:gridCol w:w="154"/>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63550" cy="175260"/>
                      <wp:effectExtent l="0" t="0" r="0" b="0"/>
                      <wp:wrapNone/>
                      <wp:docPr id="317" name="Frame317"/>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58775" cy="175260"/>
                      <wp:effectExtent l="0" t="0" r="0" b="0"/>
                      <wp:wrapNone/>
                      <wp:docPr id="318" name="Frame318"/>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63550" cy="175260"/>
                      <wp:effectExtent l="0" t="0" r="0" b="0"/>
                      <wp:wrapNone/>
                      <wp:docPr id="319" name="Frame319"/>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72085" cy="175260"/>
                      <wp:effectExtent l="0" t="0" r="0" b="0"/>
                      <wp:wrapNone/>
                      <wp:docPr id="320" name="Frame32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97790" cy="175260"/>
                      <wp:effectExtent l="0" t="0" r="0" b="0"/>
                      <wp:wrapNone/>
                      <wp:docPr id="321" name="Frame32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27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65" w:type="dxa"/>
            <w:tcBorders/>
            <w:vAlign w:val="center"/>
          </w:tcPr>
          <w:p>
            <w:pPr>
              <w:pStyle w:val="TableContents"/>
              <w:bidi w:val="0"/>
              <w:spacing w:before="0" w:after="0"/>
              <w:ind w:left="0" w:right="0" w:hanging="0"/>
              <w:jc w:val="center"/>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65"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three and six months ended June 30, 2023, sales to government entities comprised 75.4% and 78.1% of the Company’s total revenue, respectively. In the three and six months ended June 30, 2022, sales to government entities comprised 67.8% and 72.0% of the Company’s total revenue,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516" w:name="Tc_7KewjG3SdU6VyYxStiMEIg_5_5"/>
      <w:bookmarkStart w:id="1517" w:name="Tc_3ZWDlvklKECD3Zi4Uo85MQ_5_2"/>
      <w:bookmarkStart w:id="1518" w:name="Tc_M_VsntcoS0O-zqCb4cHZGQ_5_0"/>
      <w:bookmarkStart w:id="1519" w:name="Tc_LUlyPjfP60GJtzpeedlQHA_4_0"/>
      <w:bookmarkStart w:id="1520" w:name="Tc_BaskY5xewkeeLfeZKqytAw_3_5"/>
      <w:bookmarkStart w:id="1521" w:name="Tc_oeH1oYcRP0eWY8V3wL2F1w_3_2"/>
      <w:bookmarkStart w:id="1522" w:name="Tc_GqpV2X_GPEC2ENteBANbpw_3_0"/>
      <w:bookmarkStart w:id="1523" w:name="Tc_g0S__Csynk6Fz93dMm5zVw_2_5"/>
      <w:bookmarkStart w:id="1524" w:name="Tc_7RGvBLjU30aKz4aEg3sYqw_2_2"/>
      <w:bookmarkStart w:id="1525" w:name="Tc_TogZHcJ3KU6aQ0OUsM-DBA_2_0"/>
      <w:bookmarkStart w:id="1526" w:name="Tc_Asur2XE-pUG4htmDJRqQ8w_1_2"/>
      <w:bookmarkStart w:id="1527" w:name="Tc_HkS43Yxe6UqNlckeQSBgoA_5_5"/>
      <w:bookmarkStart w:id="1528" w:name="Tc_04EOodp4y0KyUz3D3fLjcQ_5_2"/>
      <w:bookmarkStart w:id="1529" w:name="Tc_gfyWLjensUqdzhXpvlsNOQ_5_0"/>
      <w:bookmarkStart w:id="1530" w:name="Tc_8qc-F_Gt-0KG9kF2W4MOrQ_4_0"/>
      <w:bookmarkStart w:id="1531" w:name="Tc_V7Tnwa--fEKSECD8lzd0Ww_3_5"/>
      <w:bookmarkStart w:id="1532" w:name="Tc_ZgbLWx7sZ0Ss0BJUWzpceg_3_2"/>
      <w:bookmarkStart w:id="1533" w:name="Tc_jjEvFmBPiUact-J9jqTk7Q_3_0"/>
      <w:bookmarkStart w:id="1534" w:name="Tc_drtn5tHAMUueSBaui310qA_2_5"/>
      <w:bookmarkStart w:id="1535" w:name="Tc_5DbO6CfBG06li7O87CCWhg_2_2"/>
      <w:bookmarkStart w:id="1536" w:name="Tc_lyCsQqkEWka7OXMWKeVb9g_1_2"/>
      <w:bookmarkStart w:id="1537" w:name="_225adc5b_930a_4e5b_a749_7a3db3eab812"/>
      <w:bookmarkStart w:id="1538" w:name="Tc_UD4Kv-trIkOjTW7DE1zhNw_5_4"/>
      <w:bookmarkStart w:id="1539" w:name="Tc_mHOPDMRT4kiG3y6yvRPnOA_5_3"/>
      <w:bookmarkStart w:id="1540" w:name="Tc_UiDWX3I1o025jgq6wCbXSg_5_0"/>
      <w:bookmarkStart w:id="1541" w:name="Tc_TW9VqcnFOkK5NjIsAx_OaQ_4_5"/>
      <w:bookmarkStart w:id="1542" w:name="Tc_YMn9Pz9FUUO0kVRM0l-FeA_4_2"/>
      <w:bookmarkStart w:id="1543" w:name="Tc_4aRas5hLPkuwpLafyXa3IQ_4_0"/>
      <w:bookmarkStart w:id="1544" w:name="Tc_jJ3hkLk40kmzwo4ShpNpew_3_5"/>
      <w:bookmarkStart w:id="1545" w:name="Tc_6qCvliLIE02V9WarKgXllA_3_2"/>
      <w:bookmarkStart w:id="1546" w:name="Tc_PAR1_ECeh0u5y-qPtQK1Og_3_0"/>
      <w:bookmarkStart w:id="1547" w:name="Tc_ZlH1MEW3P0OZ2juPjRy3vw_2_5"/>
      <w:bookmarkStart w:id="1548" w:name="Tc_UhzMETs6TUuBr0pHDp1GWw_2_3"/>
      <w:bookmarkStart w:id="1549" w:name="Tc_dyuEwjASfEKnYiXA-6bSDA_2_0"/>
      <w:bookmarkStart w:id="1550" w:name="Tc_XXoRCfzylEeuyiowER5tlQ_1_4"/>
      <w:bookmarkStart w:id="1551" w:name="Tc_NYepxTvYjUKNeUmeUfX--g_1_2"/>
      <w:bookmarkStart w:id="1552" w:name="_94758b03_5b66_4859_8ca2_dca704d85ab6"/>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857" w:type="dxa"/>
        <w:jc w:val="left"/>
        <w:tblInd w:w="0" w:type="dxa"/>
        <w:tblLayout w:type="fixed"/>
        <w:tblCellMar>
          <w:top w:w="0" w:type="dxa"/>
          <w:left w:w="0" w:type="dxa"/>
          <w:bottom w:w="0" w:type="dxa"/>
          <w:right w:w="0" w:type="dxa"/>
        </w:tblCellMar>
      </w:tblPr>
      <w:tblGrid>
        <w:gridCol w:w="1081"/>
        <w:gridCol w:w="326"/>
        <w:gridCol w:w="1126"/>
        <w:gridCol w:w="361"/>
        <w:gridCol w:w="1501"/>
        <w:gridCol w:w="271"/>
        <w:gridCol w:w="191"/>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15010" cy="175260"/>
                      <wp:effectExtent l="0" t="0" r="0" b="0"/>
                      <wp:wrapNone/>
                      <wp:docPr id="323" name="Frame323"/>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9235" cy="175260"/>
                      <wp:effectExtent l="0" t="0" r="0" b="0"/>
                      <wp:wrapNone/>
                      <wp:docPr id="324" name="Frame3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53135" cy="175260"/>
                      <wp:effectExtent l="0" t="0" r="0" b="0"/>
                      <wp:wrapNone/>
                      <wp:docPr id="325" name="Frame32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72085" cy="175260"/>
                      <wp:effectExtent l="0" t="0" r="0" b="0"/>
                      <wp:wrapNone/>
                      <wp:docPr id="326" name="Frame32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1285" cy="175260"/>
                      <wp:effectExtent l="0" t="0" r="0" b="0"/>
                      <wp:wrapNone/>
                      <wp:docPr id="327" name="Frame3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61" w:type="dxa"/>
            <w:tcBorders/>
            <w:vAlign w:val="center"/>
          </w:tcPr>
          <w:p>
            <w:pPr>
              <w:pStyle w:val="TableContents"/>
              <w:bidi w:val="0"/>
              <w:spacing w:before="0" w:after="1"/>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271" w:type="dxa"/>
            <w:tcBorders/>
            <w:vAlign w:val="center"/>
          </w:tcPr>
          <w:p>
            <w:pPr>
              <w:pStyle w:val="TableContents"/>
              <w:bidi w:val="0"/>
              <w:spacing w:before="0" w:after="1"/>
              <w:ind w:left="0" w:right="0" w:hanging="0"/>
              <w:jc w:val="lef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1"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 </w:t>
            </w:r>
          </w:p>
        </w:tc>
      </w:tr>
    </w:tbl>
    <w:tbl>
      <w:tblPr>
        <w:tblW w:w="8192" w:type="dxa"/>
        <w:jc w:val="left"/>
        <w:tblInd w:w="0" w:type="dxa"/>
        <w:tblLayout w:type="fixed"/>
        <w:tblCellMar>
          <w:top w:w="0" w:type="dxa"/>
          <w:left w:w="0" w:type="dxa"/>
          <w:bottom w:w="0" w:type="dxa"/>
          <w:right w:w="0" w:type="dxa"/>
        </w:tblCellMar>
      </w:tblPr>
      <w:tblGrid>
        <w:gridCol w:w="226"/>
        <w:gridCol w:w="79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79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Customer accounted for less than 10% of revenue or accounts receivable in the respective period</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a summary of revenue by geography for the three and six months ended June 30, 2023 and June 30, 2022</w:t>
      </w:r>
    </w:p>
    <w:p>
      <w:pPr>
        <w:pStyle w:val="TextBody"/>
        <w:bidi w:val="0"/>
        <w:spacing w:before="0" w:after="240"/>
        <w:ind w:left="0" w:right="0" w:hanging="0"/>
        <w:jc w:val="left"/>
        <w:rPr/>
      </w:pPr>
      <w:r>
        <w:rPr/>
        <w:t>​</w:t>
      </w:r>
    </w:p>
    <w:tbl>
      <w:tblPr>
        <w:tblW w:w="3709" w:type="dxa"/>
        <w:jc w:val="left"/>
        <w:tblInd w:w="0" w:type="dxa"/>
        <w:tblLayout w:type="fixed"/>
        <w:tblCellMar>
          <w:top w:w="0" w:type="dxa"/>
          <w:left w:w="0" w:type="dxa"/>
          <w:bottom w:w="0" w:type="dxa"/>
          <w:right w:w="0" w:type="dxa"/>
        </w:tblCellMar>
      </w:tblPr>
      <w:tblGrid>
        <w:gridCol w:w="1246"/>
        <w:gridCol w:w="109"/>
        <w:gridCol w:w="249"/>
        <w:gridCol w:w="674"/>
        <w:gridCol w:w="384"/>
        <w:gridCol w:w="249"/>
        <w:gridCol w:w="798"/>
      </w:tblGrid>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8115" cy="175260"/>
                      <wp:effectExtent l="0" t="0" r="0" b="0"/>
                      <wp:wrapNone/>
                      <wp:docPr id="329" name="Frame32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27990" cy="175260"/>
                      <wp:effectExtent l="0" t="0" r="0" b="0"/>
                      <wp:wrapNone/>
                      <wp:docPr id="330" name="Frame330"/>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43840" cy="175260"/>
                      <wp:effectExtent l="0" t="0" r="0" b="0"/>
                      <wp:wrapNone/>
                      <wp:docPr id="331" name="Frame331"/>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58115" cy="175260"/>
                      <wp:effectExtent l="0" t="0" r="0" b="0"/>
                      <wp:wrapNone/>
                      <wp:docPr id="332" name="Frame33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06730" cy="175260"/>
                      <wp:effectExtent l="0" t="0" r="0" b="0"/>
                      <wp:wrapNone/>
                      <wp:docPr id="333" name="Frame333"/>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4" w:type="dxa"/>
            <w:tcBorders/>
            <w:vAlign w:val="center"/>
          </w:tcPr>
          <w:p>
            <w:pPr>
              <w:pStyle w:val="TableContents"/>
              <w:bidi w:val="0"/>
              <w:spacing w:before="0" w:after="0"/>
              <w:ind w:left="0" w:right="0" w:hanging="0"/>
              <w:jc w:val="center"/>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w:t>
            </w:r>
          </w:p>
        </w:tc>
        <w:tc>
          <w:tcPr>
            <w:tcW w:w="384"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84" w:type="dxa"/>
            <w:tcBorders/>
            <w:vAlign w:val="center"/>
          </w:tcPr>
          <w:p>
            <w:pPr>
              <w:pStyle w:val="TableContents"/>
              <w:bidi w:val="0"/>
              <w:spacing w:before="0" w:after="0"/>
              <w:ind w:left="0" w:right="0" w:hanging="0"/>
              <w:jc w:val="left"/>
              <w:rPr/>
            </w:pPr>
            <w:r>
              <w:rPr/>
              <w:t> </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384" w:type="dxa"/>
            <w:tcBorders/>
            <w:shd w:fill="CCEEFF" w:val="clear"/>
            <w:vAlign w:val="center"/>
          </w:tcPr>
          <w:p>
            <w:pPr>
              <w:pStyle w:val="TableContents"/>
              <w:bidi w:val="0"/>
              <w:spacing w:before="0" w:after="0"/>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2,134</w:t>
            </w:r>
          </w:p>
        </w:tc>
      </w:tr>
    </w:tbl>
    <w:p>
      <w:pPr>
        <w:pStyle w:val="TextBody"/>
        <w:bidi w:val="0"/>
        <w:spacing w:before="0" w:after="0"/>
        <w:ind w:left="0" w:right="0" w:hanging="0"/>
        <w:jc w:val="left"/>
        <w:rPr/>
      </w:pPr>
      <w:r>
        <w:rPr/>
        <w:t>​</w:t>
      </w:r>
    </w:p>
    <w:tbl>
      <w:tblPr>
        <w:tblW w:w="3731" w:type="dxa"/>
        <w:jc w:val="left"/>
        <w:tblInd w:w="0" w:type="dxa"/>
        <w:tblLayout w:type="fixed"/>
        <w:tblCellMar>
          <w:top w:w="0" w:type="dxa"/>
          <w:left w:w="0" w:type="dxa"/>
          <w:bottom w:w="0" w:type="dxa"/>
          <w:right w:w="0" w:type="dxa"/>
        </w:tblCellMar>
      </w:tblPr>
      <w:tblGrid>
        <w:gridCol w:w="1246"/>
        <w:gridCol w:w="326"/>
        <w:gridCol w:w="228"/>
        <w:gridCol w:w="618"/>
        <w:gridCol w:w="353"/>
        <w:gridCol w:w="228"/>
        <w:gridCol w:w="732"/>
      </w:tblGrid>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4780" cy="175260"/>
                      <wp:effectExtent l="0" t="0" r="0" b="0"/>
                      <wp:wrapNone/>
                      <wp:docPr id="335" name="Frame33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92430" cy="175260"/>
                      <wp:effectExtent l="0" t="0" r="0" b="0"/>
                      <wp:wrapNone/>
                      <wp:docPr id="336" name="Frame336"/>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24155" cy="175260"/>
                      <wp:effectExtent l="0" t="0" r="0" b="0"/>
                      <wp:wrapNone/>
                      <wp:docPr id="337" name="Frame33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4780" cy="175260"/>
                      <wp:effectExtent l="0" t="0" r="0" b="0"/>
                      <wp:wrapNone/>
                      <wp:docPr id="338" name="Frame33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64820" cy="175260"/>
                      <wp:effectExtent l="0" t="0" r="0" b="0"/>
                      <wp:wrapNone/>
                      <wp:docPr id="339" name="Frame339"/>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8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3" w:type="dxa"/>
            <w:tcBorders/>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w:t>
            </w:r>
          </w:p>
        </w:tc>
        <w:tc>
          <w:tcPr>
            <w:tcW w:w="353"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3,550</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53"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5,527</w:t>
            </w:r>
          </w:p>
        </w:tc>
        <w:tc>
          <w:tcPr>
            <w:tcW w:w="353" w:type="dxa"/>
            <w:tcBorders/>
            <w:shd w:fill="CCEEFF" w:val="clear"/>
            <w:vAlign w:val="center"/>
          </w:tcPr>
          <w:p>
            <w:pPr>
              <w:pStyle w:val="TableContents"/>
              <w:bidi w:val="0"/>
              <w:spacing w:before="0" w:after="0"/>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4,238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53" w:name="Tc_qlNsVvF4vEmGV8BmGoCM1g_7_7"/>
      <w:bookmarkStart w:id="1554" w:name="Tc_Pnzdf_xlRU68MZ1tXGJ6IA_7_2"/>
      <w:bookmarkStart w:id="1555" w:name="Tc_mtB3aMPhmUOOiBXJUsCiSg_7_0"/>
      <w:bookmarkStart w:id="1556" w:name="Tc_zULob8lUvkGbfM31H9it3Q_6_8"/>
      <w:bookmarkStart w:id="1557" w:name="Tc_DMYn57E-Uk2J2xLk_XlrBw_6_5"/>
      <w:bookmarkStart w:id="1558" w:name="Tc_YPELgwNwHkaoLdmqCEAQzA_6_3"/>
      <w:bookmarkStart w:id="1559" w:name="Tc_N7ySzA3_7U2hgJRdrjL3-g_6_0"/>
      <w:bookmarkStart w:id="1560" w:name="Tc_jvaZFk_z_EGJfI9y9gyEWQ_5_7"/>
      <w:bookmarkStart w:id="1561" w:name="Tc_VPHhIXVM5EO08mvAtuxXNQ_5_2"/>
      <w:bookmarkStart w:id="1562" w:name="Tc_2Av282Hts0ONqKmD4E2F1g_5_0"/>
      <w:bookmarkStart w:id="1563" w:name="Tc_X2hCjIXtl0OCEogrErN3IA_4_0"/>
      <w:bookmarkStart w:id="1564" w:name="Tc_B8oR9DFLZkOD93diLrfO8A_3_7"/>
      <w:bookmarkStart w:id="1565" w:name="Tc_S85Mwu3LGUSekygreTggTg_3_5"/>
      <w:bookmarkStart w:id="1566" w:name="Tc_f0RIdBWrrECF54Y1Z6QQFg_3_2"/>
      <w:bookmarkStart w:id="1567" w:name="Tc_tULcxh0tb0uOWLepJI2A4w_3_0"/>
      <w:bookmarkStart w:id="1568" w:name="Tc_TMZzku0PIEienTxzn_RUZw_2_5"/>
      <w:bookmarkStart w:id="1569" w:name="Tc_E0Bk5Wl5b0yVrobG8B7Nmg_1_5"/>
      <w:bookmarkStart w:id="1570" w:name="_4d13cebf_4c14_422b_aacc_cdcb143d900c"/>
      <w:bookmarkStart w:id="1571" w:name="Tc_Uw1kevqJZECTkuYWOUeoIQ_7_7"/>
      <w:bookmarkStart w:id="1572" w:name="Tc_4oEY8Bn7V0CWfixX3Ykj4A_7_2"/>
      <w:bookmarkStart w:id="1573" w:name="Tc_PRKwvqXohUGXsYXtkgXB7Q_7_0"/>
      <w:bookmarkStart w:id="1574" w:name="Tc_gLrczMvggEKh3bSsU5dkaA_6_8"/>
      <w:bookmarkStart w:id="1575" w:name="Tc_yLGPO6wJr0ad4hnvBJYuZw_6_5"/>
      <w:bookmarkStart w:id="1576" w:name="Tc_fGTxKUs8JkK21OTBAGfHLA_6_3"/>
      <w:bookmarkStart w:id="1577" w:name="Tc_0zfV02MszEaKJ3wQy4ustw_6_0"/>
      <w:bookmarkStart w:id="1578" w:name="Tc_67vLBjzZxEKmnx5SiTsrdg_5_7"/>
      <w:bookmarkStart w:id="1579" w:name="Tc_MoPVA6cTnEGnMkgzPXbuyA_5_2"/>
      <w:bookmarkStart w:id="1580" w:name="Tc__HF6-0_sdUGYKT4rl4m-Tw_5_0"/>
      <w:bookmarkStart w:id="1581" w:name="Tc_H4UC-Zzs70yNA8iEshGIwg_4_0"/>
      <w:bookmarkStart w:id="1582" w:name="Tc_0YOm6QBh6EK1Wd_xR4w8tA_3_7"/>
      <w:bookmarkStart w:id="1583" w:name="Tc_pmE9WpFu_kOxyS9Qq7GLsQ_3_5"/>
      <w:bookmarkStart w:id="1584" w:name="Tc_JBPCutebgki48ZULV7qxJQ_3_2"/>
      <w:bookmarkStart w:id="1585" w:name="Tc_U_ihIViP40yJViniiKEpJg_3_0"/>
      <w:bookmarkStart w:id="1586" w:name="Tc_4bd98hfHhki9ZEoz0wuqaw_2_5"/>
      <w:bookmarkStart w:id="1587" w:name="Tc_tJxLei4DZUKvqgvbp6hE1Q_1_5"/>
      <w:bookmarkStart w:id="1588" w:name="_2ed3a84b_474e_456c_a068_601620617c32"/>
      <w:bookmarkStart w:id="1589" w:name="Tc_qlNsVvF4vEmGV8BmGoCM1g_7_7"/>
      <w:bookmarkStart w:id="1590" w:name="Tc_Pnzdf_xlRU68MZ1tXGJ6IA_7_2"/>
      <w:bookmarkStart w:id="1591" w:name="Tc_mtB3aMPhmUOOiBXJUsCiSg_7_0"/>
      <w:bookmarkStart w:id="1592" w:name="Tc_zULob8lUvkGbfM31H9it3Q_6_8"/>
      <w:bookmarkStart w:id="1593" w:name="Tc_DMYn57E-Uk2J2xLk_XlrBw_6_5"/>
      <w:bookmarkStart w:id="1594" w:name="Tc_YPELgwNwHkaoLdmqCEAQzA_6_3"/>
      <w:bookmarkStart w:id="1595" w:name="Tc_N7ySzA3_7U2hgJRdrjL3-g_6_0"/>
      <w:bookmarkStart w:id="1596" w:name="Tc_jvaZFk_z_EGJfI9y9gyEWQ_5_7"/>
      <w:bookmarkStart w:id="1597" w:name="Tc_VPHhIXVM5EO08mvAtuxXNQ_5_2"/>
      <w:bookmarkStart w:id="1598" w:name="Tc_2Av282Hts0ONqKmD4E2F1g_5_0"/>
      <w:bookmarkStart w:id="1599" w:name="Tc_X2hCjIXtl0OCEogrErN3IA_4_0"/>
      <w:bookmarkStart w:id="1600" w:name="Tc_B8oR9DFLZkOD93diLrfO8A_3_7"/>
      <w:bookmarkStart w:id="1601" w:name="Tc_S85Mwu3LGUSekygreTggTg_3_5"/>
      <w:bookmarkStart w:id="1602" w:name="Tc_f0RIdBWrrECF54Y1Z6QQFg_3_2"/>
      <w:bookmarkStart w:id="1603" w:name="Tc_tULcxh0tb0uOWLepJI2A4w_3_0"/>
      <w:bookmarkStart w:id="1604" w:name="Tc_TMZzku0PIEienTxzn_RUZw_2_5"/>
      <w:bookmarkStart w:id="1605" w:name="Tc_E0Bk5Wl5b0yVrobG8B7Nmg_1_5"/>
      <w:bookmarkStart w:id="1606" w:name="_4d13cebf_4c14_422b_aacc_cdcb143d900c"/>
      <w:bookmarkStart w:id="1607" w:name="Tc_Uw1kevqJZECTkuYWOUeoIQ_7_7"/>
      <w:bookmarkStart w:id="1608" w:name="Tc_4oEY8Bn7V0CWfixX3Ykj4A_7_2"/>
      <w:bookmarkStart w:id="1609" w:name="Tc_PRKwvqXohUGXsYXtkgXB7Q_7_0"/>
      <w:bookmarkStart w:id="1610" w:name="Tc_gLrczMvggEKh3bSsU5dkaA_6_8"/>
      <w:bookmarkStart w:id="1611" w:name="Tc_yLGPO6wJr0ad4hnvBJYuZw_6_5"/>
      <w:bookmarkStart w:id="1612" w:name="Tc_fGTxKUs8JkK21OTBAGfHLA_6_3"/>
      <w:bookmarkStart w:id="1613" w:name="Tc_0zfV02MszEaKJ3wQy4ustw_6_0"/>
      <w:bookmarkStart w:id="1614" w:name="Tc_67vLBjzZxEKmnx5SiTsrdg_5_7"/>
      <w:bookmarkStart w:id="1615" w:name="Tc_MoPVA6cTnEGnMkgzPXbuyA_5_2"/>
      <w:bookmarkStart w:id="1616" w:name="Tc__HF6-0_sdUGYKT4rl4m-Tw_5_0"/>
      <w:bookmarkStart w:id="1617" w:name="Tc_H4UC-Zzs70yNA8iEshGIwg_4_0"/>
      <w:bookmarkStart w:id="1618" w:name="Tc_0YOm6QBh6EK1Wd_xR4w8tA_3_7"/>
      <w:bookmarkStart w:id="1619" w:name="Tc_pmE9WpFu_kOxyS9Qq7GLsQ_3_5"/>
      <w:bookmarkStart w:id="1620" w:name="Tc_JBPCutebgki48ZULV7qxJQ_3_2"/>
      <w:bookmarkStart w:id="1621" w:name="Tc_U_ihIViP40yJViniiKEpJg_3_0"/>
      <w:bookmarkStart w:id="1622" w:name="Tc_4bd98hfHhki9ZEoz0wuqaw_2_5"/>
      <w:bookmarkStart w:id="1623" w:name="Tc_tJxLei4DZUKvqgvbp6hE1Q_1_5"/>
      <w:bookmarkStart w:id="1624" w:name="_2ed3a84b_474e_456c_a068_601620617c32"/>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p>
    <w:tbl>
      <w:tblPr>
        <w:tblW w:w="2672" w:type="dxa"/>
        <w:jc w:val="left"/>
        <w:tblInd w:w="0" w:type="dxa"/>
        <w:tblLayout w:type="fixed"/>
        <w:tblCellMar>
          <w:top w:w="0" w:type="dxa"/>
          <w:left w:w="0" w:type="dxa"/>
          <w:bottom w:w="0" w:type="dxa"/>
          <w:right w:w="0" w:type="dxa"/>
        </w:tblCellMar>
      </w:tblPr>
      <w:tblGrid>
        <w:gridCol w:w="376"/>
        <w:gridCol w:w="229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2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set forth the computation of basic and diluted net per share of common stock for the three and six months ended June 30, 2023 and June 30, 2022:</w:t>
      </w:r>
    </w:p>
    <w:p>
      <w:pPr>
        <w:pStyle w:val="TextBody"/>
        <w:bidi w:val="0"/>
        <w:spacing w:before="0" w:after="240"/>
        <w:ind w:left="0" w:right="0" w:hanging="0"/>
        <w:jc w:val="left"/>
        <w:rPr/>
      </w:pPr>
      <w:r>
        <w:rPr/>
        <w:t>​</w:t>
      </w:r>
    </w:p>
    <w:tbl>
      <w:tblPr>
        <w:tblW w:w="8647" w:type="dxa"/>
        <w:jc w:val="left"/>
        <w:tblInd w:w="0" w:type="dxa"/>
        <w:tblLayout w:type="fixed"/>
        <w:tblCellMar>
          <w:top w:w="0" w:type="dxa"/>
          <w:left w:w="0" w:type="dxa"/>
          <w:bottom w:w="0" w:type="dxa"/>
          <w:right w:w="0" w:type="dxa"/>
        </w:tblCellMar>
      </w:tblPr>
      <w:tblGrid>
        <w:gridCol w:w="3706"/>
        <w:gridCol w:w="326"/>
        <w:gridCol w:w="211"/>
        <w:gridCol w:w="796"/>
        <w:gridCol w:w="326"/>
        <w:gridCol w:w="1456"/>
        <w:gridCol w:w="326"/>
        <w:gridCol w:w="376"/>
        <w:gridCol w:w="112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53310" cy="175260"/>
                      <wp:effectExtent l="0" t="0" r="0" b="0"/>
                      <wp:wrapNone/>
                      <wp:docPr id="340" name="Frame34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05460" cy="175260"/>
                      <wp:effectExtent l="0" t="0" r="0" b="0"/>
                      <wp:wrapNone/>
                      <wp:docPr id="343" name="Frame3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24560" cy="175260"/>
                      <wp:effectExtent l="0" t="0" r="0" b="0"/>
                      <wp:wrapNone/>
                      <wp:docPr id="345" name="Frame34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38760" cy="175260"/>
                      <wp:effectExtent l="0" t="0" r="0" b="0"/>
                      <wp:wrapNone/>
                      <wp:docPr id="347" name="Frame34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713740" cy="175260"/>
                      <wp:effectExtent l="0" t="0" r="0" b="0"/>
                      <wp:wrapNone/>
                      <wp:docPr id="348" name="Frame348"/>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w:t>
            </w:r>
          </w:p>
        </w:tc>
        <w:tc>
          <w:tcPr>
            <w:tcW w:w="32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128,515</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(16,966)</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128,515</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8647" w:type="dxa"/>
        <w:jc w:val="left"/>
        <w:tblInd w:w="0" w:type="dxa"/>
        <w:tblLayout w:type="fixed"/>
        <w:tblCellMar>
          <w:top w:w="0" w:type="dxa"/>
          <w:left w:w="0" w:type="dxa"/>
          <w:bottom w:w="0" w:type="dxa"/>
          <w:right w:w="0" w:type="dxa"/>
        </w:tblCellMar>
      </w:tblPr>
      <w:tblGrid>
        <w:gridCol w:w="3706"/>
        <w:gridCol w:w="326"/>
        <w:gridCol w:w="211"/>
        <w:gridCol w:w="796"/>
        <w:gridCol w:w="326"/>
        <w:gridCol w:w="1456"/>
        <w:gridCol w:w="326"/>
        <w:gridCol w:w="376"/>
        <w:gridCol w:w="112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353310" cy="175260"/>
                      <wp:effectExtent l="0" t="0" r="0" b="0"/>
                      <wp:wrapNone/>
                      <wp:docPr id="349" name="Frame349"/>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51"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05460" cy="175260"/>
                      <wp:effectExtent l="0" t="0" r="0" b="0"/>
                      <wp:wrapNone/>
                      <wp:docPr id="352" name="Frame3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24560" cy="175260"/>
                      <wp:effectExtent l="0" t="0" r="0" b="0"/>
                      <wp:wrapNone/>
                      <wp:docPr id="354" name="Frame35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8760" cy="175260"/>
                      <wp:effectExtent l="0" t="0" r="0" b="0"/>
                      <wp:wrapNone/>
                      <wp:docPr id="356" name="Frame35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713740" cy="175260"/>
                      <wp:effectExtent l="0" t="0" r="0" b="0"/>
                      <wp:wrapNone/>
                      <wp:docPr id="357" name="Frame357"/>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w:t>
            </w:r>
          </w:p>
        </w:tc>
        <w:tc>
          <w:tcPr>
            <w:tcW w:w="32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114,096</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(12,252)</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114,096</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25" w:name="Tc_cB7I4040S0eWJ6ZNSWRs5Q_5_0"/>
      <w:bookmarkStart w:id="1626" w:name="Tc_suBwG7wG406R26wfOUPogg_4_0"/>
      <w:bookmarkStart w:id="1627" w:name="Tc_GXHdzkV57UqjtDA_VrbueQ_3_0"/>
      <w:bookmarkStart w:id="1628" w:name="Tc_6mAiCl2MQU23VBAdrrv9zA_2_4"/>
      <w:bookmarkStart w:id="1629" w:name="Tc_jyTms1tea0So4tkifMWMfA_2_2"/>
      <w:bookmarkStart w:id="1630" w:name="Tc_5efudGStGEChzxISsbLNDQ_1_2"/>
      <w:bookmarkStart w:id="1631" w:name="_edf62792_24de_4102_b490_6dad2301f3fb"/>
      <w:bookmarkStart w:id="1632" w:name="Tc_1dbalZx_40GrvavbYPu1Ew_7_7"/>
      <w:bookmarkStart w:id="1633" w:name="Tc_OcVrxoIveEqqgx_PSwzsYg_7_2"/>
      <w:bookmarkStart w:id="1634" w:name="Tc_ki1pYZHZQUqYOWU6QC6-uA_7_0"/>
      <w:bookmarkStart w:id="1635" w:name="Tc_7kkOeUpwfEKE6yOnVAXEqA_6_8"/>
      <w:bookmarkStart w:id="1636" w:name="Tc_GdSiqDHxjkK38gPg8sT47w_6_5"/>
      <w:bookmarkStart w:id="1637" w:name="Tc_lQSxfGdhCEy4Cptm85Zvnw_6_3"/>
      <w:bookmarkStart w:id="1638" w:name="Tc_r2jYnLgKEUaRMDVSesraow_6_0"/>
      <w:bookmarkStart w:id="1639" w:name="Tc_QwCNLicKaEqy4xolglGruA_5_7"/>
      <w:bookmarkStart w:id="1640" w:name="Tc_oyV158cCvEa7kXwSovWbFA_5_2"/>
      <w:bookmarkStart w:id="1641" w:name="Tc_8Oqx9p9xYUeU75rr3Kl8nQ_5_0"/>
      <w:bookmarkStart w:id="1642" w:name="Tc_4ZqIsLxTKU-eoWnwFtdAQA_4_0"/>
      <w:bookmarkStart w:id="1643" w:name="Tc_wsCEzxz7nUOoA0GowdO2wA_3_7"/>
      <w:bookmarkStart w:id="1644" w:name="Tc__FoZ_VNL8U6tyHnkXTnh-Q_3_5"/>
      <w:bookmarkStart w:id="1645" w:name="Tc_thepGeiKQEOEr3kRDrTDpg_3_2"/>
      <w:bookmarkStart w:id="1646" w:name="Tc_AtqZ9yxxoU6liGmQUYu4gw_3_0"/>
      <w:bookmarkStart w:id="1647" w:name="Tc_1t_9nHYGYken-I5P-Grqxw_2_5"/>
      <w:bookmarkStart w:id="1648" w:name="Tc_cY8cKT-0O0GfcBpXlHDMdQ_1_5"/>
      <w:bookmarkStart w:id="1649" w:name="_63d68272_ac67_4e86_8584_c2ac2e47336d"/>
      <w:bookmarkStart w:id="1650" w:name="Tc_c8L0snW1q0GY306aIdSOQw_7_7"/>
      <w:bookmarkStart w:id="1651" w:name="Tc_r7vvVcEnqU-3c7IYI8f2HA_7_2"/>
      <w:bookmarkStart w:id="1652" w:name="Tc_f3JQpR_ue06DMphPJciwmA_7_0"/>
      <w:bookmarkStart w:id="1653" w:name="Tc_A4hOQXCfnEmnNxBo66veqA_6_8"/>
      <w:bookmarkStart w:id="1654" w:name="Tc_LWAnCcXuD0KvGR6Sjn4pIA_6_5"/>
      <w:bookmarkStart w:id="1655" w:name="Tc_hMSmOy9R00ygN3LYdWsTIg_6_3"/>
      <w:bookmarkStart w:id="1656" w:name="Tc_Q4anROdYbU6iFRajEHS3PQ_6_0"/>
      <w:bookmarkStart w:id="1657" w:name="Tc_OwDg-pErD0eezY79UNts3g_5_7"/>
      <w:bookmarkStart w:id="1658" w:name="Tc_phHPEkwm2UixaPCOVdlwfg_5_2"/>
      <w:bookmarkStart w:id="1659" w:name="Tc_odJISkMOYE6xxVZq3-kJIg_5_0"/>
      <w:bookmarkStart w:id="1660" w:name="Tc_AOdSyylM1EK94MdsUGkCFQ_4_0"/>
      <w:bookmarkStart w:id="1661" w:name="Tc_8rmmb-EFy02VNdVvzslekQ_3_7"/>
      <w:bookmarkStart w:id="1662" w:name="Tc_my0opM4nSUKoOlTTUC0IKQ_3_5"/>
      <w:bookmarkStart w:id="1663" w:name="Tc_kG_s6hxJXEOmU0X2rJUj9A_3_2"/>
      <w:bookmarkStart w:id="1664" w:name="Tc_NVZapgSuoU2MZ0w6C-8tvg_3_0"/>
      <w:bookmarkStart w:id="1665" w:name="Tc_5bNzuW4UnUq6zG9SYsmzbg_2_5"/>
      <w:bookmarkStart w:id="1666" w:name="Tc_BDJy9bcUXUmlPY1P1lWN5w_1_5"/>
      <w:bookmarkStart w:id="1667" w:name="_4b09ea3d_9e3e_4149_b081_b64dbbddd5d6"/>
      <w:bookmarkStart w:id="1668" w:name="Tc_cB7I4040S0eWJ6ZNSWRs5Q_5_0"/>
      <w:bookmarkStart w:id="1669" w:name="Tc_suBwG7wG406R26wfOUPogg_4_0"/>
      <w:bookmarkStart w:id="1670" w:name="Tc_GXHdzkV57UqjtDA_VrbueQ_3_0"/>
      <w:bookmarkStart w:id="1671" w:name="Tc_6mAiCl2MQU23VBAdrrv9zA_2_4"/>
      <w:bookmarkStart w:id="1672" w:name="Tc_jyTms1tea0So4tkifMWMfA_2_2"/>
      <w:bookmarkStart w:id="1673" w:name="Tc_5efudGStGEChzxISsbLNDQ_1_2"/>
      <w:bookmarkStart w:id="1674" w:name="_edf62792_24de_4102_b490_6dad2301f3fb"/>
      <w:bookmarkStart w:id="1675" w:name="Tc_1dbalZx_40GrvavbYPu1Ew_7_7"/>
      <w:bookmarkStart w:id="1676" w:name="Tc_OcVrxoIveEqqgx_PSwzsYg_7_2"/>
      <w:bookmarkStart w:id="1677" w:name="Tc_ki1pYZHZQUqYOWU6QC6-uA_7_0"/>
      <w:bookmarkStart w:id="1678" w:name="Tc_7kkOeUpwfEKE6yOnVAXEqA_6_8"/>
      <w:bookmarkStart w:id="1679" w:name="Tc_GdSiqDHxjkK38gPg8sT47w_6_5"/>
      <w:bookmarkStart w:id="1680" w:name="Tc_lQSxfGdhCEy4Cptm85Zvnw_6_3"/>
      <w:bookmarkStart w:id="1681" w:name="Tc_r2jYnLgKEUaRMDVSesraow_6_0"/>
      <w:bookmarkStart w:id="1682" w:name="Tc_QwCNLicKaEqy4xolglGruA_5_7"/>
      <w:bookmarkStart w:id="1683" w:name="Tc_oyV158cCvEa7kXwSovWbFA_5_2"/>
      <w:bookmarkStart w:id="1684" w:name="Tc_8Oqx9p9xYUeU75rr3Kl8nQ_5_0"/>
      <w:bookmarkStart w:id="1685" w:name="Tc_4ZqIsLxTKU-eoWnwFtdAQA_4_0"/>
      <w:bookmarkStart w:id="1686" w:name="Tc_wsCEzxz7nUOoA0GowdO2wA_3_7"/>
      <w:bookmarkStart w:id="1687" w:name="Tc__FoZ_VNL8U6tyHnkXTnh-Q_3_5"/>
      <w:bookmarkStart w:id="1688" w:name="Tc_thepGeiKQEOEr3kRDrTDpg_3_2"/>
      <w:bookmarkStart w:id="1689" w:name="Tc_AtqZ9yxxoU6liGmQUYu4gw_3_0"/>
      <w:bookmarkStart w:id="1690" w:name="Tc_1t_9nHYGYken-I5P-Grqxw_2_5"/>
      <w:bookmarkStart w:id="1691" w:name="Tc_cY8cKT-0O0GfcBpXlHDMdQ_1_5"/>
      <w:bookmarkStart w:id="1692" w:name="_63d68272_ac67_4e86_8584_c2ac2e47336d"/>
      <w:bookmarkStart w:id="1693" w:name="Tc_c8L0snW1q0GY306aIdSOQw_7_7"/>
      <w:bookmarkStart w:id="1694" w:name="Tc_r7vvVcEnqU-3c7IYI8f2HA_7_2"/>
      <w:bookmarkStart w:id="1695" w:name="Tc_f3JQpR_ue06DMphPJciwmA_7_0"/>
      <w:bookmarkStart w:id="1696" w:name="Tc_A4hOQXCfnEmnNxBo66veqA_6_8"/>
      <w:bookmarkStart w:id="1697" w:name="Tc_LWAnCcXuD0KvGR6Sjn4pIA_6_5"/>
      <w:bookmarkStart w:id="1698" w:name="Tc_hMSmOy9R00ygN3LYdWsTIg_6_3"/>
      <w:bookmarkStart w:id="1699" w:name="Tc_Q4anROdYbU6iFRajEHS3PQ_6_0"/>
      <w:bookmarkStart w:id="1700" w:name="Tc_OwDg-pErD0eezY79UNts3g_5_7"/>
      <w:bookmarkStart w:id="1701" w:name="Tc_phHPEkwm2UixaPCOVdlwfg_5_2"/>
      <w:bookmarkStart w:id="1702" w:name="Tc_odJISkMOYE6xxVZq3-kJIg_5_0"/>
      <w:bookmarkStart w:id="1703" w:name="Tc_AOdSyylM1EK94MdsUGkCFQ_4_0"/>
      <w:bookmarkStart w:id="1704" w:name="Tc_8rmmb-EFy02VNdVvzslekQ_3_7"/>
      <w:bookmarkStart w:id="1705" w:name="Tc_my0opM4nSUKoOlTTUC0IKQ_3_5"/>
      <w:bookmarkStart w:id="1706" w:name="Tc_kG_s6hxJXEOmU0X2rJUj9A_3_2"/>
      <w:bookmarkStart w:id="1707" w:name="Tc_NVZapgSuoU2MZ0w6C-8tvg_3_0"/>
      <w:bookmarkStart w:id="1708" w:name="Tc_5bNzuW4UnUq6zG9SYsmzbg_2_5"/>
      <w:bookmarkStart w:id="1709" w:name="Tc_BDJy9bcUXUmlPY1P1lWN5w_1_5"/>
      <w:bookmarkStart w:id="1710" w:name="_4b09ea3d_9e3e_4149_b081_b64dbbddd5d6"/>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p>
    <w:tbl>
      <w:tblPr>
        <w:tblW w:w="8647" w:type="dxa"/>
        <w:jc w:val="left"/>
        <w:tblInd w:w="0" w:type="dxa"/>
        <w:tblLayout w:type="fixed"/>
        <w:tblCellMar>
          <w:top w:w="0" w:type="dxa"/>
          <w:left w:w="0" w:type="dxa"/>
          <w:bottom w:w="0" w:type="dxa"/>
          <w:right w:w="0" w:type="dxa"/>
        </w:tblCellMar>
      </w:tblPr>
      <w:tblGrid>
        <w:gridCol w:w="3706"/>
        <w:gridCol w:w="326"/>
        <w:gridCol w:w="211"/>
        <w:gridCol w:w="796"/>
        <w:gridCol w:w="326"/>
        <w:gridCol w:w="1456"/>
        <w:gridCol w:w="326"/>
        <w:gridCol w:w="376"/>
        <w:gridCol w:w="112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353310" cy="175260"/>
                      <wp:effectExtent l="0" t="0" r="0" b="0"/>
                      <wp:wrapNone/>
                      <wp:docPr id="358" name="Frame358"/>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05460" cy="175260"/>
                      <wp:effectExtent l="0" t="0" r="0" b="0"/>
                      <wp:wrapNone/>
                      <wp:docPr id="361" name="Frame36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924560" cy="175260"/>
                      <wp:effectExtent l="0" t="0" r="0" b="0"/>
                      <wp:wrapNone/>
                      <wp:docPr id="363" name="Frame36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38760" cy="175260"/>
                      <wp:effectExtent l="0" t="0" r="0" b="0"/>
                      <wp:wrapNone/>
                      <wp:docPr id="365" name="Frame365"/>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713740" cy="175260"/>
                      <wp:effectExtent l="0" t="0" r="0" b="0"/>
                      <wp:wrapNone/>
                      <wp:docPr id="366" name="Frame366"/>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w:t>
            </w:r>
          </w:p>
        </w:tc>
        <w:tc>
          <w:tcPr>
            <w:tcW w:w="32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126,657</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(40,320)</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126,657</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w:t>
            </w:r>
          </w:p>
        </w:tc>
      </w:tr>
    </w:tbl>
    <w:p>
      <w:pPr>
        <w:pStyle w:val="TextBody"/>
        <w:bidi w:val="0"/>
        <w:spacing w:before="0" w:after="0"/>
        <w:ind w:left="0" w:right="0" w:hanging="0"/>
        <w:jc w:val="left"/>
        <w:rPr/>
      </w:pPr>
      <w:r>
        <w:rPr/>
        <w:t>​</w:t>
      </w:r>
    </w:p>
    <w:tbl>
      <w:tblPr>
        <w:tblW w:w="8647" w:type="dxa"/>
        <w:jc w:val="left"/>
        <w:tblInd w:w="0" w:type="dxa"/>
        <w:tblLayout w:type="fixed"/>
        <w:tblCellMar>
          <w:top w:w="0" w:type="dxa"/>
          <w:left w:w="0" w:type="dxa"/>
          <w:bottom w:w="0" w:type="dxa"/>
          <w:right w:w="0" w:type="dxa"/>
        </w:tblCellMar>
      </w:tblPr>
      <w:tblGrid>
        <w:gridCol w:w="3706"/>
        <w:gridCol w:w="326"/>
        <w:gridCol w:w="211"/>
        <w:gridCol w:w="796"/>
        <w:gridCol w:w="326"/>
        <w:gridCol w:w="1456"/>
        <w:gridCol w:w="326"/>
        <w:gridCol w:w="376"/>
        <w:gridCol w:w="1124"/>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353310" cy="175260"/>
                      <wp:effectExtent l="0" t="0" r="0" b="0"/>
                      <wp:wrapNone/>
                      <wp:docPr id="367" name="Frame367"/>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5460" cy="175260"/>
                      <wp:effectExtent l="0" t="0" r="0" b="0"/>
                      <wp:wrapNone/>
                      <wp:docPr id="370" name="Frame37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924560" cy="175260"/>
                      <wp:effectExtent l="0" t="0" r="0" b="0"/>
                      <wp:wrapNone/>
                      <wp:docPr id="372" name="Frame37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38760" cy="175260"/>
                      <wp:effectExtent l="0" t="0" r="0" b="0"/>
                      <wp:wrapNone/>
                      <wp:docPr id="374" name="Frame37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713740" cy="175260"/>
                      <wp:effectExtent l="0" t="0" r="0" b="0"/>
                      <wp:wrapNone/>
                      <wp:docPr id="375" name="Frame375"/>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amounts)</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Loss</w:t>
            </w:r>
          </w:p>
        </w:tc>
        <w:tc>
          <w:tcPr>
            <w:tcW w:w="32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 Amount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Six Months Ended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  </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(29,894)</w:t>
            </w:r>
          </w:p>
        </w:tc>
        <w:tc>
          <w:tcPr>
            <w:tcW w:w="32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(29,894)</w:t>
            </w:r>
          </w:p>
        </w:tc>
        <w:tc>
          <w:tcPr>
            <w:tcW w:w="326" w:type="dxa"/>
            <w:tcBorders/>
            <w:vAlign w:val="center"/>
          </w:tcPr>
          <w:p>
            <w:pPr>
              <w:pStyle w:val="TableContents"/>
              <w:bidi w:val="0"/>
              <w:spacing w:before="0" w:after="0"/>
              <w:ind w:left="0" w:right="0" w:hanging="0"/>
              <w:jc w:val="left"/>
              <w:rPr/>
            </w:pPr>
            <w:r>
              <w:rPr/>
              <w:t> </w:t>
            </w:r>
          </w:p>
        </w:tc>
        <w:tc>
          <w:tcPr>
            <w:tcW w:w="14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84,061</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3,059,273 Sponsor Vesting Shares that were not included in the computation of basic net loss per share since the contingencies for the issuance of these shares have not been met as June 30, 2023 or June 30, 2022. The weighted-average common shares outstanding for the three and six months ended June 30, 2023 include 1,313,989 and 1,356,820 weighted average shares for warrants having an exercise price of $0.01 per share each, respectively. The weighted-average common shares outstanding for the three and six months ended June 30, 2022 include 2,683,830 and 3,326,508 weighted average shares for warrants having an exercise price of $0.01 per share each,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excluded the following potential common shares from the computation of diluted net loss per share for the six months ended June 30, 2023 and June 30, 2022:</w:t>
      </w:r>
    </w:p>
    <w:p>
      <w:pPr>
        <w:pStyle w:val="TextBody"/>
        <w:bidi w:val="0"/>
        <w:spacing w:before="0" w:after="240"/>
        <w:ind w:left="0" w:right="0" w:hanging="0"/>
        <w:jc w:val="left"/>
        <w:rPr/>
      </w:pPr>
      <w:r>
        <w:rPr/>
        <w:t>​</w:t>
      </w:r>
    </w:p>
    <w:tbl>
      <w:tblPr>
        <w:tblW w:w="5294" w:type="dxa"/>
        <w:jc w:val="left"/>
        <w:tblInd w:w="0" w:type="dxa"/>
        <w:tblLayout w:type="fixed"/>
        <w:tblCellMar>
          <w:top w:w="0" w:type="dxa"/>
          <w:left w:w="0" w:type="dxa"/>
          <w:bottom w:w="0" w:type="dxa"/>
          <w:right w:w="0" w:type="dxa"/>
        </w:tblCellMar>
      </w:tblPr>
      <w:tblGrid>
        <w:gridCol w:w="2416"/>
        <w:gridCol w:w="326"/>
        <w:gridCol w:w="1036"/>
        <w:gridCol w:w="326"/>
        <w:gridCol w:w="1036"/>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34160" cy="175260"/>
                      <wp:effectExtent l="0" t="0" r="0" b="0"/>
                      <wp:wrapNone/>
                      <wp:docPr id="376" name="Frame37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57860" cy="175260"/>
                      <wp:effectExtent l="0" t="0" r="0" b="0"/>
                      <wp:wrapNone/>
                      <wp:docPr id="378" name="Frame37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57860" cy="175260"/>
                      <wp:effectExtent l="0" t="0" r="0" b="0"/>
                      <wp:wrapNone/>
                      <wp:docPr id="380" name="Frame3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97790" cy="175260"/>
                      <wp:effectExtent l="0" t="0" r="0" b="0"/>
                      <wp:wrapNone/>
                      <wp:docPr id="381" name="Frame38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1"/>
              <w:ind w:left="0" w:right="0" w:hanging="0"/>
              <w:jc w:val="center"/>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14,415,297</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14,176,066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5,466,550</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9,482,711</w:t>
            </w:r>
          </w:p>
        </w:tc>
        <w:tc>
          <w:tcPr>
            <w:tcW w:w="154"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11,189,011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11,850,526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31,070,858</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35,509,303</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unvested Customer Warrants for 1,340,310</w:t>
            </w:r>
            <w:r>
              <w:rPr>
                <w:caps w:val="false"/>
                <w:smallCaps w:val="false"/>
              </w:rPr>
              <w:t xml:space="preserve"> </w:t>
            </w:r>
            <w:r>
              <w:rPr>
                <w:rFonts w:ascii="Times New Roman;Times;serif" w:hAnsi="Times New Roman;Times;serif"/>
                <w:b w:val="false"/>
                <w:i w:val="false"/>
                <w:caps w:val="false"/>
                <w:smallCaps w:val="false"/>
                <w:sz w:val="20"/>
              </w:rPr>
              <w:t>and 1,608,370</w:t>
            </w:r>
            <w:r>
              <w:rPr>
                <w:caps w:val="false"/>
                <w:smallCaps w:val="false"/>
              </w:rPr>
              <w:t xml:space="preserve"> </w:t>
            </w:r>
            <w:r>
              <w:rPr>
                <w:rFonts w:ascii="Times New Roman;Times;serif" w:hAnsi="Times New Roman;Times;serif"/>
                <w:b w:val="false"/>
                <w:i w:val="false"/>
                <w:caps w:val="false"/>
                <w:smallCaps w:val="false"/>
                <w:sz w:val="20"/>
              </w:rPr>
              <w:t>shares as of June 30, 2023 and June 30, 2022, respectively.</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2087" w:type="dxa"/>
        <w:jc w:val="left"/>
        <w:tblInd w:w="0" w:type="dxa"/>
        <w:tblLayout w:type="fixed"/>
        <w:tblCellMar>
          <w:top w:w="0" w:type="dxa"/>
          <w:left w:w="0" w:type="dxa"/>
          <w:bottom w:w="0" w:type="dxa"/>
          <w:right w:w="0" w:type="dxa"/>
        </w:tblCellMar>
      </w:tblPr>
      <w:tblGrid>
        <w:gridCol w:w="376"/>
        <w:gridCol w:w="17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17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record income tax expense for the three and six months ended June 30, 2023 or the three and six months ended June 30, 2022 due to the Company’s loss position and full valuation allowance.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has deferred tax assets as a result of temporary differences between the taxable income on its tax returns and U.S. GAAP income, R&amp;D tax credit carry forwards and federal and state net operating loss carry forwards. A deferred tax asset generally represents future tax benefits to be received when temporary differences previously reported in the Company’s consolidated financial statements become deductible for income tax purposes, when net operating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Utilization of the net operating losses and credits may be subject to substantial annual limitation due to federal and state ownership change limitations provided by the Internal Revenue Code and similar state provisions. Such annual limitations could result in the expiration of the net operating losses and credits before their utilization. The Company has not performed a Section 382 analysis to determine if an ownership change occurred and whether the use of net operating loss carryforwards and credits carryforwards will be limited to offset future taxable income. For financial statement purposes, the Company has included the federal and state net operating losses and credits in the deferred tax assets with a full valuation allowance.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11" w:name="Tc_uRImIMQ8NkK2ImZYXEBX2w_5_2"/>
      <w:bookmarkStart w:id="1712" w:name="Tc_ts0DaV2kNEOrlrcWlX4hhw_5_0"/>
      <w:bookmarkStart w:id="1713" w:name="Tc_oVlWT39LRECw5xPYRB32eg_4_0"/>
      <w:bookmarkStart w:id="1714" w:name="Tc_oFyKiYWC70WrYNFFHOSEHw_3_0"/>
      <w:bookmarkStart w:id="1715" w:name="Tc_nlIlGLcxI0iXXVu6uxH3Yg_2_2"/>
      <w:bookmarkStart w:id="1716" w:name="Tc_JSRH54WswEOiC3DrQdpgJA_2_0"/>
      <w:bookmarkStart w:id="1717" w:name="Tc_kL_-KOZmL0yg0c-KBHMEzA_1_2"/>
      <w:bookmarkStart w:id="1718" w:name="Tc_uRImIMQ8NkK2ImZYXEBX2w_5_2"/>
      <w:bookmarkStart w:id="1719" w:name="Tc_ts0DaV2kNEOrlrcWlX4hhw_5_0"/>
      <w:bookmarkStart w:id="1720" w:name="Tc_oVlWT39LRECw5xPYRB32eg_4_0"/>
      <w:bookmarkStart w:id="1721" w:name="Tc_oFyKiYWC70WrYNFFHOSEHw_3_0"/>
      <w:bookmarkStart w:id="1722" w:name="Tc_nlIlGLcxI0iXXVu6uxH3Yg_2_2"/>
      <w:bookmarkStart w:id="1723" w:name="Tc_JSRH54WswEOiC3DrQdpgJA_2_0"/>
      <w:bookmarkStart w:id="1724" w:name="Tc_kL_-KOZmL0yg0c-KBHMEzA_1_2"/>
      <w:bookmarkEnd w:id="1718"/>
      <w:bookmarkEnd w:id="1719"/>
      <w:bookmarkEnd w:id="1720"/>
      <w:bookmarkEnd w:id="1721"/>
      <w:bookmarkEnd w:id="1722"/>
      <w:bookmarkEnd w:id="1723"/>
      <w:bookmarkEnd w:id="1724"/>
    </w:p>
    <w:tbl>
      <w:tblPr>
        <w:tblW w:w="3947" w:type="dxa"/>
        <w:jc w:val="left"/>
        <w:tblInd w:w="0" w:type="dxa"/>
        <w:tblLayout w:type="fixed"/>
        <w:tblCellMar>
          <w:top w:w="0" w:type="dxa"/>
          <w:left w:w="0" w:type="dxa"/>
          <w:bottom w:w="0" w:type="dxa"/>
          <w:right w:w="0" w:type="dxa"/>
        </w:tblCellMar>
      </w:tblPr>
      <w:tblGrid>
        <w:gridCol w:w="376"/>
        <w:gridCol w:w="357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35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RESTRUCTURING AND SEVERANCE: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2023, the Company announced an updated business strategy, including revisions to the Company’s technology roadmap. In connection with this updated strategy, the Company implemented a workforce reduction in order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 summary of restructuring activities in the six months ended June 30, 2023:</w:t>
      </w:r>
    </w:p>
    <w:p>
      <w:pPr>
        <w:pStyle w:val="TextBody"/>
        <w:bidi w:val="0"/>
        <w:spacing w:before="0" w:after="0"/>
        <w:ind w:left="0" w:right="0" w:hanging="0"/>
        <w:jc w:val="left"/>
        <w:rPr/>
      </w:pPr>
      <w:r>
        <w:rPr/>
        <w:t>​</w:t>
      </w:r>
    </w:p>
    <w:tbl>
      <w:tblPr>
        <w:tblW w:w="5967" w:type="dxa"/>
        <w:jc w:val="left"/>
        <w:tblInd w:w="0" w:type="dxa"/>
        <w:tblLayout w:type="fixed"/>
        <w:tblCellMar>
          <w:top w:w="0" w:type="dxa"/>
          <w:left w:w="0" w:type="dxa"/>
          <w:bottom w:w="0" w:type="dxa"/>
          <w:right w:w="0" w:type="dxa"/>
        </w:tblCellMar>
      </w:tblPr>
      <w:tblGrid>
        <w:gridCol w:w="4471"/>
        <w:gridCol w:w="326"/>
        <w:gridCol w:w="335"/>
        <w:gridCol w:w="835"/>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839085" cy="175260"/>
                      <wp:effectExtent l="0" t="0" r="0" b="0"/>
                      <wp:wrapNone/>
                      <wp:docPr id="382" name="Frame382"/>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12725" cy="175260"/>
                      <wp:effectExtent l="0" t="0" r="0" b="0"/>
                      <wp:wrapNone/>
                      <wp:docPr id="384" name="Frame3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30225" cy="175260"/>
                      <wp:effectExtent l="0" t="0" r="0" b="0"/>
                      <wp:wrapNone/>
                      <wp:docPr id="385" name="Frame385"/>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restructuring charge recorded in February 2023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in the three months ended March 31, 2023</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in the three months ended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currently expects that the remaining balance in its restructuring accrual at June 30, 2023 will be paid by September 30,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the charge for restructuring, the Company also incurred $1.0 million for contractual severance benefits related to executive officers of the Company that were terminated in the six months ended June 30, 2023. The remaining balance in the Company’s accrual for contractual severance benefits related to executive officers at June 30, 2023 of $0.7 million will be paid out monthly through February 2024. </w:t>
      </w:r>
    </w:p>
    <w:p>
      <w:pPr>
        <w:pStyle w:val="TextBody"/>
        <w:bidi w:val="0"/>
        <w:spacing w:before="0" w:after="240"/>
        <w:ind w:left="0" w:right="0" w:hanging="0"/>
        <w:jc w:val="left"/>
        <w:rPr/>
      </w:pPr>
      <w:r>
        <w:rPr/>
        <w:t>​</w:t>
      </w:r>
    </w:p>
    <w:tbl>
      <w:tblPr>
        <w:tblW w:w="2222" w:type="dxa"/>
        <w:jc w:val="left"/>
        <w:tblInd w:w="0" w:type="dxa"/>
        <w:tblLayout w:type="fixed"/>
        <w:tblCellMar>
          <w:top w:w="0" w:type="dxa"/>
          <w:left w:w="0" w:type="dxa"/>
          <w:bottom w:w="0" w:type="dxa"/>
          <w:right w:w="0" w:type="dxa"/>
        </w:tblCellMar>
      </w:tblPr>
      <w:tblGrid>
        <w:gridCol w:w="376"/>
        <w:gridCol w:w="18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8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periodically involved in legal proceedings, legal actions and claims arising in the normal course of business. Management believes that the outcome of such legal proceedings, legal actions and claims will not have a significant adverse effect on the Company’s financial position, results of operations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25" w:name="ITEM2MANAGEMENTSDISCUSSIONANDANALYSISOFF"/>
      <w:bookmarkStart w:id="1726" w:name="_ec806358_81b0_4d65_8290_475d70757cf4"/>
      <w:bookmarkEnd w:id="1725"/>
      <w:bookmarkEnd w:id="1726"/>
      <w:r>
        <w:rPr>
          <w:rFonts w:ascii="Times New Roman;Times;serif" w:hAnsi="Times New Roman;Times;serif"/>
          <w:b/>
          <w:sz w:val="20"/>
        </w:rPr>
        <w:t>ITEM 2 -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2022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purposes of this discussion, “Rigetti,” “the Company,” “we,” “us” or “our” refer to Rigetti Computing, Inc. and its subsidiaries unless the context otherwise requires.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develop a revenue stream and forging important customer relationships by entering into technology development contracts with various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been generating revenue since 2018 through partnerships with government agencies and commercial organizations; however, we have not yet generated profits. We have incurred significant operating losses since inception. Our net losses were $71.5 million and $38.2 million for the year ended December 31, 2022, and 11 months ended December 31, 2021, respectively. Our net losses were </w:t>
      </w:r>
      <w:r>
        <w:rPr>
          <w:rFonts w:ascii="Times New Roman;Times;serif" w:hAnsi="Times New Roman;Times;serif"/>
          <w:sz w:val="20"/>
          <w:shd w:fill="FFFFFF" w:val="clear"/>
        </w:rPr>
        <w:t>$17.0 million and $12.3 million for the three months ended June 30, 2023 and June 30, 2022, respectively, and</w:t>
      </w:r>
      <w:r>
        <w:rPr>
          <w:rFonts w:ascii="Times New Roman;Times;serif" w:hAnsi="Times New Roman;Times;serif"/>
          <w:sz w:val="20"/>
        </w:rPr>
        <w:t xml:space="preserve"> $40.3 million and $29.9 million for the six months ended June 30, 2023 and </w:t>
      </w:r>
      <w:r>
        <w:rPr>
          <w:rFonts w:ascii="Times New Roman;Times;serif" w:hAnsi="Times New Roman;Times;serif"/>
          <w:sz w:val="20"/>
          <w:shd w:fill="FFFFFF" w:val="clear"/>
        </w:rPr>
        <w:t>June 30, 2022, respectively</w:t>
      </w:r>
      <w:r>
        <w:rPr>
          <w:rFonts w:ascii="Times New Roman;Times;serif" w:hAnsi="Times New Roman;Times;serif"/>
          <w:sz w:val="20"/>
        </w:rPr>
        <w:t>. We expect to continue to incur additional losses for the foreseeable future as we invest in research, development and infrastructure consistent with our long-term business strategy. As of June 30, 2023, we had an accumulated deficit of $319.0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our estimates and current business plan, we expect that we will need to obtain additional capital by late 2024 or early 2025 in order to continue our research and development efforts and achieve our business objectives. There is no assurance that additional financing will be available. If we are unable to raise additional funding when needed and on attractive terms, we may be required to delay, limit or substantially reduce our quantum computing development efforts.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beginning in February 2023 in order to focus the organization and our resources on nearer-term strategic priorities. In March 2023, we further refined our business strategy after internally deploying Ankaa-1, our 84-qubit system delivering denser qubit spacing and tunable couplers, within our company for testing. We have since concentrated on refining the performance of Ankaa-1 and have externally launched the Ankaa-1 84-qubit system, to one select customer who is conducting error correction research. We plan to continue efforts to improve the performance of the system with the goal of reaching at least 98% 2-qubit gate fidelity to support the anticipated Ankaa-2 84-qubit system. We then plan to launch the anticipated Ankaa-2 84 qubit system, continuing to work to improve performance with the goal of reaching at least 99% gate fidelity on Ankaa-2. If these targets are achieved, we plan to shift focus to scaling to develop Lyra, an anticipated 336-qubit system. We believe that this business plan should enable us to concentrate our software application development strategy on what we believe to be the highest likelihood applications for demonstrating nearer term narrow quantum advantage.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reduction in the workforce impacted approximately 50 employees or 28% of our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effected employees. In addition to the restructuring charge, we also incurred $1.0 million of expense for contractual severance benefits related to executive officers of the Company that were terminated in the three months ended March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Business Combination and PIPE Financing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the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consequently, the transaction was treated as a recapitalization of Rigetti (i.e., a capital transaction involving the issuance of stock by Supernova for the stock of Rigetti).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Business Combination, all of the shares of Legacy Rigetti Common Stock outstanding immediately prior to the Closing (including Legacy Rigetti Common Stock resulting from the Legacy Rigetti preferred stock conversion) were converted into the right to receive an aggregate of 78,959,579 shares of our Common Stock, par value $0.0001 per share (“Common Stock”). Additionally, each issued and outstanding share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$205.0 million, including $225.6 million of proceeds from the Business Combination and PIPE Financing, net of transaction costs incurred by us of $20.6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 million, of which $19.7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of the Business Combination, we became subject to the reporting requirements under the Securities Exchange Act of 1934, as amended, and listing standards of the Nasdaq Capital Market, which has and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results of consolidated operations and financial position may not be comparable to historical results for a variety of reasons, including as a result of the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Unfavorable conditions in the economy in the United States and abroad may negatively affect the growth of our business and have affected our results of operations. For example, macroeconomic events, including rising inflation, the U.S. Federal Reserve raising interest rates, recent bank failures, the Russia-Ukraine war and the lingering effects of the COVID-19 pandemic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Part I “Item 1A. Risk Factors” in our Annual Report on Form 10-K for the year ended December 31, 2022, including the risk factor titled “Unstable market and economic conditions have had and may continue to have serious adverse consequences on our business, financial condition and share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Ukraine-Russia conflict and the lingering effects of the COVID-19 pandemic. 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increases in interest rates. These conditions have been further exacerbated by recent and potential future disruptions in access to bank deposits or lending commitments due to bank failures, the war in Ukraine and the lingering effects of the COVID-19 pandemic.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taking actions to monitor our operations to account for the increases in the cost of capital. Specifically, this includes efforts to enhance our operational efficiency, maximize our R&amp;D spend through strategic collaborations, and being highly selective in hiring top-tier talent.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and Six Months Ended June 30, 2023, Compared to the Three and Six Months Ended June 30, 2022</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for the periods indicated:</w:t>
      </w:r>
    </w:p>
    <w:tbl>
      <w:tblPr>
        <w:tblW w:w="10205" w:type="dxa"/>
        <w:jc w:val="left"/>
        <w:tblInd w:w="0" w:type="dxa"/>
        <w:tblLayout w:type="fixed"/>
        <w:tblCellMar>
          <w:top w:w="0" w:type="dxa"/>
          <w:left w:w="0" w:type="dxa"/>
          <w:bottom w:w="0" w:type="dxa"/>
          <w:right w:w="0" w:type="dxa"/>
        </w:tblCellMar>
      </w:tblPr>
      <w:tblGrid>
        <w:gridCol w:w="1166"/>
        <w:gridCol w:w="326"/>
        <w:gridCol w:w="181"/>
        <w:gridCol w:w="560"/>
        <w:gridCol w:w="326"/>
        <w:gridCol w:w="181"/>
        <w:gridCol w:w="560"/>
        <w:gridCol w:w="326"/>
        <w:gridCol w:w="181"/>
        <w:gridCol w:w="560"/>
        <w:gridCol w:w="326"/>
        <w:gridCol w:w="721"/>
        <w:gridCol w:w="211"/>
        <w:gridCol w:w="326"/>
        <w:gridCol w:w="181"/>
        <w:gridCol w:w="560"/>
        <w:gridCol w:w="326"/>
        <w:gridCol w:w="181"/>
        <w:gridCol w:w="560"/>
        <w:gridCol w:w="326"/>
        <w:gridCol w:w="146"/>
        <w:gridCol w:w="560"/>
        <w:gridCol w:w="326"/>
        <w:gridCol w:w="721"/>
        <w:gridCol w:w="211"/>
        <w:gridCol w:w="156"/>
      </w:tblGrid>
      <w:tr>
        <w:trPr/>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40410" cy="175260"/>
                      <wp:effectExtent l="0" t="0" r="0" b="0"/>
                      <wp:wrapNone/>
                      <wp:docPr id="386" name="Frame386"/>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14935" cy="175260"/>
                      <wp:effectExtent l="0" t="0" r="0" b="0"/>
                      <wp:wrapNone/>
                      <wp:docPr id="388" name="Frame38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5600" cy="175260"/>
                      <wp:effectExtent l="0" t="0" r="0" b="0"/>
                      <wp:wrapNone/>
                      <wp:docPr id="389" name="Frame389"/>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14935" cy="175260"/>
                      <wp:effectExtent l="0" t="0" r="0" b="0"/>
                      <wp:wrapNone/>
                      <wp:docPr id="391" name="Frame3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55600" cy="175260"/>
                      <wp:effectExtent l="0" t="0" r="0" b="0"/>
                      <wp:wrapNone/>
                      <wp:docPr id="392" name="Frame392"/>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14935" cy="175260"/>
                      <wp:effectExtent l="0" t="0" r="0" b="0"/>
                      <wp:wrapNone/>
                      <wp:docPr id="394" name="Frame3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355600" cy="175260"/>
                      <wp:effectExtent l="0" t="0" r="0" b="0"/>
                      <wp:wrapNone/>
                      <wp:docPr id="395" name="Frame395"/>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57835" cy="175260"/>
                      <wp:effectExtent l="0" t="0" r="0" b="0"/>
                      <wp:wrapNone/>
                      <wp:docPr id="397" name="Frame3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14935" cy="175260"/>
                      <wp:effectExtent l="0" t="0" r="0" b="0"/>
                      <wp:wrapNone/>
                      <wp:docPr id="400" name="Frame4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55600" cy="175260"/>
                      <wp:effectExtent l="0" t="0" r="0" b="0"/>
                      <wp:wrapNone/>
                      <wp:docPr id="401" name="Frame401"/>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14935" cy="175260"/>
                      <wp:effectExtent l="0" t="0" r="0" b="0"/>
                      <wp:wrapNone/>
                      <wp:docPr id="403" name="Frame40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55600" cy="175260"/>
                      <wp:effectExtent l="0" t="0" r="0" b="0"/>
                      <wp:wrapNone/>
                      <wp:docPr id="404" name="Frame40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92710" cy="175260"/>
                      <wp:effectExtent l="0" t="0" r="0" b="0"/>
                      <wp:wrapNone/>
                      <wp:docPr id="406" name="Frame40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55600" cy="175260"/>
                      <wp:effectExtent l="0" t="0" r="0" b="0"/>
                      <wp:wrapNone/>
                      <wp:docPr id="407" name="Frame407"/>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57835" cy="175260"/>
                      <wp:effectExtent l="0" t="0" r="0" b="0"/>
                      <wp:wrapNone/>
                      <wp:docPr id="409" name="Frame40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99060" cy="175260"/>
                      <wp:effectExtent l="0" t="0" r="0" b="0"/>
                      <wp:wrapNone/>
                      <wp:docPr id="411" name="Frame41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326" w:type="dxa"/>
            <w:tcBorders/>
            <w:vAlign w:val="center"/>
          </w:tcPr>
          <w:p>
            <w:pPr>
              <w:pStyle w:val="TableContents"/>
              <w:bidi w:val="0"/>
              <w:spacing w:before="0" w:after="0"/>
              <w:ind w:left="0" w:right="0" w:hanging="0"/>
              <w:jc w:val="left"/>
              <w:rPr/>
            </w:pPr>
            <w:r>
              <w:rPr/>
              <w:t>​</w:t>
            </w:r>
          </w:p>
        </w:tc>
        <w:tc>
          <w:tcPr>
            <w:tcW w:w="17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 versus 2022</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326" w:type="dxa"/>
            <w:tcBorders/>
            <w:vAlign w:val="center"/>
          </w:tcPr>
          <w:p>
            <w:pPr>
              <w:pStyle w:val="TableContents"/>
              <w:bidi w:val="0"/>
              <w:spacing w:before="0" w:after="0"/>
              <w:ind w:left="0" w:right="0" w:hanging="0"/>
              <w:jc w:val="left"/>
              <w:rPr/>
            </w:pPr>
            <w:r>
              <w:rPr/>
              <w:t>​</w:t>
            </w:r>
          </w:p>
        </w:tc>
        <w:tc>
          <w:tcPr>
            <w:tcW w:w="17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 vs. 2022</w:t>
            </w:r>
          </w:p>
        </w:tc>
        <w:tc>
          <w:tcPr>
            <w:tcW w:w="21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thousands, except per share amounts)</w:t>
            </w:r>
          </w:p>
        </w:tc>
        <w:tc>
          <w:tcPr>
            <w:tcW w:w="326" w:type="dxa"/>
            <w:tcBorders/>
            <w:vAlign w:val="center"/>
          </w:tcPr>
          <w:p>
            <w:pPr>
              <w:pStyle w:val="TableContents"/>
              <w:bidi w:val="0"/>
              <w:spacing w:before="0" w:after="0"/>
              <w:ind w:left="0" w:right="0" w:hanging="0"/>
              <w:jc w:val="left"/>
              <w:rPr/>
            </w:pPr>
            <w:r>
              <w:rPr/>
              <w:t>    </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left"/>
              <w:rPr/>
            </w:pPr>
            <w:r>
              <w:rPr/>
              <w:t>​</w:t>
            </w:r>
          </w:p>
        </w:tc>
        <w:tc>
          <w:tcPr>
            <w:tcW w:w="7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26" w:type="dxa"/>
            <w:tcBorders/>
            <w:vAlign w:val="center"/>
          </w:tcPr>
          <w:p>
            <w:pPr>
              <w:pStyle w:val="TableContents"/>
              <w:bidi w:val="0"/>
              <w:spacing w:before="0" w:after="0"/>
              <w:ind w:left="0" w:right="0" w:hanging="0"/>
              <w:jc w:val="left"/>
              <w:rPr/>
            </w:pPr>
            <w:r>
              <w:rPr/>
              <w:t>​</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c>
          <w:tcPr>
            <w:tcW w:w="21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2,134</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5,527</w:t>
            </w:r>
          </w:p>
        </w:tc>
        <w:tc>
          <w:tcPr>
            <w:tcW w:w="326"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4,238</w:t>
            </w:r>
          </w:p>
        </w:tc>
        <w:tc>
          <w:tcPr>
            <w:tcW w:w="326"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Cost of revenue</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873</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(276)</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1,287</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(181)</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Research and development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13,219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12,747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26,673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5,747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(8,525)</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14,761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27,308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(12,547)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Restructuring</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nm</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991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27,019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42,677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53,981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(11,304)</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from operations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(16,236)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(25,758)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9,522</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(38,256)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(51,030)</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12,774</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expense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(3,038)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derivative warrant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7,980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(7,985)</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11,750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(12,628)</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earn-out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(6,916)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12,557</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(13,188)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Transaction costs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nm</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927</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13,506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(14,236)</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21,136</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(23,200)</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(16,966)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(4,714)</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(40,320)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(29,894)</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(10,426)</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6" w:type="dxa"/>
            <w:tcBorders/>
            <w:vAlign w:val="center"/>
          </w:tcPr>
          <w:p>
            <w:pPr>
              <w:pStyle w:val="TableContents"/>
              <w:bidi w:val="0"/>
              <w:spacing w:before="0" w:after="0"/>
              <w:ind w:left="0" w:right="0" w:hanging="0"/>
              <w:jc w:val="left"/>
              <w:rPr/>
            </w:pPr>
            <w:r>
              <w:rPr/>
              <w:t>​</w:t>
            </w:r>
          </w:p>
        </w:tc>
      </w:tr>
      <w:tr>
        <w:trPr/>
        <w:tc>
          <w:tcPr>
            <w:tcW w:w="11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1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(16,966)</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(4,714)</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(40,320)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(29,894)</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(10,426)</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generate revenue through our development contracts, as well as from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 increased by $1.2 million, or 56%, to $3.3 million in the three months ended June 30, 2023, from $2.1 million in the three months ended June 30, 2022 and </w:t>
      </w:r>
      <w:r>
        <w:rPr>
          <w:rFonts w:ascii="Times New Roman;Times;serif" w:hAnsi="Times New Roman;Times;serif"/>
          <w:sz w:val="20"/>
          <w:shd w:fill="FFFFFF" w:val="clear"/>
        </w:rPr>
        <w:t>increased by</w:t>
      </w:r>
      <w:r>
        <w:rPr>
          <w:rFonts w:ascii="Times New Roman;Times;serif" w:hAnsi="Times New Roman;Times;serif"/>
          <w:sz w:val="20"/>
        </w:rPr>
        <w:t xml:space="preserve"> $1.3 million, or 30%, to $5.5 million in the six months ended June 30, 2023, from $4.2 million in</w:t>
      </w:r>
      <w:r>
        <w:rPr>
          <w:rFonts w:ascii="Times New Roman;Times;serif" w:hAnsi="Times New Roman;Times;serif"/>
          <w:sz w:val="20"/>
          <w:shd w:fill="FFFFFF" w:val="clear"/>
        </w:rPr>
        <w:t xml:space="preserve"> the six months ended June 30, 2022</w:t>
      </w:r>
      <w:r>
        <w:rPr>
          <w:rFonts w:ascii="Times New Roman;Times;serif" w:hAnsi="Times New Roman;Times;serif"/>
          <w:sz w:val="20"/>
        </w:rPr>
        <w:t>. Our development contracts are typically fixed price milestone or cost share-based contracts and the timing and amounts of revenue recognized in any given quarter will vary significantly based on the delivery of the associated milestones and/or the work performed. The increases in revenue in the three and six months ended June 30, 2023 reflect typical variability in the timing of revenue recognition from development contracts. Revenue from these contracts is expected to vary in terms of timing and size, resulting in significant quarter-to-quarter fluctuations in revenue levels.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There may be some near-term reduction in revenue as we align to our updated strategy announced in February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primarily of all direct and indirect costs associated with sales of QPUs, QCaaS offerings and development contracts and other services, including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decreased by $0.3 million, or 32%, to $0.6 million in the three months ended June 30, 2023, from $0.9 million in the three months ended June 30, 2022, and decreased by</w:t>
      </w:r>
      <w:r>
        <w:rPr>
          <w:rFonts w:ascii="Times New Roman;Times;serif" w:hAnsi="Times New Roman;Times;serif"/>
          <w:sz w:val="20"/>
          <w:shd w:fill="FFFFFF" w:val="clear"/>
        </w:rPr>
        <w:t xml:space="preserve"> $0.2 million, or 14%, to $1.1 million in the six months ended June 30, 2023, from $1.3 million in the three months ended June 30, 2022. The decrease in </w:t>
      </w:r>
      <w:r>
        <w:rPr>
          <w:rFonts w:ascii="Times New Roman;Times;serif" w:hAnsi="Times New Roman;Times;serif"/>
          <w:sz w:val="20"/>
        </w:rPr>
        <w:t xml:space="preserve">cost of revenue and the improvement in total gross profit as a percentage of revenue in the three and six months ended June 30, 2023 is primarily due to significant variability in the pricing and terms of our development contracts, and the resulting fluctuations in cost of revenue and total gross profit as a percentage of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significantly from quarter-to-quarter in future periods due to significant variability in the pricing and terms of our development contracts, and because we expect much of our revenue to be generated from development contracts for the next few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operating expenses primarily consist of research and development, and selling, general and administrative expenses. Sales and marketing expenses became less significant following the reduction in workforce and strategic realignment we announced in February 2023. For this reason, sales and marketing and general administrative expenses have been combined and are now reported as selling, general and administrative. Related amounts for all prior periods have been reclassified to conform with this presentation.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expenses increased by $0.5 million, or 4%, to $13.2 million in the three months ended June 30, 2023, from $12.7 million in the three months ended June 30, 2022, and increased by </w:t>
      </w:r>
      <w:r>
        <w:rPr>
          <w:rFonts w:ascii="Times New Roman;Times;serif" w:hAnsi="Times New Roman;Times;serif"/>
          <w:sz w:val="20"/>
          <w:shd w:fill="FFFFFF" w:val="clear"/>
        </w:rPr>
        <w:t xml:space="preserve">$0.3 million, or 1%, to $26.9 million in the six months ended June 30, 2023, from $26.7 million in the six months ended June 30, 2022.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Increases in the three months ended June 30, 2023 for stock compensation costs of $0.2 million and depreciation of $0.6 million, were mostly offset by lower employee wages and benefit costs resulting from our February 2023 reduction in workforce. Increases in the six months ended June 30, 2023 for employee wages and benefits prior to our reduction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workforce, depreciation expense of $1.2 million and contractual executive severance costs of $0.3 million, were mostly offset by a decrease in electricity expenses of $1.2 million, stock compensation costs of $0.7 million and material costs for research projects of $1.0 million. In the six months ended June 30, 2022, we recognized a $1.3 million out-of-period adjustment for electrical utility fees and $1.6 million of cumulative deferred stock compensation expense related to the satisfaction of a liquidity condition because of the closing of the Business Combination.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Current R&amp;D expenditures are primarily focused on our technology roadmap and long-term goal of achieving broad quantum advantage.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expenses decreased by $8.5 million, or 60%, to $5.7 million in the three months ended June 30, 2023, from $14.3 million in the three months ended June 30, 2022 and decreased by $12.5 million, or 46%, to $14.8 million in the six months ended June 30, 2023, from $27.3 million in the six months ended June 30, 2022.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the three months ended June 30, 2023 was primarily due to a reduction in stock compensation costs of $7.9 million, lower professional fees of $1.1 million and lower employee wages and benefit costs resulting from our February 2023 reduction in workforce, offset in part by a $2.1 million unfavorable change in the fair value of the Ampere Forward Warrant Agreement. The decrease in the six months ended June 30, 2023 was primarily due to a reduction in stock compensation costs of $16.8 million and bonus expenses of $2.1 million, partly offset by a $6.1 million unfavorable change in the fair value of the Ampere Forward Warrant Agreement, a $0.8 million impairment charge for deferred offering costs, primarily related to the Purchase Agreement, and contractual executive severance costs of $0.6 million. The decline in stock-based compensation costs and bonus expenses in the six months ended June 30, 2023, when compared to the six months ended June 30, 2022, in part reflects the fact that we recognized $6.9 million of previously deferred stock-based compensation expenses and $2.1 million of transaction bonuses in connection with the closing of the Business Combination in March 2022.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2023, we announced an updated business strategy, including revisions to the Company’s technology roadmap. In connection with this updated strategy, the Company implemented a workforce reduction in order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began implementing activities with respect to the revised business plan, updated technology roadmap and reduction in workforce in February 2023, resulting in a $1.0 million restructuring charge in the six months ended June 30, 2023. The Company currently expects that the remaining balance in its restructuring accrual at June 30, 2023 of less than $0.1 million, will be paid by September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outstanding debt carries a variable rate of interest. Interest expense increased by $0.5 million to $1.6 million in the three months ended June 30, 2023, from $1.0 million in the three months ended June 30, 2022, and increased by $0.8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million to $3.0 million in the six months ended June 30, 2023, from $2.2 million in the six months ended June 30, 2022. We paid a higher rate of interest on our debt in 2023 due to the increases in the prime interest rate that occurred throughout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income was $1.2 million and $2.5 million in the three and six months ended June 30, 2023, respectively. We did not have any interest income in the three and six months ended June 30, 2022. The increase in interest income is due to higher rates of interest earned on available-for-sale securities. We anticipate that interest income will decline in future periods due to our expected use of cash and available-for-sale securities to fund our operating expenses, including research and development initiatives and investment in our technology roadmap.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discussion of the change in the fair value of warrant liabilities is included in Note 12 to our condensed consolidated financial statements for the three and six months ended June 30, 2023, included elsewhere in this Quarterly Report on Form 10-Q. The change in fair value of warrant liabilities was minimal and an expense of $0.9 million in the three and six months ended June 30, 2023, respectively, compared to income of $8.0 million and $11.8 million in the three and six months ended June 30,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Earn-Out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discussion of the change in the fair value of the earn-out liability is included in Note 4 to our condensed consolidated financial statements for the three and six months ended June 30, 2023, included elsewhere in this Quarterly Report on Form 10-Q. The change in fair value of our earn-out liability in the three and six months ended June 30, 2023 was an expense of $0.4 million and $0.6 million, respectively, compared to income of $6.6 million and $12.6 million in the three and six months ended June 30, 2022,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costs allocated to liability-classified instruments must be expensed as incurred. Changes in these instruments are subsequently measured at fair value through earnings. In the six months ended June 30, 2022, transaction costs allocated to liability-classified instruments arising from the Business Combination totaled $0.9 million. No transaction costs were incurred in the three and six months ended June 30, 2023, or the three months ended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 The Company did not record income tax expense in the three and six months ended June 30, 2023 or the three and six months ended June 30, 2022 due to the Company’s loss position and full valuation allowance.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incurred net losses since inception and negative cash flows from operations. Prior to the Business Combination, we financed our operations primarily through the issuance of preferred stock, warrants, convertible notes, venture backed debt and revenues. During the year ended December 31, 2022 and the six months ended June 30, 2023, we incurred net losses of $71.5 million and $40.3 million, respectively. As of June 30, 2023, we had an accumulated deficit of $319.0 million, and we expect to incur additional losses for the foreseeable future. In connection with the closing of the Business Combination on March 2, 2022, we received net proceeds of $225.6 million. We believe that our existing balances of cash, cash equivalents and available-for-sale investments should be sufficient to meet our anticipated operating cash needs for at least the next 12 months, based on our current business plan, and expectations and assumptions considering current macroeconomic conditions. Based on our estimates and current business plan, we expect that we will need to obtain additional capital by late 2024 or early 2025 to continue our research and development efforts and achieve our business objectives.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 in Ukraine and the lingering effects of the COVID-19 pandemic.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disruptions in the banking system, and the lingering effects of the COVID-19 pandemic could materially affect our business and the value of our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short-term cash requirements include capital expenditures for materials and components for research and development and quantum computing fridges; working capital requirements; and strategic collaborative arrangements and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long-term requirements include expenditures for expansion of our quantum chip fabrication facility; planned development of multiple generations of quantum processors; and anticipated additional investments to scale our QCaaS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will require a significant amount of cash for expenditures as we invest in ongoing research and development and business operations. Until such time as we can generate significant revenue from sales of QPUs, our development contracts and other services, including our QCaaS offering, we expect to finance our cash needs primarily through our existing cash, cash equivalents and available-for-sale investments on hand, our Purchase Agreement with B. Riley (subject to the price of our Common Stock trading above $1.00 as described below), and other potential securities financings or other capital sources, including the sale of QPUs, development contract revenue with government agencies and strategic partnerships. To the extent that we raise additional capital through the sale of equity or convertible debt securities, including through the use of our Purchase Agreement with B. Riley,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2022, and elsewhere in this Quarterly Report on Form 10-Q.</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future sales, if any, of shares of our Common Stock to B. Riley pursuant to the Purchase Agreement will depend on a variety of factors to be determined by us from time to time, including, among other things, market conditions, the trading price of our Common Stock (including the condition that the price of our Common Stock is trading above $1.00) and determinations by us as to appropriate sources of funding for our business and operations. We cannot guarantee the extent to which we may utilize the Purchase Agreement.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January 2022, we entered into the Third Amendment to the Loan Agreement with Trinity to increase the debt commitment by $5.0 million to $32.0 million thereunder. The amendment allowed us to draw an additional $5.0 million immediately with an additional $8.0 million to be drawn at the sole discretion of the lender. We drew the additional $5.0 million upon signing the amendment. The Third Amendment also included an extension of the requirement to raise an additional $75.0 million of equity which was satisfied through the Business Combination and a defined exit fee for the additional $5.0 million to be at 20% of the advanced funds under the Third Amendment. In conjunction with the amendment, we also guaranteed payment of all monetary amounts owed and performance of all covenants, obligations and liabilities. As of June 30, 2023, the total principal amount outstanding under the Loan Agreement was $27.9 million. We use borrowings under the Loan Agreement for working capital purposes. The Loan Agreement is secured by a first-priority security interest in substantially all of our assets. As of the date of this Quarterly Report on Form 10-Q, we are in compliance with all covenants under the Loan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commitments at June 30, 2023 were primarily as follows:</w:t>
      </w:r>
    </w:p>
    <w:tbl>
      <w:tblPr>
        <w:tblW w:w="7809" w:type="dxa"/>
        <w:jc w:val="left"/>
        <w:tblInd w:w="0" w:type="dxa"/>
        <w:tblLayout w:type="fixed"/>
        <w:tblCellMar>
          <w:top w:w="0" w:type="dxa"/>
          <w:left w:w="0" w:type="dxa"/>
          <w:bottom w:w="0" w:type="dxa"/>
          <w:right w:w="0" w:type="dxa"/>
        </w:tblCellMar>
      </w:tblPr>
      <w:tblGrid>
        <w:gridCol w:w="4036"/>
        <w:gridCol w:w="326"/>
        <w:gridCol w:w="211"/>
        <w:gridCol w:w="676"/>
        <w:gridCol w:w="326"/>
        <w:gridCol w:w="217"/>
        <w:gridCol w:w="699"/>
        <w:gridCol w:w="326"/>
        <w:gridCol w:w="211"/>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562860" cy="175260"/>
                      <wp:effectExtent l="0" t="0" r="0" b="0"/>
                      <wp:wrapNone/>
                      <wp:docPr id="412" name="Frame41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29260" cy="175260"/>
                      <wp:effectExtent l="0" t="0" r="0" b="0"/>
                      <wp:wrapNone/>
                      <wp:docPr id="415" name="Frame4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7795" cy="175260"/>
                      <wp:effectExtent l="0" t="0" r="0" b="0"/>
                      <wp:wrapNone/>
                      <wp:docPr id="417" name="Frame41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43865" cy="175260"/>
                      <wp:effectExtent l="0" t="0" r="0" b="0"/>
                      <wp:wrapNone/>
                      <wp:docPr id="418" name="Frame41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7010" cy="175260"/>
                      <wp:effectExtent l="0" t="0" r="0" b="0"/>
                      <wp:wrapNone/>
                      <wp:docPr id="419"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95935" cy="175260"/>
                      <wp:effectExtent l="0" t="0" r="0" b="0"/>
                      <wp:wrapNone/>
                      <wp:docPr id="421" name="Frame4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16,163</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cash interest on financing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9,280</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45,626</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28,061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Financing obligations consist of payments related to the Loan and Security Agreement. Operating lease obligations consist of obligations under non-cancelable operating leases for our offices, facilities and equipment.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used in operating activities during the six months ended June 30, 2023 was $33.6 million, resulting primarily from our net loss of $40.3 million, and changes in operating assets and liabilities using cash. These uses of cash were partially offset by non-cash charges totaling $12.7 million. Changes in operating assets and liabilities using cash totaled $6.0 million, which primarily consisted of an increase in accounts receivable of $1.4 million, a decrease in accrued expenses and other liabilities of $2.3 million, a decrease in accounts payable of $1.3 million. an increase in prepaid expenses and other current assets of $0.9 million and a decrease in deferred revenue of $0.1 million. The increase in accounts receivable was mainly due to a slowdown in accounts receivable collections. We subsequently collected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large past due receivable in July 2023. The decrease in accounts payable, accrued expenses and other liabilities was mainly due to lower expenses and capital expenditures following our reduction in workforce in February 2023, an acceleration in payments to vendors and payment of monthly rentals for operating lease liabilities. The increase in prepaid expenses and other current assets was due to payment of annual insurance premiums. The decrease in deferred revenue was due to a slight decrease in prepayment by customers for goods or services that were yet to be delivered.</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during the six months ended June 30, 2022 was $35.1 million, resulting primarily from a net loss of $29.9 million, adjusted for non-cash charges of $3.0 million in depreciation, $22.5 million in stock-based compensation, $2.0 million loss from the change in fair value of derivative warrant liabilities related to the Loan Agreement, $3.1 million gain from the change in fair value of Private Warrants (as defined below), $10.7 million gain from the change in fair value of Public Warrants (as defined below), $5.1 million gain from the change in fair value of the Forward Warrant Agreement with Ampere, $12.6 million gain from the change in fair value for contingent earn-out liabilities, and $0.7 million in amortization of debt financing costs. These non-cash charges were partially offset by adjustments for changes in operating assets and liabilities seen during the period. Changes in operating assets and liabilities accounted for $2.0 million of cash used in operations. The changes primarily consisted of an increase in accounts receivable of $1.0 million; an increase in prepaid and current assets of $2.9 million; a decrease in accounts payable of $0.9 million; offset by an increase in accrued expenses and other current liabilities of $2.7 million, and an increase in deferred revenue of $0.1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operating activities was reduced by $1.5 million to $33.6 million in the six months ended June 30, 2023 from $35.1 million in the six months ended June 30, 2022. Our net loss from operations increased by $10.4 million to $40.3 million in the six months ended June 30, 2023 from $29.9 million in the six months ended June 30, 2022. Non-cash charges favorably impacting our net loss from operations as reflected in the accompanying interim condensed consolidated statement of cash flows increased by $15.9 million to a favorable $12.7 million in the six months ended June 30, 2023, from an unfavorable $3.2 million in the six months ended June 30, 2022. Changes in working capital negatively impacting cash used by operations increased by $4.0 million to $6.0 million in the six months ended June 30, 2023, from $2.0 million in the six months ended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in the six months ended June 30, 2023 totaled $2.8 million, resulting from $5.7 million of additions to property and equipment, $57.6 million of purchases of available for sale securities, partially offset by maturities of available for sale securities totaling $60.6 million. Investments in property and equipment during this period primarily relate to quantum computing equipment and process equipment and leasehold improvements for our chip fabrication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during the six months ended June 30, 2022 was $10.6 million, resulting solely from additions to property and equipment. Investments in property and equipment during this period relate primarily to process computing equipment, quantum computing equipment and development tools for our chip fabrication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used in investing activities in the six months ended June 30, 2023 decreased by $7.8 million when compared to the six months ended June 30, 2022, mainly due to decreased purchases of property and equipment and maturities of available for sale securities, net of purchases.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provided by financing activities in the six months ended June 30, 2023 totaled $0.3 million, reflecting $2.3 million of proceeds from the sale of 1.9 million shares of common stock to B. Riley through the Purchase Agreement and $0.9 million of proceeds from the exercise of stock options and warrants, offset in part by principal payments of $2.9 million under the Loan Agreement and payments of $0.1 million for deferred financing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provided by financing activities during the six months ended June 30, 2022 totaled $217.8 million, reflecting $225.6 million of proceeds from the Business Combination and PIPE Investment, net of transaction costs ,and offset by Rigetti transaction costs of $17.4 million, additional proceeds from the issuance of debt and warrants of $5.0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associated with the Third Amendment to the Loan Agreement, less debt issuance costs and exit fees totaling $1.0 million, and proceeds from the exercise of stock options and warrants totaling $5.7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 during the six months ended June 30, 2023 decreased by $217.5 million when compared to the six months ended June 30, 2022, largely due to the close of the Business Combination and PIPE Investment, net of transaction costs, and additional proceeds from the issuance of debt and warrants during the six months ended June 30, 2022. We expect to continue to finance our cash needs primarily through cash, cash equivalents and available-for-sale investments on hand, the Purchase Agreement with B. Riley (subject to the price of our Common Stock trading above $1.00), and other potential securities financings or capital 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is based on our consolidated financial statements included in this Quarterly Report on Form 10-Q,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 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While our significant accounting policies are described in the Notes to our consolidated financial statements included in our Annual Report on Form 10-K for the year ended December 31, 2022, we believe the following critical accounting policies and estimates are most important to understanding and evaluating our reported financial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Public and Private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Business Combination, SNII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in the consolidated balance sheet at fair value upon the closing of the Business Combination, with subsequent changes in the fair value recognized in the consolidated statements of operations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the consummation of the Business Combination, we recorded a liability related to the Private Warrants of $9.6 million, with an offsetting entry to additional paid-in capital. As of June 30, 2023, the fair value of the Private Warrants decreased to $1.4 million, with the change in fair value of the derivative warrant liabilities recorded in the consolidated statements of operations each reporting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Similarly, on the consummation of the Business Combination, we recorded a liability related to the Public Warrants of $16.3 million, with an offsetting entry to additional paid-in capital. As of June 30, 2023, the fair value of the Public Warrants decreased to $1.2 million with the change in fair value of derivative warrant liabilities recorded in the consolidated statements of operations each reporting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Derivative Warrant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currently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than the Public Warrants and Private Warrants noted above, we also issued a total of 783,129 Trinity Warrants in conjunction with the Loan Agreement in 2021. Such derivative warrant liabilities are classified as non-current as their liquidation is not reasonably expected to require the use of current assets or require the creation of current liabilities. We utilized the Black-Scholes model to determine the inception date fair value of the warrants of approximately $2.7 million which was recorded as part of Debt Issuance Cost. The outstanding Common Stock warrants were subsequently remeasured at each reporting period using the Black-Scholes model with the change in fair value recorded as a component of other income in the Company’s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 2022, the 783,129 Trinity Warrants were exercised and the $6.4 million warrant liability was reclassified to equity. We recorded a loss of $2.0 million from the change in the fair value of the warrant liability for the year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Earn-Out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Business Combination Closing, Supernova Sponsor subjected certain shares (“Sponsor Vesting Shares”) of Common Stock held by Supernova Sponsor and its permitted transferees (the “Sponsor Holders”) to forfeiture and vesting as of the Closing if thresholds related to the weighted average price of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will be forfeited.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 The aggregate fair value of the Sponsor Vesting Shares at the time of the Business Combination Closing was estimated using a Monte Carlo simulation model and was determined to be $20.4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2023, the Earn-Out Triggering Events were not achieved for any of the tranches, and as such, the Company adjusted the carrying amount of the liability to its estimated fair value of $1.8 million with the change in fair value of the earn-out liability recorded in the consolidated statements of operations each reporting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 Warrant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execution of the Merger Agreement in October 2021, we entered into the Forward Warrant Agreement with Ampere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Ampere and us. The collaboration agreement was entered into in January 2022. Ampere was required to pay $5.0 million to us no later than the later of (i) the Closing and (ii) June 30,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2022, pursuant to the Forward Warrant Agreement, we issued the warrant to Ampere upon receipt of an aggregate of $5.0 million (including the exercise price), and upon such payment and issuance, 500,000 shares of our Common Stock vested under the warrant and were immediately exercised by Ampere pursuant to the terms of the warrant. Ampere is required to pay an additional $5.0 million to us no later than the closing date of the listing of Ampere’s capital stock on a stock exchange, provided that if the listing has not occurred by the second anniversary of the Forward Warrant Agreement, Ampere is not obligated to make the additional payment and we are not obligated to issue the remaining shares underlying the warrants. The Forward Warrant Agreement further provides that we will use commercially reasonable efforts to file a registration statement to register the resale of the shares issued or issuable pursuant to the warrant and upon such payment the warrant will vest and be exercisable by Ampere with respect to 500,000 shares of Common Stock pursuant to the terms of the warrant. We filed such registration statement, and it became effective in the year ended December 31,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evaluated the Forward Warrant Agreement as a derivative in accordance with the guidance of ASC 480, “Distinguishing Liabilities from Equity”. We calculated the fair value of the Forward Warrant Agreement by using the Forward Contract Pricing methodology at inception and at the end of June 30, 2023. The fair value of the Forward Warrant Agreement was estimated based on the following key inputs and assumptions 1) Assumed holding period 2) Related risk-free rate and 3) Likelihood of the outcome of the various contingencies specified in the agreement. In the six months ended June 30, 2023, we reduced the estimated probability of occurrence for the forward warrant agreement from 50% to 25% due to less than favorable market conditions and reduced time until expiration.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these inputs and assumptions, we calculated the fair value of the Forward Warrant Agreement to be a derivative asset of $1.1 million as of June 30, 2023, and a derivative asset of $2.2 million as of December 31, 2022. We have included the derivative as a forward contract asset in the accompanying consolidated balance sheets as of June 30, 2023 and December 31, 2022. The change in fair value is recorded as part of general and administrative expense in our consolidated statements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consists primarily of our contracts that provide access to Rigetti quantum computing systems, collaborative research services, professional services, and the sale of QPUs and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six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 For fixed price milestone-based contracts, revenue is recognized based on the input measure explained above as control is expected to transfer over the time period a milestone is completed. Revenue related to the sale of QPUs and custom quantum computing components is recognized at a point in time, and upon customer acceptance for custom quantum computing components.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period ended June 30, 2023 included elsewhere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the last day of our first fiscal year following the fifth anniversary of the completion of SNII’s initial public offering, (b) the last day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7" w:name="ITEM3QUANTITATIVEANDQUALITATIVEDISCLOSUR"/>
      <w:bookmarkStart w:id="1728" w:name="_0c7da1cc_1814_4137_8573_5b7b573e38f8"/>
      <w:bookmarkEnd w:id="1727"/>
      <w:bookmarkEnd w:id="1728"/>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a smaller reporting company as defined by Rule12b-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29" w:name="ITEM4CONTROLSANDPROCEDURES_496417"/>
      <w:bookmarkStart w:id="1730" w:name="_1a050f20_4789_4cef_9b7b_df9326398c6f"/>
      <w:bookmarkEnd w:id="1729"/>
      <w:bookmarkEnd w:id="173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defined in Rules 13a-15(e) and 15d15(e) under the Securities Exchange Act) as of June 30, 2023. Based on the evaluation of our disclosure controls and procedures, our management concluded that, as of June 30, 2023, our disclosure controls and procedures were not effective due to the material weaknesses described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adding additional controls over review of complex financial instrument valuations and our year-end and quarter-end close process, which are still being implemented, as well as additional technical accounting resources. The material weaknesses will not be considered remediated until such time as management designs and implements effective controls that operate for a sufficient period of time and has concluded, through testing, that these controls are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After giving full consideration to the material weaknesses and the additional procedures that we performed, management has concluded that the interim condensed consolidated financial statements contained in this Quarterly Report on Form 10-Q fairly present, in all material respects, our financial condition, results of operations and cash flows for the periods presented in conformity with U.S. GAAP for interim financial statements; however, the material weaknesses could have resulted in a misstatement of account balances or disclosures that would be considered material to the annual or interim consolidated financial statements and certain of the material weaknesses did result in errors in the financial statements and related disclosures as described below for the quarters ended March 31, 2022 and June 30, 2022, which we restated in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previously disclosed, in connection with our unaudited condensed consolidated financial statements for the nine months ended October 31, 2021, we identified a material weakness in our internal control over financial reporting related to the lack of effective review controls over the accounting for complex financial instruments. Specifically, the controls failed to identify an error in the accounting for complex warrant instruments. The error related to the Company not properly accounting for the liability associated with the warrants to purchase common stock issued to Trinity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Inc. that were subsequently cancelled and reissued as new warrants in connection with an amendment to the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in connection with the preparation of the financial statements for the second quarter of 2022, we identified and corrected an immaterial error related to the revaluation of the liability associated with the same warrants issued to Trinity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preparation of the financial statements for the third quarter of 2022, we discovered that the previously identified material weakness led to additional material errors related to the valuation of the Earn-out liability and the Private Warrant liability that affected the previously issued unaudited condensed consolidated financial statements as of and for the periods ended March 31, 2022 and June 30, 2022. These errors were corrected in the unaudited condensed consolidated financial statements as of and for the periods ended March 31, 2022 and June 30, 2022 through a restatement of previously filed financial statements for such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concluded that the previously identified material weakness in our internal control over financial reporting related to complex financial instruments was due to the fact that at the time we initially identified the material weakness, we did not have sufficient accounting resources and did not have the necessary business processes and related internal controls formally designed and implemented to address the accounting and financial reporting requirements related to complex financial instruments. This material weakness continued to exist as of June 30, 2023 because the controls that were implemented as part of our plan to remediate this material weakness have not been operating for a sufficient period of time to allow management to conclude through testing that the controls are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as previously disclosed, in connection with the preparation of the financial statements for the year ended December 31, 2022, we identified a material weakness in our internal control over financial reporting related to the design and operation of our overall closing and financial reporting processes, including the timely preparation of account reconciliations, effective segregation of duties, and a lack of timely review over the financial statement close process. 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June 30, 2023 due to the reasons described above, the relatively short period of time since the material weakness was first identified, and because all of the necessary controls to remediate the material weakness have not yet been implemented and sufficiently tested.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Remediation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remediation plan related to the material weakness over the accounting for complex financial instruments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incorporating additional controls and procedures over the review of complex financial instrument valuations as well as technical accounting resources to identify the inventory of complex accounting and financial instruments that require accounting analysis and evaluation;</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the precision of review controls over complex financial instruments;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augmenting the review process relating to the valuation analyses performed by the third-party valuation experts and accounting firms that are utilized by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remediation plan related to the material weakness over our overall closing and financial reporting processes includes: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hiring sufficient personnel with technical accounting and financial reporting experience to augment our current staff, to achieve appropriate segregation of duties and to improve the effectiveness of our closing and financial reporting processes;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improved accounting and financial reporting procedures and systems to improve the completeness, timeliness and accuracy of our financial reporting and disclosures, including the assessment of more judgmental areas of accounting.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elements of our remediation plans can only be accomplished over time, and we can offer no assurance that these initiatives will ultimately have the intended effects. As management continues to evaluate and work to improve our internal control over financial reporting, management may determine it is necessary to take additional measures to address the material weaknesses. These material weaknesses will not be considered remediated unless and until such time as management designs and implements effective controls that operate for a sufficient period of time and concludes, through testing, that these controls are effective. Until the controls have been operating for a sufficient period of time and management has concluded, through testing, that these controls are operating effectively, the material weaknesses described above will continue to exist. Management is monitoring the progress of the remediation plan and reporting regularly to the audit committee of the board of directors on the progress and results of the remediation plan, including the identification, status and resolution of internal control deficiencies. We can provide no assurance that the measures we have taken and plan to take in the future will remediate the material weaknesses identified or that any additional material weakness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June 30, 2023, other than the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31" w:name="PARTIIOTHERINFORMATION_588959"/>
      <w:bookmarkStart w:id="1732" w:name="_35b94f10_1403_4d29_a4d1_5fa99702a6e8"/>
      <w:bookmarkEnd w:id="1731"/>
      <w:bookmarkEnd w:id="1732"/>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733" w:name="ITEM1LEGALPROCEEDINGS_241174"/>
      <w:bookmarkEnd w:id="1733"/>
      <w:r>
        <w:rPr>
          <w:rFonts w:ascii="Times New Roman;Times;serif" w:hAnsi="Times New Roman;Times;serif"/>
          <w:b/>
          <w:sz w:val="20"/>
        </w:rPr>
        <w:t>ITEM 1 – LEGAL PROCEEDINGS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4" w:name="ITEM1ARISKFACTORS_905958"/>
      <w:bookmarkStart w:id="1735" w:name="_aeddb762_288c_4b2d_ad35_ed9e4dacbe2d"/>
      <w:bookmarkEnd w:id="1734"/>
      <w:bookmarkEnd w:id="1735"/>
      <w:r>
        <w:rPr>
          <w:rFonts w:ascii="Times New Roman;Times;serif" w:hAnsi="Times New Roman;Times;serif"/>
          <w:b/>
          <w:sz w:val="20"/>
        </w:rPr>
        <w:t>ITEM 1A – RISK FACTORS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risk factors discussed in Part I “Item 1A. Risk Factors” in our Annual Report on Form 10-K for the year ended December 31, 2022 for a discussion of material factors that make an investment in our ordinary shares speculative or risky.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6" w:name="ITEM2UNREGISTEREDSALESOFEQUITYSECURITIES"/>
      <w:bookmarkStart w:id="1737" w:name="_a1482f4b_1b24_4710_82fb_4508c18fe751"/>
      <w:bookmarkEnd w:id="1736"/>
      <w:bookmarkEnd w:id="1737"/>
      <w:r>
        <w:rPr>
          <w:rFonts w:ascii="Times New Roman;Times;serif" w:hAnsi="Times New Roman;Times;serif"/>
          <w:b/>
          <w:sz w:val="20"/>
        </w:rPr>
        <w:t>ITEM 2 – UNREGISTERED SALES OF EQUITY SECURITIES, USE OF PROCEEDS AND ISSUER PURCHASES OF EQUITY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three months ended June 30, 2023, we sold 1,869,419 shares of Common Stock to B. Riley Principal Capital-II LLC under the Purchase Agreement and received net proceeds of $2.3 million. Gross proceeds from the issuance and sale of the shares were $2.4 million, and aggregate underwriting discounts or commissions were $0.1 million. The shares of Common Stock were issued in reliance upon the exemptions from the registration requirements of the Securities Act of 1933, as amended, afforded by Section 4(a)(2) thereof and Rule 506(b) of Regulation D promulgated hereunder.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38" w:name="ITEM3DEFAULTSUPONSENIORSECURITIES_579171"/>
      <w:bookmarkStart w:id="1739" w:name="_b6b2a4cc_a8f9_474b_9404_bf335f36115b"/>
      <w:bookmarkEnd w:id="1738"/>
      <w:bookmarkEnd w:id="1739"/>
      <w:r>
        <w:rPr>
          <w:rFonts w:ascii="Times New Roman;Times;serif" w:hAnsi="Times New Roman;Times;serif"/>
          <w:b/>
          <w:sz w:val="20"/>
        </w:rPr>
        <w:t>ITEM 3 – DEFAULTS UPON SENIOR SECURITIES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40" w:name="ITEM4MINESAFETYDISCLOSURES_518433"/>
      <w:bookmarkStart w:id="1741" w:name="_b22189e2_5674_46c6_b60d_55354e3ab69a"/>
      <w:bookmarkEnd w:id="1740"/>
      <w:bookmarkEnd w:id="1741"/>
      <w:r>
        <w:rPr>
          <w:rFonts w:ascii="Times New Roman;Times;serif" w:hAnsi="Times New Roman;Times;serif"/>
          <w:b/>
          <w:sz w:val="20"/>
        </w:rPr>
        <w:t>ITEM 4 –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42" w:name="ITEM5OTHERINFORMATION_693016"/>
      <w:bookmarkStart w:id="1743" w:name="_e6ea87d9_0b8b_4654_b7ff_b427adc4312b"/>
      <w:bookmarkEnd w:id="1742"/>
      <w:bookmarkEnd w:id="1743"/>
      <w:r>
        <w:rPr>
          <w:rFonts w:ascii="Times New Roman;Times;serif" w:hAnsi="Times New Roman;Times;serif"/>
          <w:b/>
          <w:sz w:val="20"/>
        </w:rPr>
        <w:t>ITEM 5 –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44" w:name="ITEM6EXHIBITS_411089"/>
      <w:bookmarkStart w:id="1745" w:name="_cd25d530_de88_4e55_86b2_fae600551fe6"/>
      <w:bookmarkEnd w:id="1744"/>
      <w:bookmarkEnd w:id="1745"/>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739"/>
        <w:gridCol w:w="326"/>
        <w:gridCol w:w="4688"/>
        <w:gridCol w:w="326"/>
        <w:gridCol w:w="481"/>
        <w:gridCol w:w="326"/>
        <w:gridCol w:w="698"/>
        <w:gridCol w:w="326"/>
        <w:gridCol w:w="616"/>
        <w:gridCol w:w="326"/>
        <w:gridCol w:w="1353"/>
      </w:tblGrid>
      <w:tr>
        <w:trPr/>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69265" cy="175260"/>
                      <wp:effectExtent l="0" t="0" r="0" b="0"/>
                      <wp:wrapNone/>
                      <wp:docPr id="422" name="Frame422"/>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976880" cy="175260"/>
                      <wp:effectExtent l="0" t="0" r="0" b="0"/>
                      <wp:wrapNone/>
                      <wp:docPr id="423" name="Frame423"/>
                      <a:graphic xmlns:a="http://schemas.openxmlformats.org/drawingml/2006/main">
                        <a:graphicData uri="http://schemas.microsoft.com/office/word/2010/wordprocessingShape">
                          <wps:wsp>
                            <wps:cNvSpPr txBox="1"/>
                            <wps:spPr>
                              <a:xfrm>
                                <a:off x="0" y="0"/>
                                <a:ext cx="297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05435" cy="175260"/>
                      <wp:effectExtent l="0" t="0" r="0" b="0"/>
                      <wp:wrapNone/>
                      <wp:docPr id="424" name="Frame42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43230" cy="175260"/>
                      <wp:effectExtent l="0" t="0" r="0" b="0"/>
                      <wp:wrapNone/>
                      <wp:docPr id="425" name="Frame425"/>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91160" cy="175260"/>
                      <wp:effectExtent l="0" t="0" r="0" b="0"/>
                      <wp:wrapNone/>
                      <wp:docPr id="426" name="Frame42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859155" cy="175260"/>
                      <wp:effectExtent l="0" t="0" r="0" b="0"/>
                      <wp:wrapNone/>
                      <wp:docPr id="427" name="Frame427"/>
                      <a:graphic xmlns:a="http://schemas.openxmlformats.org/drawingml/2006/main">
                        <a:graphicData uri="http://schemas.microsoft.com/office/word/2010/wordprocessingShape">
                          <wps:wsp>
                            <wps:cNvSpPr txBox="1"/>
                            <wps:spPr>
                              <a:xfrm>
                                <a:off x="0" y="0"/>
                                <a:ext cx="859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3" w:type="dxa"/>
            <w:tcBorders/>
            <w:vAlign w:val="center"/>
          </w:tcPr>
          <w:p>
            <w:pPr>
              <w:pStyle w:val="TableContents"/>
              <w:bidi w:val="0"/>
              <w:spacing w:before="0" w:after="0"/>
              <w:ind w:left="0" w:right="0" w:hanging="0"/>
              <w:jc w:val="left"/>
              <w:rPr/>
            </w:pPr>
            <w:r>
              <w:rPr/>
              <w:t>​</w:t>
            </w:r>
          </w:p>
        </w:tc>
      </w:tr>
      <w:tr>
        <w:trPr/>
        <w:tc>
          <w:tcPr>
            <w:tcW w:w="7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68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73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hyperlink w:anchor="tmb-202306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r>
        <w:trPr/>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3"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13" w:type="dxa"/>
        <w:jc w:val="left"/>
        <w:tblInd w:w="0" w:type="dxa"/>
        <w:tblLayout w:type="fixed"/>
        <w:tblCellMar>
          <w:top w:w="0" w:type="dxa"/>
          <w:left w:w="0" w:type="dxa"/>
          <w:bottom w:w="0" w:type="dxa"/>
          <w:right w:w="0" w:type="dxa"/>
        </w:tblCellMar>
      </w:tblPr>
      <w:tblGrid>
        <w:gridCol w:w="976"/>
        <w:gridCol w:w="109"/>
        <w:gridCol w:w="7411"/>
        <w:gridCol w:w="109"/>
        <w:gridCol w:w="109"/>
        <w:gridCol w:w="109"/>
        <w:gridCol w:w="109"/>
        <w:gridCol w:w="109"/>
        <w:gridCol w:w="109"/>
        <w:gridCol w:w="109"/>
        <w:gridCol w:w="154"/>
      </w:tblGrid>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46" w:name="SIGNATURES_680104"/>
      <w:bookmarkStart w:id="1747" w:name="_4361f6c4_ebdf_4b45_877d_fafbd164bf35"/>
      <w:bookmarkEnd w:id="1746"/>
      <w:bookmarkEnd w:id="1747"/>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052" w:type="dxa"/>
        <w:jc w:val="left"/>
        <w:tblInd w:w="0" w:type="dxa"/>
        <w:tblLayout w:type="fixed"/>
        <w:tblCellMar>
          <w:top w:w="0" w:type="dxa"/>
          <w:left w:w="0" w:type="dxa"/>
          <w:bottom w:w="0" w:type="dxa"/>
          <w:right w:w="0" w:type="dxa"/>
        </w:tblCellMar>
      </w:tblPr>
      <w:tblGrid>
        <w:gridCol w:w="2071"/>
        <w:gridCol w:w="498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15085" cy="175260"/>
                      <wp:effectExtent l="0" t="0" r="0" b="0"/>
                      <wp:wrapNone/>
                      <wp:docPr id="428" name="Frame42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3162935" cy="175260"/>
                      <wp:effectExtent l="0" t="0" r="0" b="0"/>
                      <wp:wrapNone/>
                      <wp:docPr id="429" name="Frame429"/>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 and Duly Authorized Officer)</w:t>
            </w:r>
          </w:p>
        </w:tc>
      </w:tr>
      <w:tr>
        <w:trPr/>
        <w:tc>
          <w:tcPr>
            <w:tcW w:w="20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Dated: August 10, 2023</w:t>
            </w:r>
          </w:p>
        </w:tc>
        <w:tc>
          <w:tcPr>
            <w:tcW w:w="49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0"/>
        <w:ind w:left="0" w:right="0" w:hanging="0"/>
        <w:jc w:val="left"/>
        <w:rPr/>
      </w:pPr>
      <w:bookmarkStart w:id="1748" w:name="tmb-20230630xex31d1.htm"/>
      <w:bookmarkStart w:id="1749" w:name="kstmb20230630xex31d1"/>
      <w:bookmarkEnd w:id="1748"/>
      <w:bookmarkEnd w:id="174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177" w:type="dxa"/>
        <w:jc w:val="center"/>
        <w:tblInd w:w="0" w:type="dxa"/>
        <w:tblLayout w:type="fixed"/>
        <w:tblCellMar>
          <w:top w:w="0" w:type="dxa"/>
          <w:left w:w="0" w:type="dxa"/>
          <w:bottom w:w="0" w:type="dxa"/>
          <w:right w:w="0" w:type="dxa"/>
        </w:tblCellMar>
      </w:tblPr>
      <w:tblGrid>
        <w:gridCol w:w="1966"/>
        <w:gridCol w:w="3211"/>
      </w:tblGrid>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10, 2023</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9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750" w:name="tmb-20230630xex31d2.htm"/>
      <w:bookmarkStart w:id="1751" w:name="kstmb20230630xex31d2"/>
      <w:bookmarkEnd w:id="1750"/>
      <w:bookmarkEnd w:id="175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022" w:type="dxa"/>
        <w:jc w:val="center"/>
        <w:tblInd w:w="0" w:type="dxa"/>
        <w:tblLayout w:type="fixed"/>
        <w:tblCellMar>
          <w:top w:w="0" w:type="dxa"/>
          <w:left w:w="0" w:type="dxa"/>
          <w:bottom w:w="0" w:type="dxa"/>
          <w:right w:w="0" w:type="dxa"/>
        </w:tblCellMar>
      </w:tblPr>
      <w:tblGrid>
        <w:gridCol w:w="1966"/>
        <w:gridCol w:w="2056"/>
      </w:tblGrid>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August 10, 2023</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9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752" w:name="tmb-20230630xex32d1.htm"/>
      <w:bookmarkStart w:id="1753" w:name="kstmb20230630xex32d1"/>
      <w:bookmarkEnd w:id="1752"/>
      <w:bookmarkEnd w:id="175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1. The Company’s Quarterly Report on Form 10-Q for the period ended June 30, 2023, to which this Certification is attached as Exhibit 32.1 (the “Periodic Report”), fully complies with the requirements of Section 13(a) or 15(d) of the Exchange Act; and</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10,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10th day of August, 2023.</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10, 2023</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10, 2023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31697</Words>
  <Characters>173744</Characters>
  <CharactersWithSpaces>207210</CharactersWithSpaces>
  <Paragraphs>6834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