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0001827853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Rigetti Computing,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001-40140</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775 HEINZ AVENUE</w:t>
              <w:br/>
              <w:t>BERKELEY</w:t>
              <w:br/>
              <w:t xml:space="preserve">CALIFORNIA </w:t>
              <w:br/>
              <w:t>94710</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(510) 210-5550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Clifton Michael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71"/>
        <w:gridCol w:w="1143"/>
        <w:gridCol w:w="1436"/>
        <w:gridCol w:w="1529"/>
        <w:gridCol w:w="1553"/>
        <w:gridCol w:w="1353"/>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71"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Warrants</w:t>
            </w:r>
          </w:p>
        </w:tc>
        <w:tc>
          <w:tcPr>
            <w:tcW w:w="1671" w:type="dxa"/>
            <w:tcBorders/>
            <w:vAlign w:val="center"/>
          </w:tcPr>
          <w:p>
            <w:pPr>
              <w:pStyle w:val="TableContents"/>
              <w:bidi w:val="0"/>
              <w:spacing w:before="0" w:after="0"/>
              <w:jc w:val="left"/>
              <w:rPr/>
            </w:pPr>
            <w:r>
              <w:rPr/>
              <w:t>Piper Sandler &amp; Co Inc</w:t>
              <w:br/>
              <w:t>350 N 5th St</w:t>
              <w:br/>
              <w:t>Ste 1000</w:t>
              <w:br/>
              <w:t>Minneapolis   MN   55401</w:t>
            </w:r>
          </w:p>
        </w:tc>
        <w:tc>
          <w:tcPr>
            <w:tcW w:w="1143" w:type="dxa"/>
            <w:tcBorders/>
            <w:vAlign w:val="center"/>
          </w:tcPr>
          <w:p>
            <w:pPr>
              <w:pStyle w:val="TableContents"/>
              <w:bidi w:val="0"/>
              <w:spacing w:before="0" w:after="283"/>
              <w:jc w:val="left"/>
              <w:rPr/>
            </w:pPr>
            <w:r>
              <w:rPr/>
              <w:t>156250</w:t>
            </w:r>
          </w:p>
        </w:tc>
        <w:tc>
          <w:tcPr>
            <w:tcW w:w="1436" w:type="dxa"/>
            <w:tcBorders/>
            <w:vAlign w:val="center"/>
          </w:tcPr>
          <w:p>
            <w:pPr>
              <w:pStyle w:val="TableContents"/>
              <w:bidi w:val="0"/>
              <w:spacing w:before="0" w:after="283"/>
              <w:jc w:val="left"/>
              <w:rPr/>
            </w:pPr>
            <w:r>
              <w:rPr/>
              <w:t>2278125.00</w:t>
            </w:r>
          </w:p>
        </w:tc>
        <w:tc>
          <w:tcPr>
            <w:tcW w:w="1529" w:type="dxa"/>
            <w:tcBorders/>
            <w:vAlign w:val="center"/>
          </w:tcPr>
          <w:p>
            <w:pPr>
              <w:pStyle w:val="TableContents"/>
              <w:bidi w:val="0"/>
              <w:spacing w:before="0" w:after="283"/>
              <w:jc w:val="left"/>
              <w:rPr/>
            </w:pPr>
            <w:r>
              <w:rPr/>
              <w:t>332398807</w:t>
            </w:r>
          </w:p>
        </w:tc>
        <w:tc>
          <w:tcPr>
            <w:tcW w:w="1553" w:type="dxa"/>
            <w:tcBorders/>
            <w:vAlign w:val="center"/>
          </w:tcPr>
          <w:p>
            <w:pPr>
              <w:pStyle w:val="TableContents"/>
              <w:bidi w:val="0"/>
              <w:spacing w:before="0" w:after="283"/>
              <w:jc w:val="left"/>
              <w:rPr/>
            </w:pPr>
            <w:r>
              <w:rPr/>
              <w:t>06/02/2026</w:t>
            </w:r>
          </w:p>
        </w:tc>
        <w:tc>
          <w:tcPr>
            <w:tcW w:w="135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Warrants</w:t>
            </w:r>
          </w:p>
        </w:tc>
        <w:tc>
          <w:tcPr>
            <w:tcW w:w="1137" w:type="dxa"/>
            <w:tcBorders/>
            <w:vAlign w:val="center"/>
          </w:tcPr>
          <w:p>
            <w:pPr>
              <w:pStyle w:val="TableContents"/>
              <w:bidi w:val="0"/>
              <w:spacing w:before="0" w:after="283"/>
              <w:jc w:val="left"/>
              <w:rPr/>
            </w:pPr>
            <w:r>
              <w:rPr/>
              <w:t>03/02/2022</w:t>
            </w:r>
          </w:p>
        </w:tc>
        <w:tc>
          <w:tcPr>
            <w:tcW w:w="1510" w:type="dxa"/>
            <w:tcBorders/>
            <w:vAlign w:val="center"/>
          </w:tcPr>
          <w:p>
            <w:pPr>
              <w:pStyle w:val="TableContents"/>
              <w:bidi w:val="0"/>
              <w:spacing w:before="0" w:after="283"/>
              <w:jc w:val="left"/>
              <w:rPr/>
            </w:pPr>
            <w:r>
              <w:rPr/>
              <w:t>Sponsor Promote Warrants</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156250</w:t>
            </w:r>
          </w:p>
        </w:tc>
        <w:tc>
          <w:tcPr>
            <w:tcW w:w="1080" w:type="dxa"/>
            <w:tcBorders/>
            <w:vAlign w:val="center"/>
          </w:tcPr>
          <w:p>
            <w:pPr>
              <w:pStyle w:val="TableContents"/>
              <w:bidi w:val="0"/>
              <w:spacing w:before="0" w:after="283"/>
              <w:jc w:val="left"/>
              <w:rPr/>
            </w:pPr>
            <w:r>
              <w:rPr/>
              <w:t>03/02/2022</w:t>
            </w:r>
          </w:p>
        </w:tc>
        <w:tc>
          <w:tcPr>
            <w:tcW w:w="124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1"/>
        <w:gridCol w:w="2936"/>
        <w:gridCol w:w="943"/>
        <w:gridCol w:w="1559"/>
        <w:gridCol w:w="1756"/>
      </w:tblGrid>
      <w:tr>
        <w:trPr/>
        <w:tc>
          <w:tcPr>
            <w:tcW w:w="3011"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11" w:type="dxa"/>
            <w:tcBorders/>
            <w:vAlign w:val="center"/>
          </w:tcPr>
          <w:p>
            <w:pPr>
              <w:pStyle w:val="TableContents"/>
              <w:bidi w:val="0"/>
              <w:spacing w:before="0" w:after="283"/>
              <w:jc w:val="left"/>
              <w:rPr/>
            </w:pPr>
            <w:r>
              <w:rPr/>
              <w:t>Michael Clifton C/O Rigetti Computing Inc</w:t>
              <w:br/>
              <w:t>775 Heinz Ave</w:t>
              <w:br/>
              <w:t>Berkeley   CA   94710</w:t>
            </w:r>
          </w:p>
        </w:tc>
        <w:tc>
          <w:tcPr>
            <w:tcW w:w="2936" w:type="dxa"/>
            <w:tcBorders/>
            <w:vAlign w:val="center"/>
          </w:tcPr>
          <w:p>
            <w:pPr>
              <w:pStyle w:val="TableContents"/>
              <w:bidi w:val="0"/>
              <w:spacing w:before="0" w:after="283"/>
              <w:jc w:val="left"/>
              <w:rPr/>
            </w:pPr>
            <w:r>
              <w:rPr/>
              <w:t>Warrants</w:t>
            </w:r>
          </w:p>
        </w:tc>
        <w:tc>
          <w:tcPr>
            <w:tcW w:w="943" w:type="dxa"/>
            <w:tcBorders/>
            <w:vAlign w:val="center"/>
          </w:tcPr>
          <w:p>
            <w:pPr>
              <w:pStyle w:val="TableContents"/>
              <w:bidi w:val="0"/>
              <w:spacing w:before="0" w:after="283"/>
              <w:jc w:val="left"/>
              <w:rPr/>
            </w:pPr>
            <w:r>
              <w:rPr/>
              <w:t>05/21/2026</w:t>
            </w:r>
          </w:p>
        </w:tc>
        <w:tc>
          <w:tcPr>
            <w:tcW w:w="1559" w:type="dxa"/>
            <w:tcBorders/>
            <w:vAlign w:val="center"/>
          </w:tcPr>
          <w:p>
            <w:pPr>
              <w:pStyle w:val="TableContents"/>
              <w:bidi w:val="0"/>
              <w:spacing w:before="0" w:after="283"/>
              <w:jc w:val="left"/>
              <w:rPr/>
            </w:pPr>
            <w:r>
              <w:rPr/>
              <w:t>50000</w:t>
            </w:r>
          </w:p>
        </w:tc>
        <w:tc>
          <w:tcPr>
            <w:tcW w:w="1756" w:type="dxa"/>
            <w:tcBorders/>
            <w:vAlign w:val="center"/>
          </w:tcPr>
          <w:p>
            <w:pPr>
              <w:pStyle w:val="TableContents"/>
              <w:bidi w:val="0"/>
              <w:spacing w:before="0" w:after="283"/>
              <w:jc w:val="left"/>
              <w:rPr/>
            </w:pPr>
            <w:r>
              <w:rPr/>
              <w:t>500000.00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70"/>
        <w:gridCol w:w="8535"/>
      </w:tblGrid>
      <w:tr>
        <w:trPr/>
        <w:tc>
          <w:tcPr>
            <w:tcW w:w="1670" w:type="dxa"/>
            <w:tcBorders/>
            <w:vAlign w:val="center"/>
          </w:tcPr>
          <w:p>
            <w:pPr>
              <w:pStyle w:val="TableContents"/>
              <w:bidi w:val="0"/>
              <w:spacing w:before="0" w:after="283"/>
              <w:jc w:val="left"/>
              <w:rPr/>
            </w:pPr>
            <w:r>
              <w:rPr/>
              <w:t>Remarks</w:t>
            </w:r>
          </w:p>
        </w:tc>
        <w:tc>
          <w:tcPr>
            <w:tcW w:w="8535"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pPr>
            <w:r>
              <w:rPr/>
              <w:t>Date of Notice</w:t>
            </w:r>
          </w:p>
        </w:tc>
        <w:tc>
          <w:tcPr>
            <w:tcW w:w="8535"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70" w:type="dxa"/>
            <w:tcBorders/>
            <w:vAlign w:val="center"/>
          </w:tcPr>
          <w:p>
            <w:pPr>
              <w:pStyle w:val="TableContents"/>
              <w:bidi w:val="0"/>
              <w:spacing w:before="0" w:after="283"/>
              <w:jc w:val="left"/>
              <w:rPr/>
            </w:pPr>
            <w:r>
              <w:rPr/>
              <w:t>Signature</w:t>
            </w:r>
          </w:p>
        </w:tc>
        <w:tc>
          <w:tcPr>
            <w:tcW w:w="8535" w:type="dxa"/>
            <w:tcBorders/>
            <w:vAlign w:val="center"/>
          </w:tcPr>
          <w:p>
            <w:pPr>
              <w:pStyle w:val="TableContents"/>
              <w:bidi w:val="0"/>
              <w:spacing w:before="0" w:after="0"/>
              <w:jc w:val="left"/>
              <w:rPr/>
            </w:pPr>
            <w:r>
              <w:rPr/>
              <w:t>Alex Johnson, a duly authorized representative of Piper Sandler &amp; Co Corporate &amp; Venture Services FA, as attorney-in-fact for Michael Clifton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3154</Characters>
  <CharactersWithSpaces>3718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